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2DC6F1BB" w14:textId="77777777" w:rsidR="007630C2" w:rsidRDefault="007630C2" w:rsidP="00F35AAC">
      <w:pPr>
        <w:spacing w:after="0" w:line="240" w:lineRule="atLeast"/>
        <w:jc w:val="both"/>
        <w:rPr>
          <w:rFonts w:ascii="Museo Sans 900" w:hAnsi="Museo Sans 900"/>
          <w:b/>
          <w:bCs/>
          <w:sz w:val="20"/>
          <w:szCs w:val="20"/>
          <w:lang w:eastAsia="es-ES"/>
        </w:rPr>
      </w:pPr>
    </w:p>
    <w:p w14:paraId="7209AE2B" w14:textId="58ABFAB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9F68CA">
        <w:rPr>
          <w:rFonts w:ascii="Museo Sans 900" w:hAnsi="Museo Sans 900"/>
          <w:b/>
          <w:bCs/>
          <w:sz w:val="20"/>
          <w:szCs w:val="20"/>
          <w:lang w:eastAsia="es-ES"/>
        </w:rPr>
        <w:t>0093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9F68CA">
        <w:rPr>
          <w:rFonts w:ascii="Museo Sans 300" w:hAnsi="Museo Sans 300"/>
          <w:sz w:val="20"/>
          <w:szCs w:val="20"/>
          <w:lang w:eastAsia="es-ES"/>
        </w:rPr>
        <w:t xml:space="preserve"> diez horas</w:t>
      </w:r>
      <w:r w:rsidRPr="00937F60">
        <w:rPr>
          <w:rFonts w:ascii="Museo Sans 300" w:hAnsi="Museo Sans 300"/>
          <w:sz w:val="20"/>
          <w:szCs w:val="20"/>
          <w:lang w:eastAsia="es-ES"/>
        </w:rPr>
        <w:t xml:space="preserve"> del día</w:t>
      </w:r>
      <w:r w:rsidR="009F68CA">
        <w:rPr>
          <w:rFonts w:ascii="Museo Sans 300" w:hAnsi="Museo Sans 300"/>
          <w:sz w:val="20"/>
          <w:szCs w:val="20"/>
          <w:lang w:eastAsia="es-ES"/>
        </w:rPr>
        <w:t xml:space="preserve"> cinco</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0A4DB0">
        <w:rPr>
          <w:rFonts w:ascii="Museo Sans 300" w:hAnsi="Museo Sans 300"/>
          <w:sz w:val="20"/>
          <w:szCs w:val="20"/>
          <w:lang w:eastAsia="es-ES"/>
        </w:rPr>
        <w:t>febrero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E413DF5"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C06BDB">
        <w:rPr>
          <w:rFonts w:ascii="Museo Sans 300" w:eastAsia="Arial" w:hAnsi="Museo Sans 300"/>
          <w:sz w:val="20"/>
          <w:szCs w:val="20"/>
          <w:lang w:val="es-SV"/>
        </w:rPr>
        <w:t>día seis de enero del año dos mil veinte</w:t>
      </w:r>
      <w:r w:rsidRPr="007011ED">
        <w:rPr>
          <w:rFonts w:ascii="Museo Sans 300" w:eastAsia="Arial" w:hAnsi="Museo Sans 300"/>
          <w:sz w:val="20"/>
          <w:szCs w:val="20"/>
          <w:lang w:val="es-SV"/>
        </w:rPr>
        <w:t xml:space="preserve">, </w:t>
      </w:r>
      <w:r w:rsidR="000A4DB0">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C06BDB">
        <w:rPr>
          <w:rFonts w:ascii="Museo Sans 300" w:eastAsia="Arial" w:hAnsi="Museo Sans 300"/>
          <w:sz w:val="20"/>
          <w:szCs w:val="20"/>
          <w:lang w:val="es-SV"/>
        </w:rPr>
        <w:t xml:space="preserve"> </w:t>
      </w:r>
      <w:r w:rsidR="00937A24">
        <w:rPr>
          <w:rFonts w:ascii="Museo Sans 300" w:eastAsia="Arial" w:hAnsi="Museo Sans 300"/>
          <w:sz w:val="20"/>
          <w:szCs w:val="20"/>
          <w:lang w:val="es-SV"/>
        </w:rPr>
        <w:t>XXXXXX</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7630C2">
        <w:rPr>
          <w:rFonts w:ascii="Museo Sans 300" w:eastAsia="Arial" w:hAnsi="Museo Sans 300"/>
          <w:sz w:val="20"/>
          <w:szCs w:val="20"/>
          <w:lang w:val="es-SV"/>
        </w:rPr>
        <w:t>,</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C06BDB">
        <w:rPr>
          <w:rFonts w:ascii="Museo Sans 300" w:eastAsia="Arial" w:hAnsi="Museo Sans 300"/>
          <w:sz w:val="20"/>
          <w:szCs w:val="20"/>
          <w:lang w:val="es-SV"/>
        </w:rPr>
        <w:t>CUATROCIENTOS ONCE 09</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C06BDB">
        <w:rPr>
          <w:rFonts w:ascii="Museo Sans 300" w:eastAsia="Arial" w:hAnsi="Museo Sans 300"/>
          <w:sz w:val="20"/>
          <w:szCs w:val="20"/>
          <w:lang w:val="es-SV"/>
        </w:rPr>
        <w:t xml:space="preserve"> UNIDOS DE AMÉRICA (USD 411.09</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7630C2">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C06BDB">
        <w:rPr>
          <w:rFonts w:ascii="Museo Sans 300" w:eastAsia="Arial" w:hAnsi="Museo Sans 300"/>
          <w:sz w:val="20"/>
          <w:szCs w:val="20"/>
          <w:lang w:val="es-SV"/>
        </w:rPr>
        <w:t xml:space="preserve"> identificado con el NIC </w:t>
      </w:r>
      <w:r w:rsidR="00937A24">
        <w:rPr>
          <w:rFonts w:ascii="Museo Sans 300" w:eastAsia="Arial" w:hAnsi="Museo Sans 300"/>
          <w:sz w:val="20"/>
          <w:szCs w:val="20"/>
          <w:lang w:val="es-SV"/>
        </w:rPr>
        <w:t>XXXXXX</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51A1FF6B"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C06BDB">
        <w:rPr>
          <w:rFonts w:ascii="Museo Sans 300" w:hAnsi="Museo Sans 300"/>
          <w:sz w:val="20"/>
          <w:szCs w:val="20"/>
          <w:lang w:val="es-ES" w:eastAsia="es-ES"/>
        </w:rPr>
        <w:t>040-2020-CAU, de fecha diez</w:t>
      </w:r>
      <w:r w:rsidR="00FF0EAE">
        <w:rPr>
          <w:rFonts w:ascii="Museo Sans 300" w:hAnsi="Museo Sans 300"/>
          <w:sz w:val="20"/>
          <w:szCs w:val="20"/>
          <w:lang w:val="es-ES" w:eastAsia="es-ES"/>
        </w:rPr>
        <w:t xml:space="preserve"> de enero</w:t>
      </w:r>
      <w:r w:rsidR="00C06BDB">
        <w:rPr>
          <w:rFonts w:ascii="Museo Sans 300" w:hAnsi="Museo Sans 300"/>
          <w:sz w:val="20"/>
          <w:szCs w:val="20"/>
          <w:lang w:val="es-ES" w:eastAsia="es-ES"/>
        </w:rPr>
        <w:t xml:space="preserve"> 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53714C17"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0A4DB0">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A54285">
        <w:rPr>
          <w:rFonts w:ascii="Museo Sans 300" w:hAnsi="Museo Sans 300"/>
          <w:sz w:val="20"/>
          <w:szCs w:val="20"/>
          <w:lang w:val="es-ES" w:eastAsia="es-ES"/>
        </w:rPr>
        <w:t>el</w:t>
      </w:r>
      <w:r w:rsidRPr="419B105F">
        <w:rPr>
          <w:rFonts w:ascii="Museo Sans 300" w:hAnsi="Museo Sans 300"/>
          <w:sz w:val="20"/>
          <w:szCs w:val="20"/>
          <w:lang w:val="es-ES" w:eastAsia="es-ES"/>
        </w:rPr>
        <w:t xml:space="preserve"> día</w:t>
      </w:r>
      <w:r w:rsidR="00C06BDB">
        <w:rPr>
          <w:rFonts w:ascii="Museo Sans 300" w:hAnsi="Museo Sans 300"/>
          <w:sz w:val="20"/>
          <w:szCs w:val="20"/>
          <w:lang w:val="es-ES" w:eastAsia="es-ES"/>
        </w:rPr>
        <w:t xml:space="preserve"> quince de enero de dos mil veinte</w:t>
      </w:r>
      <w:r w:rsidRPr="419B105F">
        <w:rPr>
          <w:rFonts w:ascii="Museo Sans 300" w:hAnsi="Museo Sans 300"/>
          <w:sz w:val="20"/>
          <w:szCs w:val="20"/>
          <w:lang w:val="es-ES" w:eastAsia="es-ES"/>
        </w:rPr>
        <w:t xml:space="preserve">, por lo que el período para que la distribuidora se pronunciara finalizó el </w:t>
      </w:r>
      <w:r w:rsidR="00C06BDB">
        <w:rPr>
          <w:rFonts w:ascii="Museo Sans 300" w:hAnsi="Museo Sans 300"/>
          <w:sz w:val="20"/>
          <w:szCs w:val="20"/>
          <w:lang w:val="es-ES" w:eastAsia="es-ES"/>
        </w:rPr>
        <w:t>veintinueve del mismo mes y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44310D44"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06BDB">
        <w:rPr>
          <w:rFonts w:ascii="Museo Sans 300" w:hAnsi="Museo Sans 300"/>
          <w:sz w:val="20"/>
          <w:szCs w:val="20"/>
          <w:lang w:val="es-ES" w:eastAsia="es-ES"/>
        </w:rPr>
        <w:t>día treinta y uno</w:t>
      </w:r>
      <w:r w:rsidR="000A4DB0">
        <w:rPr>
          <w:rFonts w:ascii="Museo Sans 300" w:hAnsi="Museo Sans 300"/>
          <w:sz w:val="20"/>
          <w:szCs w:val="20"/>
          <w:lang w:val="es-ES" w:eastAsia="es-ES"/>
        </w:rPr>
        <w:t xml:space="preserve"> de enero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000A4DB0">
        <w:rPr>
          <w:rFonts w:ascii="Museo Sans 300" w:hAnsi="Museo Sans 300"/>
          <w:sz w:val="20"/>
          <w:szCs w:val="20"/>
          <w:lang w:val="es-ES" w:eastAsia="es-ES"/>
        </w:rPr>
        <w:t xml:space="preserve"> ingeniero</w:t>
      </w:r>
      <w:r w:rsidR="00C06BDB">
        <w:rPr>
          <w:rFonts w:ascii="Museo Sans 300" w:hAnsi="Museo Sans 300"/>
          <w:sz w:val="20"/>
          <w:szCs w:val="20"/>
          <w:lang w:val="es-ES" w:eastAsia="es-ES"/>
        </w:rPr>
        <w:t xml:space="preserve"> </w:t>
      </w:r>
      <w:r w:rsidR="00937A24">
        <w:rPr>
          <w:rFonts w:ascii="Museo Sans 300" w:hAnsi="Museo Sans 300"/>
          <w:sz w:val="20"/>
          <w:szCs w:val="20"/>
          <w:lang w:val="es-ES" w:eastAsia="es-ES"/>
        </w:rPr>
        <w:t>XXXXXX</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06BDB">
        <w:rPr>
          <w:rFonts w:ascii="Museo Sans 300" w:hAnsi="Museo Sans 300"/>
          <w:sz w:val="20"/>
          <w:szCs w:val="20"/>
          <w:lang w:eastAsia="es-ES"/>
        </w:rPr>
        <w:t xml:space="preserve">NIC </w:t>
      </w:r>
      <w:r w:rsidR="00937A24">
        <w:rPr>
          <w:rFonts w:ascii="Museo Sans 300" w:hAnsi="Museo Sans 300"/>
          <w:sz w:val="20"/>
          <w:szCs w:val="20"/>
          <w:lang w:eastAsia="es-ES"/>
        </w:rPr>
        <w:t>XXXXXX</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6CE5D0DC"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C06BDB">
        <w:rPr>
          <w:rFonts w:ascii="Museo Sans 300" w:hAnsi="Museo Sans 300"/>
          <w:sz w:val="20"/>
          <w:szCs w:val="20"/>
          <w:lang w:val="es-ES" w:eastAsia="es-SV"/>
        </w:rPr>
        <w:t xml:space="preserve">nstalados en el medidor </w:t>
      </w:r>
      <w:r w:rsidR="00937A24">
        <w:rPr>
          <w:rFonts w:ascii="Museo Sans 300" w:hAnsi="Museo Sans 300"/>
          <w:sz w:val="20"/>
          <w:szCs w:val="20"/>
          <w:lang w:val="es-ES" w:eastAsia="es-SV"/>
        </w:rPr>
        <w:t>XXXXXX</w:t>
      </w:r>
      <w:r w:rsidR="00631139">
        <w:rPr>
          <w:rFonts w:ascii="Museo Sans 300" w:hAnsi="Museo Sans 300"/>
          <w:sz w:val="20"/>
          <w:szCs w:val="20"/>
          <w:lang w:val="es-ES" w:eastAsia="es-SV"/>
        </w:rPr>
        <w:t>;</w:t>
      </w:r>
    </w:p>
    <w:p w14:paraId="0ED8883D" w14:textId="5A7BA80E"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937A24">
        <w:rPr>
          <w:rFonts w:ascii="Museo Sans 300" w:hAnsi="Museo Sans 300"/>
          <w:sz w:val="20"/>
          <w:szCs w:val="20"/>
          <w:lang w:val="es-ES" w:eastAsia="es-SV"/>
        </w:rPr>
        <w:t>vicio número XXXX</w:t>
      </w:r>
      <w:r w:rsidR="00631139">
        <w:rPr>
          <w:rFonts w:ascii="Museo Sans 300" w:hAnsi="Museo Sans 300"/>
          <w:sz w:val="20"/>
          <w:szCs w:val="20"/>
          <w:lang w:val="es-ES" w:eastAsia="es-SV"/>
        </w:rPr>
        <w:t>;</w:t>
      </w:r>
    </w:p>
    <w:p w14:paraId="373C5805" w14:textId="423CDEA3"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C06BDB">
        <w:rPr>
          <w:rFonts w:ascii="Museo Sans 300" w:hAnsi="Museo Sans 300"/>
          <w:sz w:val="20"/>
          <w:szCs w:val="20"/>
          <w:lang w:val="es-ES" w:eastAsia="es-SV"/>
        </w:rPr>
        <w:t xml:space="preserve">jo la orden </w:t>
      </w:r>
      <w:r w:rsidR="00937A24">
        <w:rPr>
          <w:rFonts w:ascii="Museo Sans 300" w:hAnsi="Museo Sans 300"/>
          <w:sz w:val="20"/>
          <w:szCs w:val="20"/>
          <w:lang w:val="es-ES" w:eastAsia="es-SV"/>
        </w:rPr>
        <w:t>XXXXXX</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1E39259E"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C06BDB">
        <w:rPr>
          <w:rFonts w:ascii="Museo Sans 300" w:eastAsia="Museo Sans 300" w:hAnsi="Museo Sans 300" w:cs="Museo Sans 300"/>
          <w:sz w:val="20"/>
          <w:szCs w:val="20"/>
          <w:lang w:val="es-ES"/>
        </w:rPr>
        <w:t>HA/CAU-114</w:t>
      </w:r>
      <w:r w:rsidR="00994F9C">
        <w:rPr>
          <w:rFonts w:ascii="Museo Sans 300" w:eastAsia="Museo Sans 300" w:hAnsi="Museo Sans 300" w:cs="Museo Sans 300"/>
          <w:sz w:val="20"/>
          <w:szCs w:val="20"/>
          <w:lang w:val="es-ES"/>
        </w:rPr>
        <w:t>/2020</w:t>
      </w:r>
      <w:r w:rsidR="007630C2">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C06BDB">
        <w:rPr>
          <w:rFonts w:ascii="Museo Sans 300" w:eastAsia="Museo Sans 300" w:hAnsi="Museo Sans 300" w:cs="Museo Sans 300"/>
          <w:sz w:val="20"/>
          <w:szCs w:val="20"/>
          <w:lang w:val="es-ES"/>
        </w:rPr>
        <w:t>ha tres de febrero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7630C2">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lastRenderedPageBreak/>
        <w:t xml:space="preserve">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4BE26D3E"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C06BDB">
        <w:rPr>
          <w:rFonts w:ascii="Museo Sans 300" w:hAnsi="Museo Sans 300"/>
          <w:sz w:val="20"/>
          <w:szCs w:val="20"/>
          <w:lang w:val="es-ES" w:eastAsia="es-ES"/>
        </w:rPr>
        <w:t>213</w:t>
      </w:r>
      <w:r>
        <w:rPr>
          <w:rFonts w:ascii="Museo Sans 300" w:hAnsi="Museo Sans 300"/>
          <w:sz w:val="20"/>
          <w:szCs w:val="20"/>
          <w:lang w:val="es-ES" w:eastAsia="es-ES"/>
        </w:rPr>
        <w:t xml:space="preserve">-2020-CAU, de fecha </w:t>
      </w:r>
      <w:r w:rsidR="00C06BDB">
        <w:rPr>
          <w:rFonts w:ascii="Museo Sans 300" w:hAnsi="Museo Sans 300"/>
          <w:sz w:val="20"/>
          <w:szCs w:val="20"/>
          <w:lang w:val="es-ES" w:eastAsia="es-ES"/>
        </w:rPr>
        <w:t>diez de febrero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A141AA">
        <w:rPr>
          <w:rFonts w:ascii="Museo Sans 300" w:hAnsi="Museo Sans 300"/>
          <w:sz w:val="20"/>
          <w:szCs w:val="20"/>
          <w:lang w:val="es-ES" w:eastAsia="es-ES"/>
        </w:rPr>
        <w:t xml:space="preserve"> recién pasado</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FA04FA">
        <w:rPr>
          <w:rFonts w:ascii="Museo Sans 300" w:hAnsi="Museo Sans 300"/>
          <w:sz w:val="20"/>
          <w:szCs w:val="20"/>
          <w:lang w:val="es-ES" w:eastAsia="es-ES"/>
        </w:rPr>
        <w:t>esente procedimiento</w:t>
      </w:r>
      <w:r w:rsidR="007630C2">
        <w:rPr>
          <w:rFonts w:ascii="Museo Sans 300" w:hAnsi="Museo Sans 300"/>
          <w:sz w:val="20"/>
          <w:szCs w:val="20"/>
          <w:lang w:val="es-ES" w:eastAsia="es-ES"/>
        </w:rPr>
        <w:t>, por el plazo de veinte días contados a partir del día siguiente a la notificación de dicho acuerdo,</w:t>
      </w:r>
      <w:r w:rsidR="00FA04FA">
        <w:rPr>
          <w:rFonts w:ascii="Museo Sans 300" w:hAnsi="Museo Sans 300"/>
          <w:sz w:val="20"/>
          <w:szCs w:val="20"/>
          <w:lang w:val="es-ES" w:eastAsia="es-ES"/>
        </w:rPr>
        <w:t xml:space="preserve"> para que el señ</w:t>
      </w:r>
      <w:r w:rsidR="00032A22">
        <w:rPr>
          <w:rFonts w:ascii="Museo Sans 300" w:hAnsi="Museo Sans 300"/>
          <w:sz w:val="20"/>
          <w:szCs w:val="20"/>
          <w:lang w:val="es-ES" w:eastAsia="es-ES"/>
        </w:rPr>
        <w:t xml:space="preserve">or </w:t>
      </w:r>
      <w:r w:rsidR="00937A24">
        <w:rPr>
          <w:rFonts w:ascii="Museo Sans 300" w:hAnsi="Museo Sans 300"/>
          <w:sz w:val="20"/>
          <w:szCs w:val="20"/>
          <w:lang w:val="es-ES" w:eastAsia="es-ES"/>
        </w:rPr>
        <w:t>XXXXXX</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5D0486D4" w14:textId="664A079D" w:rsidR="00032A22" w:rsidRDefault="00032A22" w:rsidP="00032A2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w:t>
      </w:r>
      <w:r w:rsidR="003D0579">
        <w:rPr>
          <w:rFonts w:ascii="Museo Sans 300" w:hAnsi="Museo Sans 300"/>
          <w:sz w:val="20"/>
          <w:szCs w:val="20"/>
          <w:lang w:val="es-ES_tradnl" w:eastAsia="es-ES"/>
        </w:rPr>
        <w:t>istribuidora y al usuario el día doce de febrero</w:t>
      </w:r>
      <w:r>
        <w:rPr>
          <w:rFonts w:ascii="Museo Sans 300" w:hAnsi="Museo Sans 300"/>
          <w:sz w:val="20"/>
          <w:szCs w:val="20"/>
          <w:lang w:val="es-ES_tradnl" w:eastAsia="es-ES"/>
        </w:rPr>
        <w:t xml:space="preserve"> del año dos mil veinte, por lo que el plazo para pronunciarse venció el día</w:t>
      </w:r>
      <w:r w:rsidR="003D0579">
        <w:rPr>
          <w:rFonts w:ascii="Museo Sans 300" w:hAnsi="Museo Sans 300"/>
          <w:sz w:val="20"/>
          <w:szCs w:val="20"/>
          <w:lang w:val="es-ES_tradnl" w:eastAsia="es-ES"/>
        </w:rPr>
        <w:t xml:space="preserve"> once de marzo</w:t>
      </w:r>
      <w:r>
        <w:rPr>
          <w:rFonts w:ascii="Museo Sans 300" w:hAnsi="Museo Sans 300"/>
          <w:sz w:val="20"/>
          <w:szCs w:val="20"/>
          <w:lang w:val="es-ES_tradnl" w:eastAsia="es-ES"/>
        </w:rPr>
        <w:t xml:space="preserve"> de dicho añ</w:t>
      </w:r>
      <w:r w:rsidR="003D0579">
        <w:rPr>
          <w:rFonts w:ascii="Museo Sans 300" w:hAnsi="Museo Sans 300"/>
          <w:sz w:val="20"/>
          <w:szCs w:val="20"/>
          <w:lang w:val="es-ES_tradnl" w:eastAsia="es-ES"/>
        </w:rPr>
        <w:t>o, sin que la distribuidora y el usuario</w:t>
      </w:r>
      <w:r>
        <w:rPr>
          <w:rFonts w:ascii="Museo Sans 300" w:hAnsi="Museo Sans 300"/>
          <w:sz w:val="20"/>
          <w:szCs w:val="20"/>
          <w:lang w:val="es-ES_tradnl" w:eastAsia="es-ES"/>
        </w:rPr>
        <w:t xml:space="preserve"> hicieran uso del derecho de defensa otorgado.</w:t>
      </w:r>
    </w:p>
    <w:p w14:paraId="403E2620" w14:textId="77777777" w:rsidR="00032A22" w:rsidRDefault="00032A22" w:rsidP="00032A22">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5E1A329E"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3D0579">
        <w:rPr>
          <w:rFonts w:ascii="Museo Sans 300" w:hAnsi="Museo Sans 300"/>
          <w:sz w:val="20"/>
          <w:szCs w:val="20"/>
          <w:lang w:eastAsia="es-ES"/>
        </w:rPr>
        <w:t>457</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3D0579">
        <w:rPr>
          <w:rFonts w:ascii="Museo Sans 300" w:hAnsi="Museo Sans 300"/>
          <w:sz w:val="20"/>
          <w:szCs w:val="20"/>
          <w:lang w:eastAsia="es-ES"/>
        </w:rPr>
        <w:t xml:space="preserve"> diecisiete</w:t>
      </w:r>
      <w:r w:rsidR="00FA04FA">
        <w:rPr>
          <w:rFonts w:ascii="Museo Sans 300" w:hAnsi="Museo Sans 300"/>
          <w:sz w:val="20"/>
          <w:szCs w:val="20"/>
          <w:lang w:eastAsia="es-ES"/>
        </w:rPr>
        <w:t xml:space="preserve"> de marzo</w:t>
      </w:r>
      <w:r w:rsidR="00797B83">
        <w:rPr>
          <w:rFonts w:ascii="Museo Sans 300" w:hAnsi="Museo Sans 300"/>
          <w:sz w:val="20"/>
          <w:szCs w:val="20"/>
          <w:lang w:eastAsia="es-ES"/>
        </w:rPr>
        <w:t xml:space="preserve"> del año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3D0579">
        <w:rPr>
          <w:rFonts w:ascii="Museo Sans 300" w:eastAsia="Times New Roman" w:hAnsi="Museo Sans 300"/>
          <w:sz w:val="20"/>
          <w:szCs w:val="20"/>
          <w:lang w:eastAsia="es-ES"/>
        </w:rPr>
        <w:t xml:space="preserve">NIC </w:t>
      </w:r>
      <w:r w:rsidR="00937A24">
        <w:rPr>
          <w:rFonts w:ascii="Museo Sans 300" w:eastAsia="Times New Roman" w:hAnsi="Museo Sans 300"/>
          <w:sz w:val="20"/>
          <w:szCs w:val="20"/>
          <w:lang w:eastAsia="es-ES"/>
        </w:rPr>
        <w:t>XXXXXX</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7B58285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FA04FA">
        <w:rPr>
          <w:rFonts w:ascii="Museo Sans 300" w:eastAsia="Calibri" w:hAnsi="Museo Sans 300"/>
          <w:sz w:val="20"/>
          <w:szCs w:val="20"/>
          <w:lang w:eastAsia="es-SV"/>
        </w:rPr>
        <w:t xml:space="preserve"> y al usuario</w:t>
      </w:r>
      <w:r w:rsidR="00AA4006">
        <w:rPr>
          <w:rFonts w:ascii="Museo Sans 300" w:eastAsia="Calibri" w:hAnsi="Museo Sans 300"/>
          <w:sz w:val="20"/>
          <w:szCs w:val="20"/>
          <w:lang w:eastAsia="es-SV"/>
        </w:rPr>
        <w:t xml:space="preserve"> los</w:t>
      </w:r>
      <w:r w:rsidR="000502AB">
        <w:rPr>
          <w:rFonts w:ascii="Museo Sans 300" w:eastAsia="Calibri" w:hAnsi="Museo Sans 300"/>
          <w:sz w:val="20"/>
          <w:szCs w:val="20"/>
          <w:lang w:eastAsia="es-SV"/>
        </w:rPr>
        <w:t xml:space="preserve"> día</w:t>
      </w:r>
      <w:r w:rsidR="00AA4006">
        <w:rPr>
          <w:rFonts w:ascii="Museo Sans 300" w:eastAsia="Calibri" w:hAnsi="Museo Sans 300"/>
          <w:sz w:val="20"/>
          <w:szCs w:val="20"/>
          <w:lang w:eastAsia="es-SV"/>
        </w:rPr>
        <w:t>s</w:t>
      </w:r>
      <w:r w:rsidRPr="00937F60">
        <w:rPr>
          <w:rFonts w:ascii="Museo Sans 300" w:eastAsia="Calibri" w:hAnsi="Museo Sans 300"/>
          <w:sz w:val="20"/>
          <w:szCs w:val="20"/>
          <w:lang w:eastAsia="es-SV"/>
        </w:rPr>
        <w:t xml:space="preserve"> </w:t>
      </w:r>
      <w:r w:rsidR="003D0579">
        <w:rPr>
          <w:rFonts w:ascii="Museo Sans 300" w:eastAsia="Calibri" w:hAnsi="Museo Sans 300"/>
          <w:sz w:val="20"/>
          <w:szCs w:val="20"/>
          <w:lang w:eastAsia="es-SV"/>
        </w:rPr>
        <w:t>veinte y veinticuatro</w:t>
      </w:r>
      <w:r w:rsidR="00FA04FA">
        <w:rPr>
          <w:rFonts w:ascii="Museo Sans 300" w:eastAsia="Calibri" w:hAnsi="Museo Sans 300"/>
          <w:sz w:val="20"/>
          <w:szCs w:val="20"/>
          <w:lang w:eastAsia="es-SV"/>
        </w:rPr>
        <w:t xml:space="preserve"> de marzo</w:t>
      </w:r>
      <w:r w:rsidR="00AA4006">
        <w:rPr>
          <w:rFonts w:ascii="Museo Sans 300" w:eastAsia="Calibri" w:hAnsi="Museo Sans 300"/>
          <w:sz w:val="20"/>
          <w:szCs w:val="20"/>
          <w:lang w:eastAsia="es-SV"/>
        </w:rPr>
        <w:t xml:space="preserve"> del año recién </w:t>
      </w:r>
      <w:r w:rsidR="002A7764">
        <w:rPr>
          <w:rFonts w:ascii="Museo Sans 300" w:eastAsia="Calibri" w:hAnsi="Museo Sans 300"/>
          <w:sz w:val="20"/>
          <w:szCs w:val="20"/>
          <w:lang w:eastAsia="es-SV"/>
        </w:rPr>
        <w:t>pasado.</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6380F3CC"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297A79">
        <w:rPr>
          <w:rFonts w:ascii="Museo Sans 300" w:eastAsia="Calibri" w:hAnsi="Museo Sans 300"/>
          <w:sz w:val="20"/>
          <w:szCs w:val="20"/>
        </w:rPr>
        <w:t>día veintiuno de diciembre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297A79">
        <w:rPr>
          <w:rFonts w:ascii="Museo Sans 300" w:eastAsia="Calibri" w:hAnsi="Museo Sans 300"/>
          <w:sz w:val="20"/>
          <w:szCs w:val="20"/>
        </w:rPr>
        <w:t>IT-0424</w:t>
      </w:r>
      <w:r w:rsidR="005B53F5">
        <w:rPr>
          <w:rFonts w:ascii="Museo Sans 300" w:eastAsia="Calibri" w:hAnsi="Museo Sans 300"/>
          <w:sz w:val="20"/>
          <w:szCs w:val="20"/>
        </w:rPr>
        <w:t>-CAU</w:t>
      </w:r>
      <w:r w:rsidR="00297A79">
        <w:rPr>
          <w:rFonts w:ascii="Museo Sans 300" w:eastAsia="Calibri" w:hAnsi="Museo Sans 300"/>
          <w:sz w:val="20"/>
          <w:szCs w:val="20"/>
        </w:rPr>
        <w:t>-20</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675A617E" w14:textId="2380251B" w:rsidR="00F35AAC" w:rsidRPr="00937F60" w:rsidRDefault="00F35AAC" w:rsidP="00937A24">
      <w:pPr>
        <w:tabs>
          <w:tab w:val="left" w:pos="1245"/>
        </w:tabs>
        <w:spacing w:after="0" w:line="240" w:lineRule="auto"/>
        <w:ind w:left="426"/>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A0E90A6" w14:textId="5C2ED055" w:rsidR="009B6479" w:rsidRPr="009B6479" w:rsidRDefault="003F3EE2" w:rsidP="009B6479">
      <w:pPr>
        <w:spacing w:line="240" w:lineRule="auto"/>
        <w:ind w:left="709" w:right="425"/>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005B53F5">
        <w:rPr>
          <w:rFonts w:ascii="Museo 300" w:hAnsi="Museo 300"/>
          <w:sz w:val="16"/>
          <w:szCs w:val="16"/>
        </w:rPr>
        <w:t xml:space="preserve"> </w:t>
      </w:r>
      <w:r w:rsidR="009B6479" w:rsidRPr="009B6479">
        <w:rPr>
          <w:rFonts w:ascii="Museo 300" w:hAnsi="Museo 300"/>
          <w:sz w:val="16"/>
          <w:szCs w:val="16"/>
        </w:rPr>
        <w:t>a la información requerida y provista por la EEO, se han extraído las siguientes fotografías mediante las cuales se observa la condición encontrada en el suministro objeto del presente informe, detallando el incumplimiento a las condiciones contractuales, debido a la alteración en la acometida de la empresa distribuidora antes del equipo de medición, haciendo falso contacto en ambas fases, unidas con cinta aislante simulando estar correctamente instalada, lo cual evitaba el registro correcto de consumo. Como se puede observar en la fotografías n.° 1 y 2.</w:t>
      </w:r>
    </w:p>
    <w:p w14:paraId="4AE096CC" w14:textId="061C3C5A" w:rsidR="009B6479" w:rsidRDefault="009B6479" w:rsidP="00297A79">
      <w:pPr>
        <w:spacing w:after="0" w:line="240" w:lineRule="auto"/>
        <w:ind w:left="709" w:right="425"/>
        <w:jc w:val="center"/>
        <w:rPr>
          <w:rFonts w:ascii="Museo 300" w:hAnsi="Museo 300"/>
          <w:sz w:val="16"/>
          <w:szCs w:val="16"/>
        </w:rPr>
      </w:pPr>
    </w:p>
    <w:p w14:paraId="3C73936F" w14:textId="77777777" w:rsidR="009B6479" w:rsidRPr="009B6479" w:rsidRDefault="009B6479" w:rsidP="009B6479">
      <w:pPr>
        <w:spacing w:line="240" w:lineRule="auto"/>
        <w:ind w:left="709" w:right="425"/>
        <w:jc w:val="both"/>
        <w:rPr>
          <w:rFonts w:ascii="Museo 300" w:hAnsi="Museo 300"/>
          <w:sz w:val="16"/>
          <w:szCs w:val="16"/>
        </w:rPr>
      </w:pPr>
      <w:r w:rsidRPr="009B6479">
        <w:rPr>
          <w:rFonts w:ascii="Museo 300" w:hAnsi="Museo 300"/>
          <w:sz w:val="16"/>
          <w:szCs w:val="16"/>
        </w:rPr>
        <w:t xml:space="preserve">En la referida inspección, la EEO encontró ambas fases de la acometida de EEO, manipuladas, con lo cual se afectó el registro de energía en el equipo de medición titular, si una de las fases debido al empalme realizado con la cinta aislante, no realiza un buen contacto, el equipo de medición no registra el consumo de la carga. </w:t>
      </w:r>
    </w:p>
    <w:p w14:paraId="15FFF7FB" w14:textId="134A48F2" w:rsidR="00797B83" w:rsidRPr="00695D31" w:rsidRDefault="009B6479" w:rsidP="009B6479">
      <w:pPr>
        <w:spacing w:line="240" w:lineRule="auto"/>
        <w:ind w:left="709" w:right="425"/>
        <w:jc w:val="both"/>
        <w:rPr>
          <w:rFonts w:ascii="Museo 300" w:hAnsi="Museo 300"/>
          <w:sz w:val="16"/>
          <w:szCs w:val="16"/>
        </w:rPr>
      </w:pPr>
      <w:r w:rsidRPr="009B6479">
        <w:rPr>
          <w:rFonts w:ascii="Museo 300" w:hAnsi="Museo 300"/>
          <w:color w:val="000000" w:themeColor="text1"/>
          <w:sz w:val="16"/>
          <w:szCs w:val="16"/>
        </w:rPr>
        <w:t>En análisis en los históricos de consumo se observa que luego de la corrección de la irregularidad el mes siguiente a esta corrección se incrementa el consumo de energía. Con base en las pruebas analizadas, el CAU determina que la distribuidora EEO cuenta con la evidencia clara y contundente, con la cual se demuestra que en el suministro en referencia existió una condición irregular que consistía en una alteración en la acometida de la empresa distribuidora, haciendo falso contacto en ambas fases, unidas solo con una cinta aislante simulando un conductor continuo y estar funcionando correctamente el equipo de medición asociado a este suministro.</w:t>
      </w:r>
      <w:r w:rsidRPr="009B6479">
        <w:rPr>
          <w:rFonts w:ascii="Museo 300" w:hAnsi="Museo 300"/>
          <w:b/>
          <w:color w:val="000000" w:themeColor="text1"/>
          <w:sz w:val="16"/>
          <w:szCs w:val="16"/>
        </w:rPr>
        <w:t xml:space="preserve"> </w:t>
      </w:r>
      <w:r w:rsidRPr="009B6479">
        <w:rPr>
          <w:rFonts w:ascii="Museo 300" w:hAnsi="Museo 300"/>
          <w:color w:val="000000" w:themeColor="text1"/>
          <w:sz w:val="16"/>
          <w:szCs w:val="16"/>
        </w:rPr>
        <w:t>Tal acción es claramente un</w:t>
      </w:r>
      <w:r w:rsidRPr="009B6479">
        <w:rPr>
          <w:rFonts w:ascii="Museo 300" w:hAnsi="Museo 300"/>
          <w:b/>
          <w:color w:val="000000" w:themeColor="text1"/>
          <w:sz w:val="16"/>
          <w:szCs w:val="16"/>
        </w:rPr>
        <w:t xml:space="preserve"> </w:t>
      </w:r>
      <w:r w:rsidRPr="009B6479">
        <w:rPr>
          <w:rFonts w:ascii="Museo 300" w:hAnsi="Museo 300"/>
          <w:color w:val="000000" w:themeColor="text1"/>
          <w:sz w:val="16"/>
          <w:szCs w:val="16"/>
        </w:rPr>
        <w:t>Incumplimiento de lo establecido en los Términos y Condicione Generales al Consumidor del año</w:t>
      </w:r>
      <w:r>
        <w:rPr>
          <w:rFonts w:ascii="Museo 300" w:hAnsi="Museo 300"/>
          <w:color w:val="000000" w:themeColor="text1"/>
          <w:sz w:val="16"/>
          <w:szCs w:val="16"/>
        </w:rPr>
        <w:t xml:space="preserve"> 2019</w:t>
      </w:r>
      <w:r w:rsidR="00797B83">
        <w:rPr>
          <w:rFonts w:ascii="Museo 300" w:hAnsi="Museo 300"/>
          <w:color w:val="000000" w:themeColor="text1"/>
          <w:sz w:val="16"/>
          <w:szCs w:val="16"/>
        </w:rPr>
        <w:t>.</w:t>
      </w:r>
      <w:r w:rsidR="00797B83" w:rsidRPr="00695D31">
        <w:rPr>
          <w:rFonts w:ascii="Museo Sans 300" w:eastAsia="SimSun" w:hAnsi="Museo Sans 300" w:cs="Arial"/>
          <w:color w:val="000000"/>
          <w:spacing w:val="-5"/>
          <w:sz w:val="16"/>
          <w:szCs w:val="16"/>
          <w:lang w:val="es-ES"/>
        </w:rPr>
        <w:t xml:space="preserve"> </w:t>
      </w:r>
      <w:r w:rsidR="00797B83">
        <w:rPr>
          <w:rFonts w:ascii="Museo Sans 300" w:eastAsia="SimSun" w:hAnsi="Museo Sans 300" w:cs="Arial"/>
          <w:color w:val="000000"/>
          <w:spacing w:val="-5"/>
          <w:sz w:val="16"/>
          <w:szCs w:val="16"/>
          <w:lang w:val="es-ES"/>
        </w:rPr>
        <w:t>[…]”</w:t>
      </w:r>
      <w:r w:rsidR="00797B83" w:rsidRPr="00ED3900">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t>Determinación de la energía consumida y no registrada: </w:t>
      </w:r>
    </w:p>
    <w:p w14:paraId="293F521E" w14:textId="3291FFFD" w:rsidR="00E03F44" w:rsidRPr="00E03F44" w:rsidRDefault="002C45E3" w:rsidP="00E03F44">
      <w:pPr>
        <w:spacing w:line="240" w:lineRule="auto"/>
        <w:ind w:left="709" w:right="425"/>
        <w:jc w:val="both"/>
        <w:rPr>
          <w:rFonts w:ascii="Museo 300" w:hAnsi="Museo 300" w:cs="Arial"/>
          <w:color w:val="000000" w:themeColor="text1"/>
          <w:sz w:val="16"/>
          <w:szCs w:val="16"/>
        </w:rPr>
      </w:pPr>
      <w:r w:rsidRPr="002C45E3">
        <w:rPr>
          <w:rFonts w:ascii="Museo 300" w:hAnsi="Museo 300"/>
          <w:color w:val="000000"/>
          <w:sz w:val="16"/>
          <w:szCs w:val="16"/>
        </w:rPr>
        <w:t xml:space="preserve">“[…] </w:t>
      </w:r>
      <w:r w:rsidR="00E03F44" w:rsidRPr="00E03F44">
        <w:rPr>
          <w:rFonts w:ascii="Museo 300" w:hAnsi="Museo 300"/>
          <w:color w:val="000000" w:themeColor="text1"/>
          <w:sz w:val="16"/>
          <w:szCs w:val="16"/>
        </w:rPr>
        <w:t xml:space="preserve">Conforme con lo analizado en el presente informe, y en consideración con lo estipulado en los artículos 7, 20 y 21 de los Términos y Condiciones Generales al Consumidor Final, del Pliego Tarifario vigente para el año 2019, se han </w:t>
      </w:r>
      <w:r w:rsidR="00E03F44" w:rsidRPr="00E03F44">
        <w:rPr>
          <w:rFonts w:ascii="Museo 300" w:hAnsi="Museo 300"/>
          <w:color w:val="000000" w:themeColor="text1"/>
          <w:sz w:val="16"/>
          <w:szCs w:val="16"/>
        </w:rPr>
        <w:lastRenderedPageBreak/>
        <w:t>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0F31EEC" w14:textId="77777777" w:rsidR="00E03F44" w:rsidRPr="00E03F44" w:rsidRDefault="00E03F44" w:rsidP="00E03F44">
      <w:pPr>
        <w:spacing w:line="240" w:lineRule="auto"/>
        <w:ind w:left="709" w:right="425"/>
        <w:jc w:val="both"/>
        <w:rPr>
          <w:rFonts w:ascii="Museo 300" w:hAnsi="Museo 300"/>
          <w:color w:val="000000" w:themeColor="text1"/>
          <w:sz w:val="16"/>
          <w:szCs w:val="16"/>
        </w:rPr>
      </w:pPr>
      <w:r w:rsidRPr="00E03F44">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2355DF0" w14:textId="77777777" w:rsidR="00E03F44" w:rsidRPr="00E03F44" w:rsidRDefault="00E03F44" w:rsidP="00E03F44">
      <w:pPr>
        <w:spacing w:line="240" w:lineRule="auto"/>
        <w:ind w:left="709" w:right="425"/>
        <w:jc w:val="both"/>
        <w:rPr>
          <w:rFonts w:ascii="Museo 300" w:hAnsi="Museo 300"/>
          <w:color w:val="000000" w:themeColor="text1"/>
          <w:sz w:val="16"/>
          <w:szCs w:val="16"/>
        </w:rPr>
      </w:pPr>
      <w:r w:rsidRPr="00E03F44">
        <w:rPr>
          <w:rFonts w:ascii="Museo 300" w:hAnsi="Museo 300"/>
          <w:color w:val="000000" w:themeColor="text1"/>
          <w:sz w:val="16"/>
          <w:szCs w:val="16"/>
        </w:rPr>
        <w:t>En vista de las consideraciones expuestas, se hacen las siguientes valoraciones:</w:t>
      </w:r>
    </w:p>
    <w:p w14:paraId="56CC342F" w14:textId="77777777" w:rsidR="00E03F44" w:rsidRPr="00E03F44" w:rsidRDefault="00E03F44" w:rsidP="00E03F44">
      <w:pPr>
        <w:numPr>
          <w:ilvl w:val="0"/>
          <w:numId w:val="18"/>
        </w:numPr>
        <w:spacing w:line="240" w:lineRule="auto"/>
        <w:ind w:right="425" w:hanging="357"/>
        <w:jc w:val="both"/>
        <w:rPr>
          <w:rFonts w:ascii="Museo 300" w:hAnsi="Museo 300"/>
          <w:color w:val="000000" w:themeColor="text1"/>
          <w:sz w:val="16"/>
          <w:szCs w:val="16"/>
        </w:rPr>
      </w:pPr>
      <w:r w:rsidRPr="00E03F44">
        <w:rPr>
          <w:rFonts w:ascii="Museo 300" w:hAnsi="Museo 300"/>
          <w:color w:val="000000" w:themeColor="text1"/>
          <w:sz w:val="16"/>
          <w:szCs w:val="16"/>
        </w:rPr>
        <w:t>El cálculo del período retroactivo de recuperación de una energía no registrada, corresponde a 116 días comprendidos entre el 19 de agosto al 13 de diciembre ambas fechas del año 2019; cabe aclarar que en el período de recuperación para la ENR puede ser hasta 180 días, tal como lo indica el Procedimiento para Investigar la Existencia de Condiciones Irregulares, sin embargo en el presente caso, se ha determinado que el período es de 116 días, ya que en la gráfica n. °1 se observa que los consumos empiezan a decaer a partir del mes de agosto del año 2019.</w:t>
      </w:r>
    </w:p>
    <w:p w14:paraId="6D98F2B3" w14:textId="77777777" w:rsidR="00E03F44" w:rsidRPr="00E03F44" w:rsidRDefault="00E03F44" w:rsidP="00E03F44">
      <w:pPr>
        <w:numPr>
          <w:ilvl w:val="0"/>
          <w:numId w:val="18"/>
        </w:numPr>
        <w:spacing w:line="240" w:lineRule="auto"/>
        <w:ind w:right="425" w:hanging="357"/>
        <w:jc w:val="both"/>
        <w:rPr>
          <w:rFonts w:ascii="Museo 300" w:hAnsi="Museo 300"/>
          <w:color w:val="000000" w:themeColor="text1"/>
          <w:sz w:val="16"/>
          <w:szCs w:val="16"/>
        </w:rPr>
      </w:pPr>
      <w:r w:rsidRPr="00E03F44">
        <w:rPr>
          <w:rFonts w:ascii="Museo 300" w:hAnsi="Museo 300"/>
          <w:color w:val="000000" w:themeColor="text1"/>
          <w:sz w:val="16"/>
          <w:szCs w:val="16"/>
        </w:rPr>
        <w:t>Se ha tomado como base el método indicado en el literal a) artículo 5.2 contenido en el “Procedimiento para Investigar la Existencia de Condiciones Irregulares en el Suministro de Energía Eléctrica del Usuario Final”, que corresponde al historial de registros mensuales correctos del consumo del suministro del usuario final, tomando como base el promedio el mismo promedio de consumo mensual obtenido por la distribuidora, del período de 6 meses, comprendido entre febrero agosto del año 2019.</w:t>
      </w:r>
    </w:p>
    <w:p w14:paraId="7587DB20" w14:textId="3523EE5F" w:rsidR="007B46B2" w:rsidRPr="00E03F44" w:rsidRDefault="00E03F44" w:rsidP="00E03F44">
      <w:pPr>
        <w:spacing w:line="240" w:lineRule="auto"/>
        <w:ind w:left="709" w:right="425"/>
        <w:jc w:val="both"/>
        <w:rPr>
          <w:rFonts w:ascii="Museo 300" w:hAnsi="Museo 300"/>
          <w:color w:val="000000" w:themeColor="text1"/>
          <w:sz w:val="16"/>
          <w:szCs w:val="16"/>
        </w:rPr>
      </w:pPr>
      <w:r w:rsidRPr="00E03F44">
        <w:rPr>
          <w:rFonts w:ascii="Museo 300" w:hAnsi="Museo 300"/>
          <w:color w:val="000000" w:themeColor="text1"/>
          <w:sz w:val="16"/>
          <w:szCs w:val="16"/>
        </w:rPr>
        <w:t>Se ha procedido por parte del personal técnico del CAU de la SIGET, a evaluar el cálculo de la energía no registrada, así como el pliego tarifario aplicado, que sea el vigente, determinándose que el monto que fue calculado y facturado por la EEO, correspondiente a la cantidad de cuatrocientos once 09/100 dólares de los Estados Unidos de América (USD 411.09) IVA incluido, equivalente a una energía no registrada de 1,529</w:t>
      </w:r>
      <w:r>
        <w:rPr>
          <w:rFonts w:ascii="Museo 300" w:hAnsi="Museo 300"/>
          <w:color w:val="000000" w:themeColor="text1"/>
          <w:sz w:val="16"/>
          <w:szCs w:val="16"/>
        </w:rPr>
        <w:t xml:space="preserve"> </w:t>
      </w:r>
      <w:proofErr w:type="spellStart"/>
      <w:r>
        <w:rPr>
          <w:rFonts w:ascii="Museo 300" w:hAnsi="Museo 300"/>
          <w:color w:val="000000" w:themeColor="text1"/>
          <w:sz w:val="16"/>
          <w:szCs w:val="16"/>
        </w:rPr>
        <w:t>kWh</w:t>
      </w:r>
      <w:proofErr w:type="spellEnd"/>
      <w:r>
        <w:rPr>
          <w:rFonts w:ascii="Museo 300" w:hAnsi="Museo 300"/>
          <w:color w:val="000000" w:themeColor="text1"/>
          <w:sz w:val="16"/>
          <w:szCs w:val="16"/>
        </w:rPr>
        <w:t xml:space="preserve">, es procedente. </w:t>
      </w:r>
      <w:r w:rsidR="007B46B2" w:rsidRPr="00984EF7">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6C2EDC3E" w14:textId="0FEA6B89" w:rsidR="006A789E" w:rsidRPr="006A789E" w:rsidRDefault="006A789E" w:rsidP="006A789E">
      <w:pPr>
        <w:numPr>
          <w:ilvl w:val="0"/>
          <w:numId w:val="6"/>
        </w:numPr>
        <w:spacing w:after="0" w:line="240" w:lineRule="auto"/>
        <w:ind w:left="1276" w:right="565"/>
        <w:jc w:val="both"/>
        <w:rPr>
          <w:rFonts w:ascii="Museo 300" w:hAnsi="Museo 300" w:cs="Arial"/>
          <w:color w:val="000000"/>
          <w:sz w:val="16"/>
          <w:szCs w:val="16"/>
        </w:rPr>
      </w:pPr>
      <w:r w:rsidRPr="006A789E">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la manipulación en la acometida de la empresa distribuidora en este caso las fases A y B, debido a la simulación de la unión de las fases por medio de cinta aislante para establecer una continuidad de los conductores de la acometida, con el fin de afectar el correcto registro de la energía que era consumida en el citado suministro.</w:t>
      </w:r>
    </w:p>
    <w:p w14:paraId="2F2C1A8C" w14:textId="77777777" w:rsidR="006A789E" w:rsidRPr="006A789E" w:rsidRDefault="006A789E" w:rsidP="006A789E">
      <w:pPr>
        <w:spacing w:after="0" w:line="240" w:lineRule="auto"/>
        <w:ind w:left="1276" w:right="565"/>
        <w:jc w:val="both"/>
        <w:rPr>
          <w:rFonts w:ascii="Museo 300" w:hAnsi="Museo 300" w:cs="Arial"/>
          <w:color w:val="000000"/>
          <w:sz w:val="16"/>
          <w:szCs w:val="16"/>
        </w:rPr>
      </w:pPr>
    </w:p>
    <w:p w14:paraId="7524AEE5" w14:textId="59D51280" w:rsidR="007B46B2" w:rsidRPr="006A789E" w:rsidRDefault="006A789E" w:rsidP="006A789E">
      <w:pPr>
        <w:numPr>
          <w:ilvl w:val="0"/>
          <w:numId w:val="6"/>
        </w:numPr>
        <w:spacing w:after="0" w:line="240" w:lineRule="auto"/>
        <w:ind w:left="1276" w:right="565"/>
        <w:jc w:val="both"/>
        <w:rPr>
          <w:rFonts w:ascii="Museo 300" w:hAnsi="Museo 300"/>
          <w:sz w:val="16"/>
          <w:szCs w:val="16"/>
        </w:rPr>
      </w:pPr>
      <w:r w:rsidRPr="006A789E">
        <w:rPr>
          <w:rFonts w:ascii="Museo 300" w:hAnsi="Museo 300" w:cs="Arial"/>
          <w:sz w:val="16"/>
          <w:szCs w:val="16"/>
        </w:rPr>
        <w:t>Por tanto, el cobro de la cantidad de cuatrocientos once 09</w:t>
      </w:r>
      <w:r w:rsidRPr="006A789E">
        <w:rPr>
          <w:rFonts w:ascii="Museo 300" w:hAnsi="Museo 300" w:cs="Arial"/>
          <w:color w:val="000000" w:themeColor="text1"/>
          <w:sz w:val="16"/>
          <w:szCs w:val="16"/>
        </w:rPr>
        <w:t>/100 dólares de los Estados Unidos de América (USD 411.09) IVA incluido</w:t>
      </w:r>
      <w:r w:rsidRPr="006A789E">
        <w:rPr>
          <w:rFonts w:ascii="Museo 300" w:hAnsi="Museo 300" w:cs="Arial"/>
          <w:sz w:val="16"/>
          <w:szCs w:val="16"/>
        </w:rPr>
        <w:t>, que la EEO pretende cobrar en concepto de una energía consumida y no registrada, es procedente; además, la distribuidora podrá efectuar el cobro de los intereses generados, tal y como se indica en el artículo 36 de los Términos y Condiciones Generales al Consumidor Final, correspondiente al año 2019.</w:t>
      </w:r>
      <w:r w:rsidR="00BC3D49" w:rsidRPr="006A789E">
        <w:rPr>
          <w:rFonts w:ascii="Museo 300" w:hAnsi="Museo 300" w:cs="Arial"/>
          <w:sz w:val="16"/>
          <w:szCs w:val="16"/>
        </w:rPr>
        <w:t xml:space="preserve"> </w:t>
      </w:r>
      <w:r w:rsidR="007B46B2" w:rsidRPr="006A789E">
        <w:rPr>
          <w:rFonts w:ascii="Museo 300" w:hAnsi="Museo 300"/>
          <w:sz w:val="16"/>
          <w:szCs w:val="16"/>
          <w:lang w:val="es-ES"/>
        </w:rPr>
        <w:t>[…]”</w:t>
      </w:r>
      <w:r w:rsidR="005273FC" w:rsidRPr="006A789E">
        <w:rPr>
          <w:rFonts w:ascii="Museo 300" w:hAnsi="Museo 300"/>
          <w:sz w:val="16"/>
          <w:szCs w:val="16"/>
          <w:lang w:val="es-ES"/>
        </w:rPr>
        <w:t>.</w:t>
      </w:r>
      <w:r w:rsidR="007B46B2" w:rsidRPr="006A789E">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1883E23A"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6A789E">
        <w:rPr>
          <w:rFonts w:ascii="Museo Sans 300" w:eastAsia="Calibri" w:hAnsi="Museo Sans 300"/>
          <w:sz w:val="20"/>
          <w:szCs w:val="20"/>
          <w:lang w:eastAsia="es-MX"/>
        </w:rPr>
        <w:t>0014</w:t>
      </w:r>
      <w:r w:rsidR="0072645B">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72645B">
        <w:rPr>
          <w:rFonts w:ascii="Museo Sans 300" w:eastAsia="Calibri" w:hAnsi="Museo Sans 300"/>
          <w:sz w:val="20"/>
          <w:szCs w:val="20"/>
          <w:lang w:eastAsia="es-MX"/>
        </w:rPr>
        <w:t>once de enero de este año</w:t>
      </w:r>
      <w:r w:rsidRPr="00504905">
        <w:rPr>
          <w:rFonts w:ascii="Museo Sans 300" w:eastAsia="Calibri" w:hAnsi="Museo Sans 300"/>
          <w:sz w:val="20"/>
          <w:szCs w:val="20"/>
          <w:lang w:eastAsia="es-MX"/>
        </w:rPr>
        <w:t xml:space="preserve">, se remitió a la sociedad </w:t>
      </w:r>
      <w:r w:rsidR="0072645B">
        <w:rPr>
          <w:rFonts w:ascii="Museo Sans 300" w:eastAsia="Calibri" w:hAnsi="Museo Sans 300"/>
          <w:sz w:val="20"/>
          <w:szCs w:val="20"/>
          <w:lang w:eastAsia="es-MX"/>
        </w:rPr>
        <w:t xml:space="preserve">EEO, S.A. de C.V. y al </w:t>
      </w:r>
      <w:r w:rsidR="00E03F44">
        <w:rPr>
          <w:rFonts w:ascii="Museo Sans 300" w:eastAsia="Calibri" w:hAnsi="Museo Sans 300"/>
          <w:sz w:val="20"/>
          <w:szCs w:val="20"/>
          <w:lang w:eastAsia="es-MX"/>
        </w:rPr>
        <w:t>señor Martínez</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6A789E">
        <w:rPr>
          <w:rFonts w:ascii="Museo Sans 300" w:eastAsia="Calibri" w:hAnsi="Museo Sans 300"/>
          <w:sz w:val="20"/>
          <w:szCs w:val="20"/>
        </w:rPr>
        <w:t>0424</w:t>
      </w:r>
      <w:r w:rsidR="0072645B">
        <w:rPr>
          <w:rFonts w:ascii="Museo Sans 300" w:eastAsia="Calibri" w:hAnsi="Museo Sans 300"/>
          <w:sz w:val="20"/>
          <w:szCs w:val="20"/>
        </w:rPr>
        <w:t>-CAU</w:t>
      </w:r>
      <w:r w:rsidR="006A789E">
        <w:rPr>
          <w:rFonts w:ascii="Museo Sans 300" w:eastAsia="Calibri" w:hAnsi="Museo Sans 300"/>
          <w:sz w:val="20"/>
          <w:szCs w:val="20"/>
        </w:rPr>
        <w:t>-20</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6515B6EB"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w:t>
      </w:r>
      <w:r w:rsidR="0072645B">
        <w:rPr>
          <w:rFonts w:ascii="Museo Sans 300" w:eastAsia="Calibri" w:hAnsi="Museo Sans 300"/>
          <w:sz w:val="20"/>
          <w:szCs w:val="20"/>
        </w:rPr>
        <w:t>cho proveído fue notificado al usuario y a la empresa distribuidora el día catorce de enero de este año,</w:t>
      </w:r>
      <w:r w:rsidRPr="6F062041">
        <w:rPr>
          <w:rFonts w:ascii="Museo Sans 300" w:eastAsia="Calibri" w:hAnsi="Museo Sans 300"/>
          <w:sz w:val="20"/>
          <w:szCs w:val="20"/>
        </w:rPr>
        <w:t> por lo que el plazo finalizó</w:t>
      </w:r>
      <w:r w:rsidR="001941D1" w:rsidRPr="6F062041">
        <w:rPr>
          <w:rFonts w:ascii="Museo Sans 300" w:eastAsia="Calibri" w:hAnsi="Museo Sans 300"/>
          <w:sz w:val="20"/>
          <w:szCs w:val="20"/>
        </w:rPr>
        <w:t xml:space="preserve"> </w:t>
      </w:r>
      <w:r w:rsidR="0072645B">
        <w:rPr>
          <w:rFonts w:ascii="Museo Sans 300" w:eastAsia="Calibri" w:hAnsi="Museo Sans 300"/>
          <w:sz w:val="20"/>
          <w:szCs w:val="20"/>
        </w:rPr>
        <w:t>el día veintiocho del mismo mes y año.</w:t>
      </w:r>
      <w:r w:rsidRPr="6F062041">
        <w:rPr>
          <w:rFonts w:ascii="Museo Sans 300" w:eastAsia="Calibri" w:hAnsi="Museo Sans 300"/>
          <w:sz w:val="20"/>
          <w:szCs w:val="20"/>
        </w:rPr>
        <w:t>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515AC5B4"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72645B">
        <w:rPr>
          <w:rFonts w:ascii="Museo Sans 300" w:hAnsi="Museo Sans 300"/>
          <w:sz w:val="20"/>
          <w:szCs w:val="20"/>
        </w:rPr>
        <w:t>l día diecinueve de enero de este año,</w:t>
      </w:r>
      <w:r w:rsidRPr="003F7112">
        <w:rPr>
          <w:rFonts w:ascii="Museo Sans 300" w:hAnsi="Museo Sans 300"/>
          <w:sz w:val="20"/>
          <w:szCs w:val="20"/>
        </w:rPr>
        <w:t xml:space="preserve"> el ingen</w:t>
      </w:r>
      <w:r>
        <w:rPr>
          <w:rFonts w:ascii="Museo Sans 300" w:hAnsi="Museo Sans 300"/>
          <w:sz w:val="20"/>
          <w:szCs w:val="20"/>
        </w:rPr>
        <w:t xml:space="preserve">iero </w:t>
      </w:r>
      <w:r w:rsidR="00937A24">
        <w:rPr>
          <w:rFonts w:ascii="Museo Sans 300" w:hAnsi="Museo Sans 300"/>
          <w:sz w:val="20"/>
          <w:szCs w:val="20"/>
        </w:rPr>
        <w:t>XXXXXX</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4FA71479"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72645B">
        <w:rPr>
          <w:rStyle w:val="normaltextrun"/>
          <w:rFonts w:ascii="Museo Sans 300" w:hAnsi="Museo Sans 300" w:cs="Segoe UI"/>
          <w:sz w:val="20"/>
          <w:szCs w:val="20"/>
          <w:lang w:val="es-ES"/>
        </w:rPr>
        <w:t>el señ</w:t>
      </w:r>
      <w:r w:rsidR="006A789E">
        <w:rPr>
          <w:rStyle w:val="normaltextrun"/>
          <w:rFonts w:ascii="Museo Sans 300" w:hAnsi="Museo Sans 300" w:cs="Segoe UI"/>
          <w:sz w:val="20"/>
          <w:szCs w:val="20"/>
          <w:lang w:val="es-ES"/>
        </w:rPr>
        <w:t xml:space="preserve">or </w:t>
      </w:r>
      <w:r w:rsidR="00937A24">
        <w:rPr>
          <w:rStyle w:val="normaltextrun"/>
          <w:rFonts w:ascii="Museo Sans 300" w:hAnsi="Museo Sans 300" w:cs="Segoe UI"/>
          <w:sz w:val="20"/>
          <w:szCs w:val="20"/>
          <w:lang w:val="es-ES"/>
        </w:rPr>
        <w:t>XXXXXX</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06D7B00A" w14:textId="77777777" w:rsidR="00E03F44" w:rsidRDefault="00E03F44"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p>
    <w:p w14:paraId="35520EF2" w14:textId="1A47D984" w:rsidR="00992456" w:rsidRPr="00DF4945"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6622885D"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751932C1" w14:textId="77777777" w:rsidR="00D9001B" w:rsidRPr="007B7B0C" w:rsidRDefault="00D9001B"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0D173F19"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7630C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6B8C6560"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419FB0E" w14:textId="77777777" w:rsidR="00E03F44" w:rsidRPr="00DC3BC9" w:rsidRDefault="00E03F44"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4FDC60DF"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7630C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0443FD60" w:rsidR="009A69A9" w:rsidRDefault="00937A24" w:rsidP="00937A24">
      <w:pPr>
        <w:tabs>
          <w:tab w:val="left" w:pos="2535"/>
        </w:tabs>
        <w:suppressAutoHyphens/>
        <w:autoSpaceDN w:val="0"/>
        <w:spacing w:after="0" w:line="240" w:lineRule="auto"/>
        <w:ind w:left="426"/>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ab/>
      </w:r>
    </w:p>
    <w:p w14:paraId="3F5BF396" w14:textId="77777777" w:rsidR="00937A24" w:rsidRDefault="00937A24" w:rsidP="00937A24">
      <w:pPr>
        <w:tabs>
          <w:tab w:val="left" w:pos="2535"/>
        </w:tabs>
        <w:suppressAutoHyphens/>
        <w:autoSpaceDN w:val="0"/>
        <w:spacing w:after="0" w:line="240" w:lineRule="auto"/>
        <w:ind w:left="426"/>
        <w:jc w:val="both"/>
        <w:textAlignment w:val="baseline"/>
        <w:rPr>
          <w:rFonts w:ascii="Museo Sans 300" w:hAnsi="Museo Sans 300"/>
          <w:color w:val="000000"/>
          <w:sz w:val="20"/>
          <w:szCs w:val="20"/>
          <w:lang w:eastAsia="es-SV"/>
        </w:rPr>
      </w:pPr>
    </w:p>
    <w:p w14:paraId="459CA5AC" w14:textId="77777777" w:rsidR="00937A24" w:rsidRDefault="00937A24" w:rsidP="00937A24">
      <w:pPr>
        <w:tabs>
          <w:tab w:val="left" w:pos="2535"/>
        </w:tabs>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FC7AFA">
        <w:rPr>
          <w:rFonts w:ascii="Museo Sans 500" w:hAnsi="Museo Sans 500" w:cs="Arial"/>
          <w:b/>
          <w:bCs/>
          <w:sz w:val="20"/>
          <w:szCs w:val="20"/>
          <w:lang w:eastAsia="es-SV"/>
        </w:rPr>
        <w:t>1.E</w:t>
      </w:r>
      <w:proofErr w:type="gramEnd"/>
      <w:r w:rsidRPr="00FC7AFA">
        <w:rPr>
          <w:rFonts w:ascii="Museo Sans 500" w:hAnsi="Museo Sans 500" w:cs="Arial"/>
          <w:b/>
          <w:bCs/>
          <w:sz w:val="20"/>
          <w:szCs w:val="20"/>
          <w:lang w:eastAsia="es-SV"/>
        </w:rPr>
        <w:t xml:space="preserv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lastRenderedPageBreak/>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obstante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58C8BB5"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BD85887"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5C8E83E"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7826B04"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1503FCA"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BD8DC" w14:textId="77777777" w:rsidR="00937A24" w:rsidRDefault="00937A24"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547D2D1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7630C2">
        <w:rPr>
          <w:rFonts w:ascii="Museo Sans 300" w:hAnsi="Museo Sans 300"/>
          <w:sz w:val="20"/>
          <w:szCs w:val="20"/>
        </w:rPr>
        <w:t>hacer</w:t>
      </w:r>
      <w:r w:rsidR="007630C2"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6C9DDA4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 xml:space="preserve">inistro identificado con el NIC </w:t>
      </w:r>
      <w:r w:rsidR="00937A24">
        <w:rPr>
          <w:rFonts w:ascii="Museo Sans 500" w:hAnsi="Museo Sans 500"/>
          <w:b/>
          <w:bCs/>
          <w:sz w:val="20"/>
          <w:szCs w:val="20"/>
        </w:rPr>
        <w:t>XXXXXX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06359B97"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6A789E">
        <w:rPr>
          <w:rFonts w:ascii="Museo Sans 300" w:hAnsi="Museo Sans 300"/>
          <w:sz w:val="20"/>
          <w:szCs w:val="20"/>
        </w:rPr>
        <w:t>0424</w:t>
      </w:r>
      <w:r w:rsidR="0072645B">
        <w:rPr>
          <w:rFonts w:ascii="Museo Sans 300" w:hAnsi="Museo Sans 300"/>
          <w:sz w:val="20"/>
          <w:szCs w:val="20"/>
        </w:rPr>
        <w:t>-</w:t>
      </w:r>
      <w:r w:rsidRPr="00551F4C">
        <w:rPr>
          <w:rFonts w:ascii="Museo Sans 300" w:hAnsi="Museo Sans 300"/>
          <w:sz w:val="20"/>
          <w:szCs w:val="20"/>
        </w:rPr>
        <w:t>CAU</w:t>
      </w:r>
      <w:r w:rsidR="006A789E">
        <w:rPr>
          <w:rFonts w:ascii="Museo Sans 300" w:hAnsi="Museo Sans 300"/>
          <w:sz w:val="20"/>
          <w:szCs w:val="20"/>
        </w:rPr>
        <w:t>-20</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5876C2D4" w14:textId="1374B006" w:rsidR="0072645B" w:rsidRPr="006A789E" w:rsidRDefault="00B25632" w:rsidP="006A789E">
      <w:pPr>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006A789E" w:rsidRPr="006A789E">
        <w:rPr>
          <w:rFonts w:ascii="Museo 300" w:hAnsi="Museo 300"/>
          <w:sz w:val="16"/>
          <w:szCs w:val="16"/>
        </w:rPr>
        <w:t>Conforme a la información requerida y provista por la EEO, se han extraído las siguientes fotografías mediante las cuales se observa la condición encontrada en el suministro objeto del presente informe, detallando el incumplimiento a las condiciones contractuales, debido a la alteración en la acometida de la empresa distribuidora antes del equipo de medición, haciendo falso contacto en ambas fases, unidas con cinta aislante simulando estar correctamente instalada, lo cual evitaba el registro correcto de consumo. Como se puede obser</w:t>
      </w:r>
      <w:r w:rsidR="006A789E">
        <w:rPr>
          <w:rFonts w:ascii="Museo 300" w:hAnsi="Museo 300"/>
          <w:sz w:val="16"/>
          <w:szCs w:val="16"/>
        </w:rPr>
        <w:t>var en la fotografías n.° 1 y 2</w:t>
      </w:r>
      <w:r w:rsidR="0072645B" w:rsidRPr="0072645B">
        <w:rPr>
          <w:rFonts w:ascii="Museo 300" w:hAnsi="Museo 300"/>
          <w:sz w:val="16"/>
          <w:szCs w:val="16"/>
        </w:rPr>
        <w:t>.</w:t>
      </w:r>
      <w:r w:rsidR="0072645B" w:rsidRPr="0072645B">
        <w:rPr>
          <w:rFonts w:ascii="Museo 300" w:hAnsi="Museo 300" w:cs="Segoe UI"/>
          <w:sz w:val="16"/>
          <w:szCs w:val="16"/>
          <w:lang w:eastAsia="es-MX"/>
        </w:rPr>
        <w:t xml:space="preserve"> </w:t>
      </w:r>
      <w:r w:rsidR="0072645B" w:rsidRPr="00C34300">
        <w:rPr>
          <w:rFonts w:ascii="Museo 300" w:hAnsi="Museo 300" w:cs="Segoe UI"/>
          <w:sz w:val="16"/>
          <w:szCs w:val="16"/>
          <w:lang w:eastAsia="es-MX"/>
        </w:rPr>
        <w:t>[…]</w:t>
      </w:r>
    </w:p>
    <w:p w14:paraId="5DE1AF1F" w14:textId="5EC0A116" w:rsidR="0072645B" w:rsidRDefault="0072645B" w:rsidP="0072645B">
      <w:pPr>
        <w:spacing w:after="0" w:line="240" w:lineRule="auto"/>
        <w:ind w:left="708" w:right="425"/>
        <w:jc w:val="both"/>
        <w:rPr>
          <w:rFonts w:ascii="Museo 300" w:hAnsi="Museo 300" w:cs="Segoe UI"/>
          <w:sz w:val="16"/>
          <w:szCs w:val="16"/>
          <w:lang w:eastAsia="es-MX"/>
        </w:rPr>
      </w:pPr>
    </w:p>
    <w:p w14:paraId="0C90333F" w14:textId="06B89CD9" w:rsidR="00B25632" w:rsidRPr="002D0ADE" w:rsidRDefault="002D0ADE" w:rsidP="002D0ADE">
      <w:pPr>
        <w:spacing w:after="0" w:line="240" w:lineRule="auto"/>
        <w:ind w:left="708" w:right="425"/>
        <w:jc w:val="both"/>
        <w:rPr>
          <w:rFonts w:ascii="Museo 300" w:hAnsi="Museo 300"/>
          <w:sz w:val="16"/>
          <w:szCs w:val="16"/>
        </w:rPr>
      </w:pPr>
      <w:r w:rsidRPr="002D0ADE">
        <w:rPr>
          <w:rFonts w:ascii="Museo 300" w:hAnsi="Museo 300"/>
          <w:color w:val="000000" w:themeColor="text1"/>
          <w:sz w:val="16"/>
          <w:szCs w:val="16"/>
        </w:rPr>
        <w:t>En análisis en los históricos de consumo se observa que luego de la corrección de la irregularidad el mes siguiente a esta corrección se incrementa el consumo de energía. Con base en las pruebas analizadas, el CAU determina que la distribuidora EEO cuenta con la evidencia clara y contundente, con la cual se demuestra que en el suministro en referencia existió una condición irregular que consistía en una alteración en la acometida de la empresa distribuidora, haciendo falso contacto en ambas fases, unidas solo con una cinta aislante simulando un conductor continuo y estar funcionando correctamente el equipo de medición asociado a este suministro.</w:t>
      </w:r>
      <w:r w:rsidRPr="002D0ADE">
        <w:rPr>
          <w:rFonts w:ascii="Museo 300" w:hAnsi="Museo 300"/>
          <w:b/>
          <w:color w:val="000000" w:themeColor="text1"/>
          <w:sz w:val="16"/>
          <w:szCs w:val="16"/>
        </w:rPr>
        <w:t xml:space="preserve"> </w:t>
      </w:r>
      <w:r w:rsidRPr="002D0ADE">
        <w:rPr>
          <w:rFonts w:ascii="Museo 300" w:hAnsi="Museo 300"/>
          <w:color w:val="000000" w:themeColor="text1"/>
          <w:sz w:val="16"/>
          <w:szCs w:val="16"/>
        </w:rPr>
        <w:t>Tal acción es claramente un</w:t>
      </w:r>
      <w:r w:rsidRPr="002D0ADE">
        <w:rPr>
          <w:rFonts w:ascii="Museo 300" w:hAnsi="Museo 300"/>
          <w:b/>
          <w:color w:val="000000" w:themeColor="text1"/>
          <w:sz w:val="16"/>
          <w:szCs w:val="16"/>
        </w:rPr>
        <w:t xml:space="preserve"> </w:t>
      </w:r>
      <w:r w:rsidRPr="002D0ADE">
        <w:rPr>
          <w:rFonts w:ascii="Museo 300" w:hAnsi="Museo 300"/>
          <w:color w:val="000000" w:themeColor="text1"/>
          <w:sz w:val="16"/>
          <w:szCs w:val="16"/>
        </w:rPr>
        <w:t>Incumplimiento de lo establecido en los Términos y Condicione Generales al Consumidor del año</w:t>
      </w:r>
      <w:r>
        <w:rPr>
          <w:rFonts w:ascii="Museo 300" w:hAnsi="Museo 300"/>
          <w:color w:val="000000" w:themeColor="text1"/>
          <w:sz w:val="16"/>
          <w:szCs w:val="16"/>
        </w:rPr>
        <w:t xml:space="preserve"> 2019</w:t>
      </w:r>
      <w:r w:rsidR="0072645B">
        <w:rPr>
          <w:rFonts w:ascii="Museo 300" w:hAnsi="Museo 300"/>
          <w:color w:val="000000" w:themeColor="text1"/>
          <w:sz w:val="16"/>
          <w:szCs w:val="16"/>
        </w:rPr>
        <w:t>.</w:t>
      </w:r>
      <w:r w:rsidR="00B25632" w:rsidRPr="00C34300">
        <w:rPr>
          <w:rFonts w:ascii="Museo 300" w:hAnsi="Museo 300" w:cs="Segoe UI"/>
          <w:sz w:val="16"/>
          <w:szCs w:val="16"/>
          <w:lang w:val="es-ES" w:eastAsia="es-MX"/>
        </w:rPr>
        <w:t xml:space="preserve"> […]</w:t>
      </w:r>
      <w:r w:rsidR="00164140">
        <w:rPr>
          <w:rFonts w:ascii="Museo 300" w:hAnsi="Museo 300" w:cs="Segoe UI"/>
          <w:sz w:val="16"/>
          <w:szCs w:val="16"/>
          <w:lang w:val="es-ES" w:eastAsia="es-MX"/>
        </w:rPr>
        <w:t>”</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2C93DFDE"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A532ED">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286C0517" w14:textId="3F9D3291" w:rsidR="007823BA" w:rsidRPr="003D780B" w:rsidRDefault="007823BA" w:rsidP="003D780B">
      <w:pPr>
        <w:tabs>
          <w:tab w:val="left" w:pos="426"/>
        </w:tabs>
        <w:spacing w:after="0" w:line="240" w:lineRule="auto"/>
        <w:ind w:left="425"/>
        <w:jc w:val="both"/>
        <w:rPr>
          <w:rFonts w:ascii="Museo Sans 300" w:hAnsi="Museo Sans 300"/>
          <w:sz w:val="20"/>
          <w:szCs w:val="20"/>
          <w:lang w:val="es-ES" w:eastAsia="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sidR="002D0ADE">
        <w:rPr>
          <w:rFonts w:ascii="Museo Sans 300" w:hAnsi="Museo Sans 300"/>
          <w:sz w:val="20"/>
          <w:szCs w:val="20"/>
        </w:rPr>
        <w:t>0424</w:t>
      </w:r>
      <w:r w:rsidRPr="00CF7BCD">
        <w:rPr>
          <w:rFonts w:ascii="Museo Sans 300" w:hAnsi="Museo Sans 300"/>
          <w:sz w:val="20"/>
          <w:szCs w:val="20"/>
        </w:rPr>
        <w:t>-CAU</w:t>
      </w:r>
      <w:r w:rsidR="002D0ADE">
        <w:rPr>
          <w:rFonts w:ascii="Museo Sans 300" w:hAnsi="Museo Sans 300"/>
          <w:sz w:val="20"/>
          <w:szCs w:val="20"/>
        </w:rPr>
        <w:t>-20</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Pr="00281E7D">
        <w:rPr>
          <w:rFonts w:ascii="Museo Sans 300" w:hAnsi="Museo Sans 300"/>
          <w:sz w:val="20"/>
          <w:szCs w:val="20"/>
        </w:rPr>
        <w:t>consistente</w:t>
      </w:r>
      <w:r w:rsidRPr="00281E7D">
        <w:rPr>
          <w:rFonts w:ascii="Museo Sans 300" w:hAnsi="Museo Sans 300"/>
          <w:sz w:val="20"/>
          <w:szCs w:val="20"/>
          <w:lang w:val="es-ES"/>
        </w:rPr>
        <w:t> en</w:t>
      </w:r>
      <w:r w:rsidR="003D780B">
        <w:rPr>
          <w:rFonts w:ascii="Museo Sans 300" w:hAnsi="Museo Sans 300"/>
          <w:sz w:val="20"/>
          <w:szCs w:val="20"/>
          <w:lang w:val="es-ES"/>
        </w:rPr>
        <w:t xml:space="preserve"> la</w:t>
      </w:r>
      <w:r w:rsidR="002D0ADE">
        <w:rPr>
          <w:rFonts w:ascii="Museo Sans 300" w:hAnsi="Museo Sans 300"/>
          <w:sz w:val="20"/>
          <w:szCs w:val="20"/>
          <w:lang w:val="es-ES"/>
        </w:rPr>
        <w:t xml:space="preserve"> alteración de la acometida, formando un falso contacto en ambas fases</w:t>
      </w:r>
      <w:r w:rsidR="00595FCA">
        <w:rPr>
          <w:rFonts w:ascii="Museo Sans 300" w:hAnsi="Museo Sans 300"/>
          <w:sz w:val="20"/>
          <w:szCs w:val="20"/>
          <w:lang w:val="es-ES"/>
        </w:rPr>
        <w:t>, debido a la simulación de la unión de las fases por medido de cinta aislante</w:t>
      </w:r>
      <w:r w:rsidR="003D780B">
        <w:rPr>
          <w:rFonts w:ascii="Museo Sans 300" w:hAnsi="Museo Sans 300"/>
          <w:sz w:val="20"/>
          <w:szCs w:val="20"/>
          <w:lang w:val="es-ES"/>
        </w:rPr>
        <w:t>, con la finalidad</w:t>
      </w:r>
      <w:r w:rsidRPr="00281E7D">
        <w:rPr>
          <w:rFonts w:ascii="Museo Sans 300" w:hAnsi="Museo Sans 300"/>
          <w:sz w:val="20"/>
          <w:szCs w:val="20"/>
          <w:lang w:val="es-ES"/>
        </w:rPr>
        <w:t xml:space="preserve"> de afectar el correcto registro de la energía que era consumida en el suministro</w:t>
      </w:r>
      <w:r>
        <w:rPr>
          <w:rFonts w:ascii="Museo Sans 300" w:hAnsi="Museo Sans 300"/>
          <w:sz w:val="20"/>
          <w:szCs w:val="20"/>
          <w:lang w:val="es-ES"/>
        </w:rPr>
        <w:t xml:space="preserve"> </w:t>
      </w:r>
      <w:r w:rsidR="00595FCA">
        <w:rPr>
          <w:rFonts w:ascii="Museo Sans 300" w:hAnsi="Museo Sans 300"/>
          <w:sz w:val="20"/>
          <w:szCs w:val="20"/>
          <w:lang w:eastAsia="es-ES"/>
        </w:rPr>
        <w:t xml:space="preserve">identificado con el NIC </w:t>
      </w:r>
      <w:r w:rsidR="00937A24">
        <w:rPr>
          <w:rFonts w:ascii="Museo Sans 300" w:hAnsi="Museo Sans 300"/>
          <w:sz w:val="20"/>
          <w:szCs w:val="20"/>
          <w:lang w:eastAsia="es-ES"/>
        </w:rPr>
        <w:t>XXXXXX</w:t>
      </w:r>
      <w:r w:rsidR="003D780B">
        <w:rPr>
          <w:rFonts w:ascii="Museo Sans 300" w:hAnsi="Museo Sans 300"/>
          <w:sz w:val="20"/>
          <w:szCs w:val="20"/>
          <w:lang w:eastAsia="es-ES"/>
        </w:rPr>
        <w:t>.</w:t>
      </w:r>
    </w:p>
    <w:p w14:paraId="3EC5085E" w14:textId="0AA7BDA2" w:rsidR="00000720" w:rsidRDefault="00000720" w:rsidP="001803FB">
      <w:pPr>
        <w:autoSpaceDE w:val="0"/>
        <w:autoSpaceDN w:val="0"/>
        <w:adjustRightInd w:val="0"/>
        <w:spacing w:after="0" w:line="240" w:lineRule="auto"/>
        <w:ind w:left="426"/>
        <w:jc w:val="both"/>
        <w:rPr>
          <w:rFonts w:ascii="Museo Sans 300" w:hAnsi="Museo Sans 300"/>
          <w:sz w:val="20"/>
          <w:szCs w:val="20"/>
        </w:rPr>
      </w:pPr>
    </w:p>
    <w:p w14:paraId="15D548C4" w14:textId="369D5465" w:rsidR="009A69A9"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4CBB88B2" w14:textId="0D46ABBC" w:rsidR="00000720" w:rsidRDefault="00000720" w:rsidP="009A69A9">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2689F4F7" w14:textId="2CA699D1" w:rsidR="00FF0EAE" w:rsidRDefault="007630C2" w:rsidP="00FF0EAE">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En su informe técnico, e</w:t>
      </w:r>
      <w:r w:rsidR="00FF0EAE" w:rsidRPr="00FF0EAE">
        <w:rPr>
          <w:rFonts w:ascii="Museo Sans 300" w:hAnsi="Museo Sans 300"/>
          <w:sz w:val="20"/>
          <w:szCs w:val="20"/>
        </w:rPr>
        <w:t>l CAU ratificó que la distribuidora tiene el derecho a recuperar la cantida</w:t>
      </w:r>
      <w:r w:rsidR="00FF0EAE">
        <w:rPr>
          <w:rFonts w:ascii="Museo Sans 300" w:hAnsi="Museo Sans 300"/>
          <w:sz w:val="20"/>
          <w:szCs w:val="20"/>
        </w:rPr>
        <w:t>d de CUATROCIENTOS ONCE</w:t>
      </w:r>
      <w:r w:rsidR="00FF0EAE">
        <w:rPr>
          <w:rFonts w:ascii="Museo Sans 300" w:hAnsi="Museo Sans 300"/>
          <w:sz w:val="20"/>
          <w:szCs w:val="20"/>
          <w:lang w:val="es-ES" w:eastAsia="es-ES"/>
        </w:rPr>
        <w:t xml:space="preserve"> 09</w:t>
      </w:r>
      <w:r w:rsidR="00FF0EAE" w:rsidRPr="00FF0EAE">
        <w:rPr>
          <w:rFonts w:ascii="Museo Sans 300" w:hAnsi="Museo Sans 300"/>
          <w:sz w:val="20"/>
          <w:szCs w:val="20"/>
          <w:lang w:val="es-ES" w:eastAsia="es-ES"/>
        </w:rPr>
        <w:t>/100 DÓLARES DE LOS ESTADOS</w:t>
      </w:r>
      <w:r w:rsidR="00FF0EAE">
        <w:rPr>
          <w:rFonts w:ascii="Museo Sans 300" w:hAnsi="Museo Sans 300"/>
          <w:sz w:val="20"/>
          <w:szCs w:val="20"/>
          <w:lang w:val="es-ES" w:eastAsia="es-ES"/>
        </w:rPr>
        <w:t xml:space="preserve"> UNIDOS DE AMÉRICA (USD 411.09</w:t>
      </w:r>
      <w:r w:rsidR="00FF0EAE" w:rsidRPr="00FF0EAE">
        <w:rPr>
          <w:rFonts w:ascii="Museo Sans 300" w:hAnsi="Museo Sans 300"/>
          <w:sz w:val="20"/>
          <w:szCs w:val="20"/>
          <w:lang w:val="es-ES" w:eastAsia="es-ES"/>
        </w:rPr>
        <w:t xml:space="preserve">) IVA incluido, en concepto de energía no registrada, </w:t>
      </w:r>
      <w:r w:rsidR="00FF0EAE" w:rsidRPr="00FF0EAE">
        <w:rPr>
          <w:rFonts w:ascii="Museo Sans 300" w:eastAsia="Segoe UI" w:hAnsi="Museo Sans 300" w:cs="Segoe UI"/>
          <w:sz w:val="20"/>
          <w:szCs w:val="20"/>
        </w:rPr>
        <w:t>más los intereses correspondientes en aplicació</w:t>
      </w:r>
      <w:r w:rsidR="00FF0EAE">
        <w:rPr>
          <w:rFonts w:ascii="Museo Sans 300" w:eastAsia="Segoe UI" w:hAnsi="Museo Sans 300" w:cs="Segoe UI"/>
          <w:sz w:val="20"/>
          <w:szCs w:val="20"/>
        </w:rPr>
        <w:t>n al artículo 36</w:t>
      </w:r>
      <w:r w:rsidR="00FF0EAE" w:rsidRPr="00FF0EAE">
        <w:rPr>
          <w:rFonts w:ascii="Museo Sans 300" w:eastAsia="Segoe UI" w:hAnsi="Museo Sans 300" w:cs="Segoe UI"/>
          <w:sz w:val="20"/>
          <w:szCs w:val="20"/>
        </w:rPr>
        <w:t xml:space="preserve"> de los Términos y Condiciones Generales al Co</w:t>
      </w:r>
      <w:r w:rsidR="00FF0EAE">
        <w:rPr>
          <w:rFonts w:ascii="Museo Sans 300" w:eastAsia="Segoe UI" w:hAnsi="Museo Sans 300" w:cs="Segoe UI"/>
          <w:sz w:val="20"/>
          <w:szCs w:val="20"/>
        </w:rPr>
        <w:t>nsumidor Final, para el año 2019</w:t>
      </w:r>
      <w:r w:rsidR="002E5459">
        <w:rPr>
          <w:rFonts w:ascii="Museo Sans 300" w:eastAsia="Segoe UI" w:hAnsi="Museo Sans 300" w:cs="Segoe UI"/>
          <w:sz w:val="20"/>
          <w:szCs w:val="20"/>
        </w:rPr>
        <w:t xml:space="preserve"> más los </w:t>
      </w:r>
      <w:r w:rsidR="00943B3F">
        <w:rPr>
          <w:rFonts w:ascii="Museo Sans 300" w:eastAsia="Segoe UI" w:hAnsi="Museo Sans 300" w:cs="Segoe UI"/>
          <w:sz w:val="20"/>
          <w:szCs w:val="20"/>
        </w:rPr>
        <w:t xml:space="preserve">intereses </w:t>
      </w:r>
      <w:r w:rsidR="002E5459">
        <w:rPr>
          <w:rFonts w:ascii="Museo Sans 300" w:eastAsia="Segoe UI" w:hAnsi="Museo Sans 300" w:cs="Segoe UI"/>
          <w:sz w:val="20"/>
          <w:szCs w:val="20"/>
        </w:rPr>
        <w:t>correspondientes</w:t>
      </w:r>
      <w:r w:rsidR="00FF0EAE" w:rsidRPr="00FF0EAE">
        <w:rPr>
          <w:rFonts w:ascii="Museo Sans 300" w:eastAsia="Segoe UI" w:hAnsi="Museo Sans 300" w:cs="Segoe UI"/>
          <w:sz w:val="20"/>
          <w:szCs w:val="20"/>
        </w:rPr>
        <w:t>.</w:t>
      </w:r>
    </w:p>
    <w:p w14:paraId="246DEBB5" w14:textId="77777777" w:rsidR="00FF0EAE" w:rsidRDefault="00FF0EAE" w:rsidP="00FF0EAE">
      <w:pPr>
        <w:autoSpaceDE w:val="0"/>
        <w:spacing w:after="0" w:line="240" w:lineRule="auto"/>
        <w:ind w:left="426"/>
        <w:jc w:val="both"/>
        <w:rPr>
          <w:rFonts w:ascii="Museo Sans 300" w:eastAsia="Segoe UI" w:hAnsi="Museo Sans 300" w:cs="Segoe UI"/>
          <w:sz w:val="20"/>
          <w:szCs w:val="20"/>
        </w:rPr>
      </w:pPr>
    </w:p>
    <w:p w14:paraId="21AB5DC5" w14:textId="77777777" w:rsidR="00937A24" w:rsidRPr="00FF0EAE" w:rsidRDefault="00937A24" w:rsidP="00FF0EAE">
      <w:pPr>
        <w:autoSpaceDE w:val="0"/>
        <w:spacing w:after="0" w:line="240" w:lineRule="auto"/>
        <w:ind w:left="426"/>
        <w:jc w:val="both"/>
        <w:rPr>
          <w:rFonts w:ascii="Museo Sans 300" w:eastAsia="Segoe UI" w:hAnsi="Museo Sans 300" w:cs="Segoe UI"/>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w:t>
      </w:r>
      <w:r w:rsidRPr="007B7B0C">
        <w:rPr>
          <w:rFonts w:ascii="Museo Sans 300" w:hAnsi="Museo Sans 300"/>
          <w:color w:val="000000"/>
          <w:sz w:val="20"/>
          <w:szCs w:val="20"/>
          <w:shd w:val="clear" w:color="auto" w:fill="FFFFFF"/>
        </w:rPr>
        <w:lastRenderedPageBreak/>
        <w:t>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7DE1C41"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5273FC">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365C609F"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E74B10">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E74B10">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4AF199D3"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E74B10">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E74B1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2B4777F9"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E74B10">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67775A31"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FF0EAE">
        <w:rPr>
          <w:rFonts w:ascii="Museo Sans 300" w:eastAsia="Museo Sans 300" w:hAnsi="Museo Sans 300" w:cs="Museo Sans 300"/>
          <w:sz w:val="20"/>
          <w:szCs w:val="20"/>
        </w:rPr>
        <w:t xml:space="preserve"> </w:t>
      </w:r>
      <w:r w:rsidR="00937A24">
        <w:rPr>
          <w:rFonts w:ascii="Museo Sans 300" w:eastAsia="Museo Sans 300" w:hAnsi="Museo Sans 300" w:cs="Museo Sans 300"/>
          <w:sz w:val="20"/>
          <w:szCs w:val="20"/>
        </w:rPr>
        <w:t>XXXXXX</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2CE5F1EF"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E74B10">
        <w:rPr>
          <w:rFonts w:ascii="Museo Sans 300" w:eastAsia="Museo Sans 300" w:hAnsi="Museo Sans 300" w:cs="Museo Sans 300"/>
          <w:sz w:val="20"/>
          <w:szCs w:val="20"/>
        </w:rPr>
        <w:t>l</w:t>
      </w:r>
      <w:r w:rsidRPr="007B7B0C">
        <w:rPr>
          <w:rFonts w:ascii="Museo Sans 300" w:eastAsia="Calibri" w:hAnsi="Museo Sans 300"/>
          <w:sz w:val="20"/>
          <w:szCs w:val="20"/>
          <w:lang w:eastAsia="es-SV"/>
        </w:rPr>
        <w:t xml:space="preserve"> usuari</w:t>
      </w:r>
      <w:r w:rsidR="00E74B10">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3D06B572"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F3E192F" w14:textId="6A8052E5" w:rsidR="00C06660" w:rsidRDefault="009A69A9" w:rsidP="005B70C1">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FF0EAE">
        <w:rPr>
          <w:rFonts w:ascii="Museo Sans 300" w:eastAsia="Calibri" w:hAnsi="Museo Sans 300" w:cs="Segoe UI"/>
          <w:sz w:val="20"/>
          <w:szCs w:val="20"/>
          <w:lang w:eastAsia="es-MX"/>
        </w:rPr>
        <w:t>0424</w:t>
      </w:r>
      <w:r w:rsidR="007C6460">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00FF0EAE">
        <w:rPr>
          <w:rFonts w:ascii="Museo Sans 300" w:eastAsia="Calibri" w:hAnsi="Museo Sans 300" w:cs="Segoe UI"/>
          <w:sz w:val="20"/>
          <w:szCs w:val="20"/>
          <w:lang w:eastAsia="es-MX"/>
        </w:rPr>
        <w:t>-20</w:t>
      </w:r>
      <w:r w:rsidRPr="71BE5127">
        <w:rPr>
          <w:rFonts w:ascii="Museo Sans 300" w:hAnsi="Museo Sans 300"/>
          <w:sz w:val="20"/>
          <w:szCs w:val="20"/>
        </w:rPr>
        <w:t xml:space="preserve"> rendido por el CAU, esta superintendencia considera pertinente adherirse a lo dictaminado, siendo pertinente establecer que en el suministro identificado con el </w:t>
      </w:r>
      <w:r w:rsidR="00FF0EAE">
        <w:rPr>
          <w:rFonts w:ascii="Museo Sans 300" w:eastAsia="Times New Roman" w:hAnsi="Museo Sans 300"/>
          <w:sz w:val="20"/>
          <w:szCs w:val="20"/>
          <w:lang w:eastAsia="es-ES"/>
        </w:rPr>
        <w:t xml:space="preserve">NIC </w:t>
      </w:r>
      <w:r w:rsidR="00937A24">
        <w:rPr>
          <w:rFonts w:ascii="Museo Sans 300" w:eastAsia="Times New Roman" w:hAnsi="Museo Sans 300"/>
          <w:sz w:val="20"/>
          <w:szCs w:val="20"/>
          <w:lang w:eastAsia="es-ES"/>
        </w:rPr>
        <w:t>XXXXXX</w:t>
      </w:r>
      <w:r w:rsidRPr="71BE5127">
        <w:rPr>
          <w:rFonts w:ascii="Museo Sans 300" w:hAnsi="Museo Sans 300"/>
          <w:sz w:val="20"/>
          <w:szCs w:val="20"/>
        </w:rPr>
        <w:t xml:space="preserve"> se comprobó la condición irregular</w:t>
      </w:r>
      <w:r w:rsidRPr="0050481E">
        <w:rPr>
          <w:rFonts w:ascii="Museo Sans 300" w:hAnsi="Museo Sans 300"/>
          <w:sz w:val="20"/>
          <w:szCs w:val="20"/>
        </w:rPr>
        <w:t>, por lo que la distribuidora tiene el derecho a</w:t>
      </w:r>
      <w:r w:rsidR="00FF0EAE">
        <w:rPr>
          <w:rFonts w:ascii="Museo Sans 300" w:hAnsi="Museo Sans 300"/>
          <w:sz w:val="20"/>
          <w:szCs w:val="20"/>
        </w:rPr>
        <w:t xml:space="preserve"> recuperar la cantidad de CUATROCIENTOS ONCE 09</w:t>
      </w:r>
      <w:r w:rsidR="00E51D67">
        <w:rPr>
          <w:rFonts w:ascii="Museo Sans 300" w:hAnsi="Museo Sans 300"/>
          <w:sz w:val="20"/>
          <w:szCs w:val="20"/>
        </w:rPr>
        <w:t>/100 DÓLARES DE LOS ESTAD</w:t>
      </w:r>
      <w:r w:rsidR="00FF0EAE">
        <w:rPr>
          <w:rFonts w:ascii="Museo Sans 300" w:hAnsi="Museo Sans 300"/>
          <w:sz w:val="20"/>
          <w:szCs w:val="20"/>
        </w:rPr>
        <w:t>OS UNIDOS DE AMÉRICA (USD 411.09</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Pr="0050481E">
        <w:rPr>
          <w:rFonts w:ascii="Museo Sans 300" w:hAnsi="Museo Sans 300"/>
          <w:sz w:val="20"/>
          <w:szCs w:val="20"/>
        </w:rPr>
        <w:t>.</w:t>
      </w:r>
    </w:p>
    <w:p w14:paraId="428FC589" w14:textId="39D76A55" w:rsidR="00FF0EAE" w:rsidRDefault="00FF0EAE" w:rsidP="005B70C1">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5A295286"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7630C2">
        <w:rPr>
          <w:rFonts w:ascii="Museo Sans 300" w:hAnsi="Museo Sans 300"/>
          <w:sz w:val="20"/>
          <w:szCs w:val="20"/>
        </w:rPr>
        <w:t>,</w:t>
      </w:r>
      <w:r w:rsidRPr="007B7B0C">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72F7572E"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FF0EAE">
        <w:rPr>
          <w:rFonts w:ascii="Museo Sans 300" w:eastAsia="Calibri" w:hAnsi="Museo Sans 300"/>
          <w:sz w:val="20"/>
          <w:szCs w:val="20"/>
        </w:rPr>
        <w:t>0424</w:t>
      </w:r>
      <w:r w:rsidR="00801185">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00FF0EAE">
        <w:rPr>
          <w:rFonts w:ascii="Museo Sans 300" w:eastAsia="Calibri" w:hAnsi="Museo Sans 300" w:cs="Segoe UI"/>
          <w:sz w:val="20"/>
          <w:szCs w:val="20"/>
          <w:lang w:eastAsia="es-MX"/>
        </w:rPr>
        <w:t>-20</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C8C7316" w14:textId="057B1E78" w:rsidR="005B70C1" w:rsidRDefault="005B70C1" w:rsidP="005B70C1">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sidR="00FF0EAE">
        <w:rPr>
          <w:rFonts w:ascii="Museo Sans 300" w:hAnsi="Museo Sans 300"/>
          <w:sz w:val="20"/>
          <w:szCs w:val="20"/>
          <w:lang w:eastAsia="es-SV"/>
        </w:rPr>
        <w:t xml:space="preserve"> identificado con el NIC </w:t>
      </w:r>
      <w:r w:rsidR="00937A24">
        <w:rPr>
          <w:rFonts w:ascii="Museo Sans 300" w:hAnsi="Museo Sans 300"/>
          <w:sz w:val="20"/>
          <w:szCs w:val="20"/>
          <w:lang w:eastAsia="es-SV"/>
        </w:rPr>
        <w:t>XXXXXX</w:t>
      </w:r>
      <w:r w:rsidRPr="6F062041">
        <w:rPr>
          <w:rFonts w:ascii="Museo Sans 300" w:hAnsi="Museo Sans 300"/>
          <w:sz w:val="20"/>
          <w:szCs w:val="20"/>
          <w:lang w:eastAsia="es-SV"/>
        </w:rPr>
        <w:t xml:space="preserve"> existió una condición irregular </w:t>
      </w:r>
      <w:r w:rsidR="007C6460">
        <w:rPr>
          <w:rFonts w:ascii="Museo Sans 300" w:hAnsi="Museo Sans 300"/>
          <w:sz w:val="20"/>
          <w:szCs w:val="20"/>
        </w:rPr>
        <w:t>que consistió en la</w:t>
      </w:r>
      <w:r w:rsidR="0099106A">
        <w:rPr>
          <w:rFonts w:ascii="Museo Sans 300" w:hAnsi="Museo Sans 300"/>
          <w:sz w:val="20"/>
          <w:szCs w:val="20"/>
        </w:rPr>
        <w:t xml:space="preserve"> </w:t>
      </w:r>
      <w:r w:rsidR="00FF0EAE">
        <w:rPr>
          <w:rFonts w:ascii="Museo Sans 300" w:hAnsi="Museo Sans 300"/>
          <w:sz w:val="20"/>
          <w:szCs w:val="20"/>
        </w:rPr>
        <w:t>alteración de la acometida, formando un falso contacto en ambas fases, debido a la simulación de la unión de las fases por medio de cinta aislante</w:t>
      </w:r>
      <w:r w:rsidRPr="6F062041">
        <w:rPr>
          <w:rFonts w:ascii="Museo Sans 300" w:hAnsi="Museo Sans 300"/>
          <w:sz w:val="20"/>
          <w:szCs w:val="20"/>
        </w:rPr>
        <w:t>, lo que afectó</w:t>
      </w:r>
      <w:r w:rsidRPr="6F062041">
        <w:rPr>
          <w:rFonts w:ascii="Museo Sans 300" w:hAnsi="Museo Sans 300"/>
          <w:sz w:val="20"/>
          <w:szCs w:val="20"/>
          <w:lang w:eastAsia="es-SV"/>
        </w:rPr>
        <w:t xml:space="preserve"> el correcto registro del consumo de energía eléctrica en el inmueble. </w:t>
      </w:r>
    </w:p>
    <w:p w14:paraId="4F05F1ED" w14:textId="77777777" w:rsidR="005B70C1" w:rsidRDefault="005B70C1" w:rsidP="005B70C1">
      <w:pPr>
        <w:spacing w:after="0" w:line="240" w:lineRule="auto"/>
        <w:ind w:left="360"/>
        <w:jc w:val="both"/>
        <w:rPr>
          <w:rFonts w:ascii="Museo Sans 300" w:hAnsi="Museo Sans 300"/>
          <w:sz w:val="20"/>
          <w:szCs w:val="20"/>
          <w:lang w:eastAsia="es-SV"/>
        </w:rPr>
      </w:pPr>
    </w:p>
    <w:p w14:paraId="23EA7F82" w14:textId="7E4FC6E7" w:rsidR="00FF0EAE" w:rsidRDefault="00FF0EAE" w:rsidP="00FF0EAE">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Pr="000C6568">
        <w:rPr>
          <w:rFonts w:ascii="Museo Sans 300" w:hAnsi="Museo Sans 300"/>
          <w:sz w:val="20"/>
          <w:szCs w:val="20"/>
          <w:lang w:eastAsia="es-SV"/>
        </w:rPr>
        <w:t>la sociedad EEO, S.A. de C.V. tiene el derecho a recuperar la cantidad</w:t>
      </w:r>
      <w:r>
        <w:rPr>
          <w:rFonts w:ascii="Museo Sans 300" w:hAnsi="Museo Sans 300"/>
          <w:sz w:val="20"/>
          <w:szCs w:val="20"/>
          <w:lang w:eastAsia="es-SV"/>
        </w:rPr>
        <w:t xml:space="preserve"> d</w:t>
      </w:r>
      <w:r w:rsidR="00576B61">
        <w:rPr>
          <w:rFonts w:ascii="Museo Sans 300" w:hAnsi="Museo Sans 300"/>
          <w:sz w:val="20"/>
          <w:szCs w:val="20"/>
          <w:lang w:eastAsia="es-SV"/>
        </w:rPr>
        <w:t>e CUATROCIENTOS ONCE 09</w:t>
      </w:r>
      <w:r w:rsidRPr="404A3E54">
        <w:rPr>
          <w:rFonts w:ascii="Museo Sans 300" w:hAnsi="Museo Sans 300"/>
          <w:sz w:val="20"/>
          <w:szCs w:val="20"/>
          <w:lang w:eastAsia="es-SV"/>
        </w:rPr>
        <w:t>/100 DÓLARES DE LOS ESTADOS</w:t>
      </w:r>
      <w:r w:rsidR="00576B61">
        <w:rPr>
          <w:rFonts w:ascii="Museo Sans 300" w:hAnsi="Museo Sans 300"/>
          <w:sz w:val="20"/>
          <w:szCs w:val="20"/>
          <w:lang w:eastAsia="es-SV"/>
        </w:rPr>
        <w:t xml:space="preserve"> UNIDOS DE AMÉRICA (USD 411.09</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sidRPr="002156F6">
        <w:rPr>
          <w:rFonts w:ascii="Museo Sans 300" w:hAnsi="Museo Sans 300"/>
          <w:sz w:val="20"/>
          <w:szCs w:val="20"/>
          <w:lang w:eastAsia="es-SV"/>
        </w:rPr>
        <w:t xml:space="preserve">IVA incluido </w:t>
      </w:r>
      <w:r w:rsidRPr="00C2105A">
        <w:rPr>
          <w:rFonts w:ascii="Museo Sans 300" w:hAnsi="Museo Sans 300"/>
          <w:sz w:val="20"/>
          <w:szCs w:val="20"/>
          <w:lang w:eastAsia="es-SV"/>
        </w:rPr>
        <w:t>en concepto de energía no registrada</w:t>
      </w:r>
      <w:r w:rsidRPr="002156F6">
        <w:rPr>
          <w:rFonts w:ascii="Museo Sans 300" w:hAnsi="Museo Sans 300"/>
          <w:sz w:val="20"/>
          <w:szCs w:val="20"/>
          <w:lang w:eastAsia="es-SV"/>
        </w:rPr>
        <w:t xml:space="preserve"> más los intereses correspondientes</w:t>
      </w:r>
      <w:r w:rsidR="00576B61">
        <w:rPr>
          <w:rFonts w:ascii="Museo Sans 300" w:hAnsi="Museo Sans 300"/>
          <w:sz w:val="20"/>
          <w:szCs w:val="20"/>
          <w:lang w:eastAsia="es-SV"/>
        </w:rPr>
        <w:t xml:space="preserve"> en aplicación al artículo 36</w:t>
      </w:r>
      <w:r w:rsidRPr="002156F6">
        <w:rPr>
          <w:rFonts w:ascii="Museo Sans 300" w:hAnsi="Museo Sans 300"/>
          <w:sz w:val="20"/>
          <w:szCs w:val="20"/>
          <w:lang w:eastAsia="es-SV"/>
        </w:rPr>
        <w:t xml:space="preserve"> de los Términos y Condiciones Generales al Co</w:t>
      </w:r>
      <w:r w:rsidR="00576B61">
        <w:rPr>
          <w:rFonts w:ascii="Museo Sans 300" w:hAnsi="Museo Sans 300"/>
          <w:sz w:val="20"/>
          <w:szCs w:val="20"/>
          <w:lang w:eastAsia="es-SV"/>
        </w:rPr>
        <w:t>nsumidor Final, para el año 2019</w:t>
      </w:r>
      <w:r w:rsidR="007630C2">
        <w:rPr>
          <w:rFonts w:ascii="Museo Sans 300" w:hAnsi="Museo Sans 300"/>
          <w:sz w:val="20"/>
          <w:szCs w:val="20"/>
          <w:lang w:eastAsia="es-SV"/>
        </w:rPr>
        <w:t>.</w:t>
      </w:r>
    </w:p>
    <w:p w14:paraId="3013ACD9" w14:textId="77777777" w:rsidR="00FF0EAE" w:rsidRDefault="00FF0EAE" w:rsidP="00FF0EAE">
      <w:pPr>
        <w:pStyle w:val="Prrafodelista"/>
        <w:rPr>
          <w:rFonts w:ascii="Museo Sans 300" w:hAnsi="Museo Sans 300"/>
          <w:sz w:val="20"/>
          <w:szCs w:val="20"/>
          <w:lang w:eastAsia="es-SV"/>
        </w:rPr>
      </w:pPr>
    </w:p>
    <w:p w14:paraId="39D7E5FA" w14:textId="5D0ED8E3"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99106A">
        <w:rPr>
          <w:rFonts w:ascii="Museo Sans 300" w:hAnsi="Museo Sans 300"/>
          <w:sz w:val="20"/>
          <w:szCs w:val="20"/>
          <w:lang w:eastAsia="es-SV"/>
        </w:rPr>
        <w:t>ar este acuerdo al señ</w:t>
      </w:r>
      <w:r w:rsidR="00FF0EAE">
        <w:rPr>
          <w:rFonts w:ascii="Museo Sans 300" w:hAnsi="Museo Sans 300"/>
          <w:sz w:val="20"/>
          <w:szCs w:val="20"/>
          <w:lang w:eastAsia="es-SV"/>
        </w:rPr>
        <w:t xml:space="preserve">or </w:t>
      </w:r>
      <w:r w:rsidR="00937A24">
        <w:rPr>
          <w:rFonts w:ascii="Museo Sans 300" w:hAnsi="Museo Sans 300"/>
          <w:sz w:val="20"/>
          <w:szCs w:val="20"/>
          <w:lang w:eastAsia="es-SV"/>
        </w:rPr>
        <w:t>XXXXXX</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2B911EE8" w:rsidR="009A69A9" w:rsidRDefault="009A69A9" w:rsidP="00052CF9">
      <w:pPr>
        <w:spacing w:after="0" w:line="0" w:lineRule="atLeast"/>
        <w:ind w:left="360"/>
        <w:jc w:val="both"/>
        <w:rPr>
          <w:rFonts w:ascii="Museo Sans 300" w:hAnsi="Museo Sans 300"/>
          <w:sz w:val="20"/>
          <w:szCs w:val="20"/>
          <w:lang w:eastAsia="es-SV"/>
        </w:rPr>
      </w:pPr>
    </w:p>
    <w:p w14:paraId="349A62C2" w14:textId="45BBFC87" w:rsidR="00576B61" w:rsidRDefault="00576B61"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38601FE" w14:textId="3F77D930" w:rsidR="00F35AAC" w:rsidRPr="00937F60" w:rsidRDefault="00F35AAC" w:rsidP="00C06660">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p w14:paraId="5B08B5D1" w14:textId="67D1A63A" w:rsidR="00F47546" w:rsidRPr="00937F60" w:rsidRDefault="00F47546" w:rsidP="00F35AAC">
      <w:pPr>
        <w:rPr>
          <w:sz w:val="20"/>
          <w:szCs w:val="20"/>
        </w:rPr>
      </w:pPr>
      <w:bookmarkStart w:id="1" w:name="_GoBack"/>
      <w:bookmarkEnd w:id="1"/>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0E1C4" w14:textId="77777777" w:rsidR="00906A7E" w:rsidRDefault="00906A7E">
      <w:pPr>
        <w:spacing w:after="0" w:line="240" w:lineRule="auto"/>
      </w:pPr>
      <w:r>
        <w:separator/>
      </w:r>
    </w:p>
  </w:endnote>
  <w:endnote w:type="continuationSeparator" w:id="0">
    <w:p w14:paraId="0530D38C" w14:textId="77777777" w:rsidR="00906A7E" w:rsidRDefault="0090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altName w:val="Times New Roman"/>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B4AB" w14:textId="77777777" w:rsidR="00F47546" w:rsidRDefault="00F47546">
    <w:pPr>
      <w:pStyle w:val="Piedepgina"/>
      <w:jc w:val="right"/>
    </w:pPr>
  </w:p>
  <w:p w14:paraId="30BB2B27" w14:textId="551A566E"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37A24" w:rsidRPr="00937A24">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37A24" w:rsidRPr="00937A24">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56B10975" w:rsidR="1516D086" w:rsidRPr="00186D30" w:rsidRDefault="0094338C" w:rsidP="1516D086">
    <w:pPr>
      <w:spacing w:line="240" w:lineRule="auto"/>
      <w:jc w:val="right"/>
      <w:rPr>
        <w:rFonts w:ascii="Bembo Std" w:eastAsia="Bembo Std" w:hAnsi="Bembo Std" w:cs="Bembo Std"/>
        <w:color w:val="000000"/>
        <w:sz w:val="14"/>
        <w:szCs w:val="14"/>
        <w:lang w:val="en-US"/>
      </w:rPr>
    </w:pPr>
    <w:r>
      <w:rPr>
        <w:rFonts w:ascii="Bembo Std" w:eastAsia="Bembo Std" w:hAnsi="Bembo Std" w:cs="Bembo Std"/>
        <w:b/>
        <w:bCs/>
        <w:color w:val="000000"/>
        <w:sz w:val="14"/>
        <w:szCs w:val="14"/>
        <w:lang w:val="en-US"/>
      </w:rPr>
      <w:t>as</w:t>
    </w:r>
    <w:r w:rsidR="1516D086" w:rsidRPr="00186D30">
      <w:rPr>
        <w:rFonts w:ascii="Bembo Std" w:eastAsia="Bembo Std" w:hAnsi="Bembo Std" w:cs="Bembo Std"/>
        <w:b/>
        <w:bCs/>
        <w:color w:val="000000"/>
        <w:sz w:val="14"/>
        <w:szCs w:val="14"/>
        <w:lang w:val="en-US"/>
      </w:rPr>
      <w:t>/CF/WH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C3AF6" w14:textId="77777777" w:rsidR="00906A7E" w:rsidRDefault="00906A7E">
      <w:pPr>
        <w:spacing w:after="0" w:line="240" w:lineRule="auto"/>
      </w:pPr>
      <w:r>
        <w:separator/>
      </w:r>
    </w:p>
  </w:footnote>
  <w:footnote w:type="continuationSeparator" w:id="0">
    <w:p w14:paraId="14F050AB" w14:textId="77777777" w:rsidR="00906A7E" w:rsidRDefault="00906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9">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5">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9">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3">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4"/>
  </w:num>
  <w:num w:numId="6">
    <w:abstractNumId w:val="9"/>
  </w:num>
  <w:num w:numId="7">
    <w:abstractNumId w:val="3"/>
  </w:num>
  <w:num w:numId="8">
    <w:abstractNumId w:val="10"/>
  </w:num>
  <w:num w:numId="9">
    <w:abstractNumId w:val="16"/>
  </w:num>
  <w:num w:numId="10">
    <w:abstractNumId w:val="17"/>
  </w:num>
  <w:num w:numId="11">
    <w:abstractNumId w:val="19"/>
  </w:num>
  <w:num w:numId="12">
    <w:abstractNumId w:val="1"/>
  </w:num>
  <w:num w:numId="13">
    <w:abstractNumId w:val="18"/>
  </w:num>
  <w:num w:numId="14">
    <w:abstractNumId w:val="8"/>
  </w:num>
  <w:num w:numId="15">
    <w:abstractNumId w:val="2"/>
  </w:num>
  <w:num w:numId="16">
    <w:abstractNumId w:val="22"/>
  </w:num>
  <w:num w:numId="17">
    <w:abstractNumId w:val="0"/>
  </w:num>
  <w:num w:numId="18">
    <w:abstractNumId w:val="6"/>
  </w:num>
  <w:num w:numId="19">
    <w:abstractNumId w:val="5"/>
  </w:num>
  <w:num w:numId="20">
    <w:abstractNumId w:val="7"/>
  </w:num>
  <w:num w:numId="21">
    <w:abstractNumId w:val="23"/>
  </w:num>
  <w:num w:numId="22">
    <w:abstractNumId w:val="21"/>
  </w:num>
  <w:num w:numId="23">
    <w:abstractNumId w:val="20"/>
  </w:num>
  <w:num w:numId="2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24456"/>
    <w:rsid w:val="0003032D"/>
    <w:rsid w:val="000319FD"/>
    <w:rsid w:val="00032A22"/>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4DB0"/>
    <w:rsid w:val="000A5B2C"/>
    <w:rsid w:val="000B2696"/>
    <w:rsid w:val="000B3DAC"/>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0035"/>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A79"/>
    <w:rsid w:val="00297E9D"/>
    <w:rsid w:val="002A1CD8"/>
    <w:rsid w:val="002A3FA2"/>
    <w:rsid w:val="002A45A4"/>
    <w:rsid w:val="002A4D57"/>
    <w:rsid w:val="002A68DC"/>
    <w:rsid w:val="002A7764"/>
    <w:rsid w:val="002B1158"/>
    <w:rsid w:val="002B1689"/>
    <w:rsid w:val="002B3660"/>
    <w:rsid w:val="002B5754"/>
    <w:rsid w:val="002C1E44"/>
    <w:rsid w:val="002C429E"/>
    <w:rsid w:val="002C45E3"/>
    <w:rsid w:val="002C46CC"/>
    <w:rsid w:val="002C4925"/>
    <w:rsid w:val="002C52D6"/>
    <w:rsid w:val="002C5D04"/>
    <w:rsid w:val="002C68B7"/>
    <w:rsid w:val="002D0ADE"/>
    <w:rsid w:val="002D392A"/>
    <w:rsid w:val="002D53B2"/>
    <w:rsid w:val="002D684A"/>
    <w:rsid w:val="002D6F21"/>
    <w:rsid w:val="002E0752"/>
    <w:rsid w:val="002E5459"/>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4254"/>
    <w:rsid w:val="003201B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0579"/>
    <w:rsid w:val="003D780B"/>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5015"/>
    <w:rsid w:val="00476696"/>
    <w:rsid w:val="00483232"/>
    <w:rsid w:val="004857FF"/>
    <w:rsid w:val="0048592B"/>
    <w:rsid w:val="00487F90"/>
    <w:rsid w:val="00490CC7"/>
    <w:rsid w:val="004969D7"/>
    <w:rsid w:val="004979FE"/>
    <w:rsid w:val="004A27C0"/>
    <w:rsid w:val="004B0F22"/>
    <w:rsid w:val="004B2AB0"/>
    <w:rsid w:val="004B4EF2"/>
    <w:rsid w:val="004B5853"/>
    <w:rsid w:val="004B7567"/>
    <w:rsid w:val="004B7B66"/>
    <w:rsid w:val="004C1EFD"/>
    <w:rsid w:val="004C59B1"/>
    <w:rsid w:val="004C59E0"/>
    <w:rsid w:val="004C66A8"/>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3FC"/>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76B61"/>
    <w:rsid w:val="00581738"/>
    <w:rsid w:val="0058376D"/>
    <w:rsid w:val="0058470E"/>
    <w:rsid w:val="00587D09"/>
    <w:rsid w:val="00590F33"/>
    <w:rsid w:val="00595FCA"/>
    <w:rsid w:val="0059701F"/>
    <w:rsid w:val="00597B08"/>
    <w:rsid w:val="005A2760"/>
    <w:rsid w:val="005A3978"/>
    <w:rsid w:val="005B1B8E"/>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15D08"/>
    <w:rsid w:val="00621328"/>
    <w:rsid w:val="00621D08"/>
    <w:rsid w:val="00626C2D"/>
    <w:rsid w:val="00630CFF"/>
    <w:rsid w:val="00631139"/>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A789E"/>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30C2"/>
    <w:rsid w:val="00764206"/>
    <w:rsid w:val="007677C1"/>
    <w:rsid w:val="007721DB"/>
    <w:rsid w:val="00772586"/>
    <w:rsid w:val="00773C67"/>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E8C"/>
    <w:rsid w:val="007E336B"/>
    <w:rsid w:val="007E367B"/>
    <w:rsid w:val="007E679D"/>
    <w:rsid w:val="007E701C"/>
    <w:rsid w:val="007E7783"/>
    <w:rsid w:val="007F10D1"/>
    <w:rsid w:val="007F33C3"/>
    <w:rsid w:val="007F3ACA"/>
    <w:rsid w:val="00801185"/>
    <w:rsid w:val="00802DBA"/>
    <w:rsid w:val="00804AE8"/>
    <w:rsid w:val="00805F80"/>
    <w:rsid w:val="0080781D"/>
    <w:rsid w:val="0081228A"/>
    <w:rsid w:val="0081459B"/>
    <w:rsid w:val="00821287"/>
    <w:rsid w:val="00830173"/>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52D8"/>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06A7E"/>
    <w:rsid w:val="00912B1F"/>
    <w:rsid w:val="00914916"/>
    <w:rsid w:val="00916FAA"/>
    <w:rsid w:val="00917E9E"/>
    <w:rsid w:val="00920F10"/>
    <w:rsid w:val="0092146A"/>
    <w:rsid w:val="00930D0E"/>
    <w:rsid w:val="00933BCC"/>
    <w:rsid w:val="00936C15"/>
    <w:rsid w:val="009378BD"/>
    <w:rsid w:val="00937A24"/>
    <w:rsid w:val="00937F60"/>
    <w:rsid w:val="009424F8"/>
    <w:rsid w:val="00942F6F"/>
    <w:rsid w:val="0094338C"/>
    <w:rsid w:val="00943B3F"/>
    <w:rsid w:val="00944826"/>
    <w:rsid w:val="00950210"/>
    <w:rsid w:val="009502F2"/>
    <w:rsid w:val="009533A8"/>
    <w:rsid w:val="00954A17"/>
    <w:rsid w:val="00957370"/>
    <w:rsid w:val="00961273"/>
    <w:rsid w:val="0096374B"/>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5E65"/>
    <w:rsid w:val="009B6479"/>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9F68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24380"/>
    <w:rsid w:val="00B253A4"/>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D49"/>
    <w:rsid w:val="00BC63EA"/>
    <w:rsid w:val="00BC752E"/>
    <w:rsid w:val="00BD13F5"/>
    <w:rsid w:val="00BD534A"/>
    <w:rsid w:val="00BE03E2"/>
    <w:rsid w:val="00BE0BFD"/>
    <w:rsid w:val="00BE0FBA"/>
    <w:rsid w:val="00BE587D"/>
    <w:rsid w:val="00BE7FF1"/>
    <w:rsid w:val="00BF0796"/>
    <w:rsid w:val="00BF092A"/>
    <w:rsid w:val="00BF0E32"/>
    <w:rsid w:val="00BF3261"/>
    <w:rsid w:val="00BF37F8"/>
    <w:rsid w:val="00BF58AB"/>
    <w:rsid w:val="00C06660"/>
    <w:rsid w:val="00C06BDB"/>
    <w:rsid w:val="00C10CA6"/>
    <w:rsid w:val="00C13373"/>
    <w:rsid w:val="00C14768"/>
    <w:rsid w:val="00C2077D"/>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6288"/>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3F44"/>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26BF"/>
    <w:rsid w:val="00F23FD3"/>
    <w:rsid w:val="00F25B4C"/>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617F"/>
    <w:rsid w:val="00FF0EAE"/>
    <w:rsid w:val="00FF2E94"/>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46251 AS, se remite a la licenciada Fuentes. Se emitió acuerdo de alegatos N.° E-0014-2021-CAU de fecha 11 de enero. Este caso no cuenta con la revisión de Nelson, debido que se encontraba de vacaciones</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CC24-74CA-4045-AA70-19852B5F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688F4A6-A4BA-4693-8E3D-658ECACC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9</Pages>
  <Words>4198</Words>
  <Characters>23095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2021-01-14T20:12:00Z</cp:lastPrinted>
  <dcterms:created xsi:type="dcterms:W3CDTF">2021-05-05T21:17:00Z</dcterms:created>
  <dcterms:modified xsi:type="dcterms:W3CDTF">2021-05-05T21:22:00Z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