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9E" w:rsidRDefault="00031B9E" w:rsidP="00031B9E">
      <w:pPr>
        <w:spacing w:after="0" w:line="0" w:lineRule="atLeast"/>
        <w:jc w:val="both"/>
        <w:rPr>
          <w:rFonts w:ascii="Museo Sans 300" w:eastAsia="Times New Roman" w:hAnsi="Museo Sans 300" w:cs="Times New Roman"/>
          <w:b/>
          <w:bCs/>
          <w:lang w:val="es-MX" w:eastAsia="es-ES"/>
        </w:rPr>
      </w:pPr>
    </w:p>
    <w:p w:rsidR="00A90301" w:rsidRPr="00031B9E" w:rsidRDefault="00A90301" w:rsidP="00031B9E">
      <w:pPr>
        <w:spacing w:after="0" w:line="0" w:lineRule="atLeast"/>
        <w:jc w:val="both"/>
        <w:rPr>
          <w:rFonts w:ascii="Museo Sans 300" w:eastAsia="Times New Roman" w:hAnsi="Museo Sans 300" w:cs="Times New Roman"/>
          <w:b/>
          <w:bCs/>
          <w:lang w:val="es-MX" w:eastAsia="es-ES"/>
        </w:rPr>
      </w:pPr>
    </w:p>
    <w:p w:rsidR="00031B9E" w:rsidRPr="00031B9E" w:rsidRDefault="00031B9E" w:rsidP="00031B9E">
      <w:pPr>
        <w:spacing w:after="0" w:line="0" w:lineRule="atLeast"/>
        <w:jc w:val="both"/>
        <w:rPr>
          <w:rFonts w:ascii="Museo Sans 300" w:eastAsia="Times New Roman" w:hAnsi="Museo Sans 300" w:cs="Times New Roman"/>
          <w:lang w:val="es-MX" w:eastAsia="es-ES"/>
        </w:rPr>
      </w:pPr>
      <w:r w:rsidRPr="00031B9E">
        <w:rPr>
          <w:rFonts w:ascii="Museo Sans 900" w:eastAsia="Times New Roman" w:hAnsi="Museo Sans 900" w:cs="Times New Roman"/>
          <w:b/>
          <w:bCs/>
          <w:lang w:val="es-MX" w:eastAsia="es-ES"/>
        </w:rPr>
        <w:t>ACUERDO N.° E-</w:t>
      </w:r>
      <w:r w:rsidR="00427568">
        <w:rPr>
          <w:rFonts w:ascii="Museo Sans 900" w:eastAsia="Times New Roman" w:hAnsi="Museo Sans 900" w:cs="Times New Roman"/>
          <w:b/>
          <w:bCs/>
          <w:lang w:val="es-MX" w:eastAsia="es-ES"/>
        </w:rPr>
        <w:t>674</w:t>
      </w:r>
      <w:r w:rsidRPr="00031B9E">
        <w:rPr>
          <w:rFonts w:ascii="Museo Sans 900" w:eastAsia="Times New Roman" w:hAnsi="Museo Sans 900" w:cs="Times New Roman"/>
          <w:b/>
          <w:bCs/>
          <w:lang w:val="es-MX" w:eastAsia="es-ES"/>
        </w:rPr>
        <w:t>-2019-CAU.</w:t>
      </w:r>
      <w:r w:rsidRPr="00031B9E">
        <w:rPr>
          <w:rFonts w:ascii="Museo Sans 300" w:eastAsia="Times New Roman" w:hAnsi="Museo Sans 300" w:cs="Times New Roman"/>
          <w:b/>
          <w:bCs/>
          <w:lang w:val="es-MX" w:eastAsia="es-ES"/>
        </w:rPr>
        <w:t xml:space="preserve"> </w:t>
      </w:r>
      <w:r w:rsidRPr="00031B9E">
        <w:rPr>
          <w:rFonts w:ascii="Museo Sans 300" w:eastAsia="Times New Roman" w:hAnsi="Museo Sans 300" w:cs="Times New Roman"/>
          <w:lang w:val="es-MX" w:eastAsia="es-ES"/>
        </w:rPr>
        <w:t xml:space="preserve">SUPERINTENDENCIA GENERAL DE ELECTRICIDAD Y TELECOMUNICACIONES. San Salvador, a las </w:t>
      </w:r>
      <w:r w:rsidR="00D245C3">
        <w:rPr>
          <w:rFonts w:ascii="Museo Sans 300" w:eastAsia="Times New Roman" w:hAnsi="Museo Sans 300" w:cs="Times New Roman"/>
          <w:lang w:val="es-MX" w:eastAsia="es-ES"/>
        </w:rPr>
        <w:t xml:space="preserve">nueve </w:t>
      </w:r>
      <w:r w:rsidRPr="00031B9E">
        <w:rPr>
          <w:rFonts w:ascii="Museo Sans 300" w:eastAsia="Times New Roman" w:hAnsi="Museo Sans 300" w:cs="Times New Roman"/>
          <w:lang w:val="es-MX" w:eastAsia="es-ES"/>
        </w:rPr>
        <w:t xml:space="preserve">horas con </w:t>
      </w:r>
      <w:r w:rsidR="00D245C3">
        <w:rPr>
          <w:rFonts w:ascii="Museo Sans 300" w:eastAsia="Times New Roman" w:hAnsi="Museo Sans 300" w:cs="Times New Roman"/>
          <w:lang w:val="es-MX" w:eastAsia="es-ES"/>
        </w:rPr>
        <w:t xml:space="preserve">diez </w:t>
      </w:r>
      <w:r w:rsidRPr="00031B9E">
        <w:rPr>
          <w:rFonts w:ascii="Museo Sans 300" w:eastAsia="Times New Roman" w:hAnsi="Museo Sans 300" w:cs="Times New Roman"/>
          <w:lang w:val="es-MX" w:eastAsia="es-ES"/>
        </w:rPr>
        <w:t xml:space="preserve">minutos del día </w:t>
      </w:r>
      <w:r w:rsidR="00D245C3">
        <w:rPr>
          <w:rFonts w:ascii="Museo Sans 300" w:eastAsia="Times New Roman" w:hAnsi="Museo Sans 300" w:cs="Times New Roman"/>
          <w:lang w:val="es-MX" w:eastAsia="es-ES"/>
        </w:rPr>
        <w:t xml:space="preserve">dos </w:t>
      </w:r>
      <w:r w:rsidRPr="00031B9E">
        <w:rPr>
          <w:rFonts w:ascii="Museo Sans 300" w:eastAsia="Times New Roman" w:hAnsi="Museo Sans 300" w:cs="Times New Roman"/>
          <w:lang w:val="es-MX" w:eastAsia="es-ES"/>
        </w:rPr>
        <w:t xml:space="preserve">de </w:t>
      </w:r>
      <w:r w:rsidR="00D245C3">
        <w:rPr>
          <w:rFonts w:ascii="Museo Sans 300" w:eastAsia="Times New Roman" w:hAnsi="Museo Sans 300" w:cs="Times New Roman"/>
          <w:lang w:val="es-MX" w:eastAsia="es-ES"/>
        </w:rPr>
        <w:t>diciembre</w:t>
      </w:r>
      <w:r w:rsidRPr="00031B9E">
        <w:rPr>
          <w:rFonts w:ascii="Museo Sans 300" w:eastAsia="Times New Roman" w:hAnsi="Museo Sans 300" w:cs="Times New Roman"/>
          <w:lang w:val="es-MX" w:eastAsia="es-ES"/>
        </w:rPr>
        <w:t xml:space="preserve"> del año dos mil diecinueve.</w:t>
      </w:r>
    </w:p>
    <w:p w:rsidR="00031B9E" w:rsidRPr="00031B9E" w:rsidRDefault="00031B9E" w:rsidP="00031B9E">
      <w:pPr>
        <w:spacing w:after="0" w:line="0" w:lineRule="atLeast"/>
        <w:jc w:val="both"/>
        <w:rPr>
          <w:rFonts w:ascii="Museo Sans 300" w:eastAsia="Times New Roman" w:hAnsi="Museo Sans 300" w:cs="Times New Roman"/>
          <w:lang w:val="es-MX" w:eastAsia="es-ES"/>
        </w:rPr>
      </w:pPr>
    </w:p>
    <w:p w:rsidR="00031B9E" w:rsidRPr="00031B9E" w:rsidRDefault="00031B9E" w:rsidP="00031B9E">
      <w:pPr>
        <w:spacing w:after="0" w:line="0" w:lineRule="atLeast"/>
        <w:jc w:val="both"/>
        <w:rPr>
          <w:rFonts w:ascii="Museo Sans 300" w:eastAsia="Times New Roman" w:hAnsi="Museo Sans 300" w:cs="Times New Roman"/>
          <w:lang w:val="es-MX" w:eastAsia="es-ES"/>
        </w:rPr>
      </w:pPr>
      <w:r w:rsidRPr="00031B9E">
        <w:rPr>
          <w:rFonts w:ascii="Museo Sans 300" w:eastAsia="Times New Roman" w:hAnsi="Museo Sans 300" w:cs="Times New Roman"/>
          <w:lang w:val="es-MX" w:eastAsia="es-ES"/>
        </w:rPr>
        <w:t>Esta superintendencia CONSIDERANDO QUE:</w:t>
      </w:r>
    </w:p>
    <w:p w:rsidR="00031B9E" w:rsidRPr="00031B9E" w:rsidRDefault="00031B9E" w:rsidP="00031B9E">
      <w:pPr>
        <w:spacing w:after="0" w:line="0" w:lineRule="atLeast"/>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ab/>
      </w:r>
    </w:p>
    <w:p w:rsidR="00031B9E" w:rsidRPr="00F1789A" w:rsidRDefault="007B05CC" w:rsidP="00031B9E">
      <w:pPr>
        <w:numPr>
          <w:ilvl w:val="0"/>
          <w:numId w:val="8"/>
        </w:numPr>
        <w:spacing w:after="0" w:line="0" w:lineRule="atLeast"/>
        <w:ind w:left="567" w:hanging="567"/>
        <w:contextualSpacing/>
        <w:jc w:val="both"/>
        <w:rPr>
          <w:rFonts w:ascii="Museo Sans 300" w:eastAsia="Times New Roman" w:hAnsi="Museo Sans 300" w:cs="Times New Roman"/>
          <w:bCs/>
          <w:lang w:val="es-ES" w:eastAsia="es-ES"/>
        </w:rPr>
      </w:pPr>
      <w:r>
        <w:rPr>
          <w:rFonts w:ascii="Museo Sans 300" w:hAnsi="Museo Sans 300"/>
          <w:lang w:val="es-ES_tradnl"/>
        </w:rPr>
        <w:t xml:space="preserve">El señor </w:t>
      </w:r>
      <w:proofErr w:type="spellStart"/>
      <w:r w:rsidR="00DC77F3">
        <w:rPr>
          <w:rFonts w:ascii="Museo Sans 300" w:hAnsi="Museo Sans 300"/>
          <w:lang w:val="es-ES_tradnl"/>
        </w:rPr>
        <w:t>XXXXXXXXXXXXXXXXXXXXXXXX</w:t>
      </w:r>
      <w:r>
        <w:rPr>
          <w:rFonts w:ascii="Museo Sans 300" w:hAnsi="Museo Sans 300"/>
          <w:lang w:val="es-ES_tradnl"/>
        </w:rPr>
        <w:t>en</w:t>
      </w:r>
      <w:proofErr w:type="spellEnd"/>
      <w:r>
        <w:rPr>
          <w:rFonts w:ascii="Museo Sans 300" w:hAnsi="Museo Sans 300"/>
          <w:lang w:val="es-ES_tradnl"/>
        </w:rPr>
        <w:t xml:space="preserve"> representación de los usuarios de la </w:t>
      </w:r>
      <w:r w:rsidR="00DC77F3">
        <w:rPr>
          <w:rFonts w:ascii="Museo Sans 300" w:hAnsi="Museo Sans 300"/>
          <w:lang w:val="es-ES_tradnl"/>
        </w:rPr>
        <w:t>XXXXXXXXXXXXXXXXXXXXXXXX</w:t>
      </w:r>
      <w:r w:rsidR="00031B9E" w:rsidRPr="00031B9E">
        <w:rPr>
          <w:rFonts w:ascii="Museo Sans 300" w:eastAsia="Times New Roman" w:hAnsi="Museo Sans 300" w:cs="Times New Roman"/>
          <w:bCs/>
          <w:lang w:eastAsia="es-ES"/>
        </w:rPr>
        <w:t xml:space="preserve">, </w:t>
      </w:r>
      <w:r w:rsidR="00031B9E" w:rsidRPr="00031B9E">
        <w:rPr>
          <w:rFonts w:ascii="Museo Sans 300" w:eastAsia="Times New Roman" w:hAnsi="Museo Sans 300" w:cs="Times New Roman"/>
          <w:bCs/>
          <w:lang w:val="es-ES" w:eastAsia="es-ES"/>
        </w:rPr>
        <w:t xml:space="preserve">interpusieron reclamo en contra de la sociedad </w:t>
      </w:r>
      <w:r w:rsidR="00DC77F3">
        <w:rPr>
          <w:rFonts w:ascii="Museo Sans 300" w:eastAsia="Times New Roman" w:hAnsi="Museo Sans 300" w:cs="Times New Roman"/>
          <w:bCs/>
          <w:lang w:val="es-ES" w:eastAsia="es-ES"/>
        </w:rPr>
        <w:t>XXXXXXXXXXXXXXXXXXXXXXXX</w:t>
      </w:r>
      <w:r w:rsidR="00031B9E" w:rsidRPr="00031B9E">
        <w:rPr>
          <w:rFonts w:ascii="Museo Sans 300" w:eastAsia="Times New Roman" w:hAnsi="Museo Sans 300" w:cs="Times New Roman"/>
          <w:bCs/>
          <w:lang w:val="es-ES" w:eastAsia="es-ES"/>
        </w:rPr>
        <w:t xml:space="preserve">, </w:t>
      </w:r>
      <w:r w:rsidR="00031B9E" w:rsidRPr="00031B9E">
        <w:rPr>
          <w:rFonts w:ascii="Museo Sans 300" w:eastAsia="Times New Roman" w:hAnsi="Museo Sans 300" w:cs="Times New Roman"/>
          <w:lang w:val="es-ES" w:eastAsia="es-ES"/>
        </w:rPr>
        <w:t>por no estar conformes con los cobros acumulados y retroactivos en concepto de energía eléctrica, bajo el argumento que dicha zona es considerada de alta peligrosidad delincuencial.</w:t>
      </w:r>
    </w:p>
    <w:p w:rsidR="00F1789A" w:rsidRDefault="00F1789A" w:rsidP="00F1789A">
      <w:pPr>
        <w:spacing w:after="0" w:line="240" w:lineRule="auto"/>
        <w:ind w:left="426"/>
        <w:jc w:val="both"/>
        <w:rPr>
          <w:rFonts w:ascii="Museo Sans 300" w:eastAsia="Times New Roman" w:hAnsi="Museo Sans 300" w:cs="Times New Roman"/>
          <w:lang w:val="es-ES" w:eastAsia="es-ES"/>
        </w:rPr>
      </w:pPr>
    </w:p>
    <w:p w:rsidR="00F1789A" w:rsidRPr="00F1789A" w:rsidRDefault="00F1789A" w:rsidP="00F1789A">
      <w:pPr>
        <w:spacing w:after="0" w:line="240" w:lineRule="auto"/>
        <w:ind w:left="567"/>
        <w:jc w:val="both"/>
        <w:rPr>
          <w:rFonts w:ascii="Museo Sans 300" w:eastAsia="Times New Roman" w:hAnsi="Museo Sans 300" w:cs="Times New Roman"/>
          <w:lang w:val="es-ES" w:eastAsia="es-ES"/>
        </w:rPr>
      </w:pPr>
      <w:r w:rsidRPr="00F1789A">
        <w:rPr>
          <w:rFonts w:ascii="Museo Sans 300" w:eastAsia="Times New Roman" w:hAnsi="Museo Sans 300" w:cs="Times New Roman"/>
          <w:lang w:val="es-ES" w:eastAsia="es-ES"/>
        </w:rPr>
        <w:t>Dicho reclamo se tramitó conforme a las etapas procedimentales que se detallan a continuación:</w:t>
      </w:r>
    </w:p>
    <w:p w:rsidR="00F1789A" w:rsidRPr="00F1789A" w:rsidRDefault="00F1789A" w:rsidP="00F1789A">
      <w:pPr>
        <w:spacing w:after="0" w:line="240" w:lineRule="auto"/>
        <w:ind w:left="426"/>
        <w:jc w:val="both"/>
        <w:rPr>
          <w:rFonts w:ascii="Museo Sans 300" w:eastAsia="Times New Roman" w:hAnsi="Museo Sans 300" w:cs="Times New Roman"/>
          <w:lang w:val="es-ES" w:eastAsia="es-ES"/>
        </w:rPr>
      </w:pPr>
    </w:p>
    <w:p w:rsidR="00F1789A" w:rsidRPr="00F1789A" w:rsidRDefault="00F1789A" w:rsidP="00F1789A">
      <w:pPr>
        <w:numPr>
          <w:ilvl w:val="0"/>
          <w:numId w:val="18"/>
        </w:numPr>
        <w:spacing w:after="0" w:line="240" w:lineRule="auto"/>
        <w:jc w:val="center"/>
        <w:rPr>
          <w:rFonts w:ascii="Museo Sans 500" w:eastAsia="Times New Roman" w:hAnsi="Museo Sans 500" w:cs="Times New Roman"/>
          <w:b/>
          <w:u w:val="single"/>
          <w:lang w:val="es-ES" w:eastAsia="es-ES"/>
        </w:rPr>
      </w:pPr>
      <w:r w:rsidRPr="00F1789A">
        <w:rPr>
          <w:rFonts w:ascii="Museo Sans 500" w:eastAsia="Times New Roman" w:hAnsi="Museo Sans 500" w:cs="Times New Roman"/>
          <w:b/>
          <w:u w:val="single"/>
          <w:lang w:val="es-ES" w:eastAsia="es-ES"/>
        </w:rPr>
        <w:t>TRAMITACIÓN DEL PROCEDIMIENTO</w:t>
      </w:r>
    </w:p>
    <w:p w:rsidR="00F1789A" w:rsidRPr="00F1789A" w:rsidRDefault="00F1789A" w:rsidP="00F1789A">
      <w:pPr>
        <w:spacing w:after="0" w:line="240" w:lineRule="auto"/>
        <w:ind w:firstLine="425"/>
        <w:jc w:val="center"/>
        <w:rPr>
          <w:rFonts w:ascii="Museo Sans 500" w:hAnsi="Museo Sans 500"/>
          <w:b/>
        </w:rPr>
      </w:pPr>
    </w:p>
    <w:p w:rsidR="00F1789A" w:rsidRPr="00637F58" w:rsidRDefault="00F1789A" w:rsidP="00637F58">
      <w:pPr>
        <w:numPr>
          <w:ilvl w:val="0"/>
          <w:numId w:val="17"/>
        </w:numPr>
        <w:spacing w:after="0" w:line="240" w:lineRule="auto"/>
        <w:ind w:left="993" w:hanging="426"/>
        <w:rPr>
          <w:rFonts w:ascii="Museo Sans 500" w:eastAsia="Times New Roman" w:hAnsi="Museo Sans 500" w:cs="Times New Roman"/>
          <w:b/>
          <w:sz w:val="24"/>
          <w:szCs w:val="24"/>
          <w:lang w:val="es-ES" w:eastAsia="es-ES"/>
        </w:rPr>
      </w:pPr>
      <w:r w:rsidRPr="00F1789A">
        <w:rPr>
          <w:rFonts w:ascii="Museo Sans 500" w:eastAsia="Times New Roman" w:hAnsi="Museo Sans 500" w:cs="Times New Roman"/>
          <w:b/>
          <w:sz w:val="24"/>
          <w:szCs w:val="24"/>
          <w:lang w:val="es-ES" w:eastAsia="es-ES"/>
        </w:rPr>
        <w:t>Audiencia a las partes</w:t>
      </w:r>
    </w:p>
    <w:p w:rsidR="00031B9E" w:rsidRPr="00031B9E" w:rsidRDefault="00031B9E" w:rsidP="00031B9E">
      <w:pPr>
        <w:spacing w:after="0" w:line="0" w:lineRule="atLeast"/>
        <w:ind w:left="567"/>
        <w:contextualSpacing/>
        <w:jc w:val="both"/>
        <w:rPr>
          <w:rFonts w:ascii="Museo Sans 300" w:eastAsia="Times New Roman" w:hAnsi="Museo Sans 300" w:cs="Times New Roman"/>
          <w:bCs/>
          <w:lang w:val="es-ES" w:eastAsia="es-ES"/>
        </w:rPr>
      </w:pPr>
    </w:p>
    <w:p w:rsidR="00031B9E" w:rsidRPr="00031B9E" w:rsidRDefault="00031B9E" w:rsidP="00637F58">
      <w:pPr>
        <w:spacing w:after="0" w:line="0" w:lineRule="atLeast"/>
        <w:ind w:left="567"/>
        <w:contextualSpacing/>
        <w:jc w:val="both"/>
        <w:rPr>
          <w:rFonts w:ascii="Museo Sans 300" w:eastAsia="Times New Roman" w:hAnsi="Museo Sans 300" w:cs="Times New Roman"/>
          <w:bCs/>
          <w:lang w:eastAsia="es-ES"/>
        </w:rPr>
      </w:pPr>
      <w:r w:rsidRPr="00031B9E">
        <w:rPr>
          <w:rFonts w:ascii="Museo Sans 300" w:eastAsia="Times New Roman" w:hAnsi="Museo Sans 300" w:cs="Times New Roman"/>
          <w:bCs/>
          <w:lang w:val="es-ES" w:eastAsia="es-ES"/>
        </w:rPr>
        <w:t>P</w:t>
      </w:r>
      <w:proofErr w:type="spellStart"/>
      <w:r w:rsidRPr="00031B9E">
        <w:rPr>
          <w:rFonts w:ascii="Museo Sans 300" w:eastAsia="Times New Roman" w:hAnsi="Museo Sans 300" w:cs="Times New Roman"/>
          <w:bCs/>
          <w:lang w:eastAsia="es-ES"/>
        </w:rPr>
        <w:t>or</w:t>
      </w:r>
      <w:proofErr w:type="spellEnd"/>
      <w:r w:rsidRPr="00031B9E">
        <w:rPr>
          <w:rFonts w:ascii="Museo Sans 300" w:eastAsia="Times New Roman" w:hAnsi="Museo Sans 300" w:cs="Times New Roman"/>
          <w:bCs/>
          <w:lang w:eastAsia="es-ES"/>
        </w:rPr>
        <w:t xml:space="preserve"> medio del acuerdo N.° E-</w:t>
      </w:r>
      <w:r w:rsidR="0070487C">
        <w:rPr>
          <w:rFonts w:ascii="Museo Sans 300" w:eastAsia="Times New Roman" w:hAnsi="Museo Sans 300" w:cs="Times New Roman"/>
          <w:bCs/>
          <w:lang w:eastAsia="es-ES"/>
        </w:rPr>
        <w:t>279</w:t>
      </w:r>
      <w:r w:rsidRPr="00031B9E">
        <w:rPr>
          <w:rFonts w:ascii="Museo Sans 300" w:eastAsia="Times New Roman" w:hAnsi="Museo Sans 300" w:cs="Times New Roman"/>
          <w:bCs/>
          <w:lang w:eastAsia="es-ES"/>
        </w:rPr>
        <w:t xml:space="preserve">-2019-CAU, esta superintendencia requirió a la sociedad </w:t>
      </w:r>
      <w:r w:rsidR="00DC77F3">
        <w:rPr>
          <w:rFonts w:ascii="Museo Sans 300" w:eastAsia="Times New Roman" w:hAnsi="Museo Sans 300" w:cs="Times New Roman"/>
          <w:bCs/>
          <w:lang w:eastAsia="es-ES"/>
        </w:rPr>
        <w:t>XXXXXXXXXXXXXXXXXXXXXXXX</w:t>
      </w:r>
      <w:r w:rsidRPr="00031B9E">
        <w:rPr>
          <w:rFonts w:ascii="Museo Sans 300" w:eastAsia="Times New Roman" w:hAnsi="Museo Sans 300" w:cs="Times New Roman"/>
          <w:bCs/>
          <w:lang w:eastAsia="es-ES"/>
        </w:rPr>
        <w:t xml:space="preserve">, </w:t>
      </w:r>
      <w:r w:rsidRPr="00031B9E">
        <w:rPr>
          <w:rFonts w:ascii="Museo Sans 300" w:eastAsia="Times New Roman" w:hAnsi="Museo Sans 300" w:cs="Times New Roman"/>
          <w:lang w:val="es-ES" w:eastAsia="es-ES"/>
        </w:rPr>
        <w:t>que en el plazo de diez días hábiles contados a partir del día siguiente a la notificación de dicho acuerdo,</w:t>
      </w:r>
      <w:r w:rsidRPr="00031B9E">
        <w:rPr>
          <w:rFonts w:ascii="Museo Sans 300" w:eastAsia="Times New Roman" w:hAnsi="Museo Sans 300" w:cs="Times New Roman"/>
          <w:bCs/>
          <w:lang w:eastAsia="es-ES"/>
        </w:rPr>
        <w:t xml:space="preserve"> se pronunciara por escrito respecto del reclamo interpuesto por los usuarios </w:t>
      </w:r>
      <w:r w:rsidR="00DC77F3">
        <w:rPr>
          <w:rFonts w:ascii="Museo Sans 300" w:eastAsia="Times New Roman" w:hAnsi="Museo Sans 300" w:cs="Times New Roman"/>
          <w:bCs/>
          <w:lang w:eastAsia="es-ES"/>
        </w:rPr>
        <w:t>XXXXXXXXXXXXXXXXXXXXXXXX</w:t>
      </w:r>
      <w:r w:rsidRPr="00031B9E">
        <w:rPr>
          <w:rFonts w:ascii="Museo Sans 300" w:eastAsia="Times New Roman" w:hAnsi="Museo Sans 300" w:cs="Times New Roman"/>
          <w:bCs/>
          <w:lang w:eastAsia="es-ES"/>
        </w:rPr>
        <w:t>, debiendo adjuntar cualquier información adicional que considerara necesaria para sustentar su posición.</w:t>
      </w:r>
    </w:p>
    <w:p w:rsidR="00031B9E" w:rsidRPr="00031B9E" w:rsidRDefault="00031B9E" w:rsidP="00031B9E">
      <w:pPr>
        <w:spacing w:after="0" w:line="0" w:lineRule="atLeast"/>
        <w:ind w:left="567"/>
        <w:contextualSpacing/>
        <w:jc w:val="both"/>
        <w:rPr>
          <w:rFonts w:ascii="Museo Sans 300" w:eastAsia="Times New Roman" w:hAnsi="Museo Sans 300" w:cs="Times New Roman"/>
          <w:bCs/>
          <w:lang w:eastAsia="es-ES"/>
        </w:rPr>
      </w:pPr>
    </w:p>
    <w:p w:rsidR="00031B9E" w:rsidRPr="00291F64" w:rsidRDefault="00031B9E" w:rsidP="00291F64">
      <w:pPr>
        <w:spacing w:after="0" w:line="0" w:lineRule="atLeast"/>
        <w:ind w:left="567"/>
        <w:contextualSpacing/>
        <w:jc w:val="both"/>
        <w:rPr>
          <w:rFonts w:ascii="Museo Sans 300" w:eastAsia="Times New Roman" w:hAnsi="Museo Sans 300" w:cs="Times New Roman"/>
          <w:bCs/>
          <w:lang w:eastAsia="es-ES"/>
        </w:rPr>
      </w:pPr>
      <w:r w:rsidRPr="00031B9E">
        <w:rPr>
          <w:rFonts w:ascii="Museo Sans 300" w:eastAsia="Times New Roman" w:hAnsi="Museo Sans 300" w:cs="Times New Roman"/>
          <w:bCs/>
          <w:lang w:eastAsia="es-ES"/>
        </w:rPr>
        <w:t>En el mismo proveído, se comisionó al Centro de Atención al Usuario de esta superintendencia, para que una vez vencido el plazo otorgado a la distribuidora para remitir lo pertinente, determinara la necesidad o no de intervención de un perito externo para la solución del presente di</w:t>
      </w:r>
      <w:r w:rsidR="00291F64">
        <w:rPr>
          <w:rFonts w:ascii="Museo Sans 300" w:eastAsia="Times New Roman" w:hAnsi="Museo Sans 300" w:cs="Times New Roman"/>
          <w:bCs/>
          <w:lang w:eastAsia="es-ES"/>
        </w:rPr>
        <w:t xml:space="preserve">ferendo y </w:t>
      </w:r>
      <w:r w:rsidRPr="00031B9E">
        <w:rPr>
          <w:rFonts w:ascii="Museo Sans 300" w:eastAsia="Calibri" w:hAnsi="Museo Sans 300" w:cs="Times New Roman"/>
          <w:lang w:val="es-ES_tradnl"/>
        </w:rPr>
        <w:t xml:space="preserve">se ordenó a la sociedad </w:t>
      </w:r>
      <w:r w:rsidR="00DC77F3">
        <w:rPr>
          <w:rFonts w:ascii="Museo Sans 300" w:eastAsia="Calibri" w:hAnsi="Museo Sans 300" w:cs="Times New Roman"/>
          <w:bCs/>
        </w:rPr>
        <w:t>XXXXXXXXXXXXXXXXXXXXXXXX</w:t>
      </w:r>
      <w:r w:rsidRPr="00031B9E">
        <w:rPr>
          <w:rFonts w:ascii="Museo Sans 300" w:eastAsia="Calibri" w:hAnsi="Museo Sans 300" w:cs="Times New Roman"/>
          <w:bCs/>
        </w:rPr>
        <w:t>,</w:t>
      </w:r>
      <w:r w:rsidRPr="00031B9E">
        <w:rPr>
          <w:rFonts w:ascii="Museo Sans 300" w:eastAsia="Calibri" w:hAnsi="Museo Sans 300" w:cs="Times New Roman"/>
          <w:lang w:val="es-ES_tradnl"/>
        </w:rPr>
        <w:t xml:space="preserve"> que suspendiera el cobro acumulado del servicio de energía eléctrica</w:t>
      </w:r>
      <w:r w:rsidR="007D1833">
        <w:rPr>
          <w:rFonts w:ascii="Museo Sans 300" w:eastAsia="Calibri" w:hAnsi="Museo Sans 300" w:cs="Times New Roman"/>
          <w:lang w:val="es-ES_tradnl"/>
        </w:rPr>
        <w:t>,</w:t>
      </w:r>
      <w:r w:rsidRPr="00031B9E">
        <w:rPr>
          <w:rFonts w:ascii="Museo Sans 300" w:eastAsia="Calibri" w:hAnsi="Museo Sans 300" w:cs="Times New Roman"/>
          <w:lang w:val="es-ES_tradnl"/>
        </w:rPr>
        <w:t xml:space="preserve"> y no ejecutara </w:t>
      </w:r>
      <w:proofErr w:type="gramStart"/>
      <w:r w:rsidRPr="00031B9E">
        <w:rPr>
          <w:rFonts w:ascii="Museo Sans 300" w:eastAsia="Calibri" w:hAnsi="Museo Sans 300" w:cs="Times New Roman"/>
          <w:lang w:val="es-ES_tradnl"/>
        </w:rPr>
        <w:t>ninguna</w:t>
      </w:r>
      <w:proofErr w:type="gramEnd"/>
      <w:r w:rsidRPr="00031B9E">
        <w:rPr>
          <w:rFonts w:ascii="Museo Sans 300" w:eastAsia="Calibri" w:hAnsi="Museo Sans 300" w:cs="Times New Roman"/>
          <w:lang w:val="es-ES_tradnl"/>
        </w:rPr>
        <w:t xml:space="preserve"> desconexión o corte de</w:t>
      </w:r>
      <w:r w:rsidR="00291F64">
        <w:rPr>
          <w:rFonts w:ascii="Museo Sans 300" w:eastAsia="Calibri" w:hAnsi="Museo Sans 300" w:cs="Times New Roman"/>
          <w:lang w:val="es-ES_tradnl"/>
        </w:rPr>
        <w:t xml:space="preserve"> ningún </w:t>
      </w:r>
      <w:r w:rsidRPr="00031B9E">
        <w:rPr>
          <w:rFonts w:ascii="Museo Sans 300" w:eastAsia="Calibri" w:hAnsi="Museo Sans 300" w:cs="Times New Roman"/>
          <w:lang w:val="es-ES_tradnl"/>
        </w:rPr>
        <w:t>suministro</w:t>
      </w:r>
      <w:r w:rsidR="00291F64">
        <w:rPr>
          <w:rFonts w:ascii="Museo Sans 300" w:eastAsia="Calibri" w:hAnsi="Museo Sans 300" w:cs="Times New Roman"/>
          <w:lang w:val="es-ES_tradnl"/>
        </w:rPr>
        <w:t xml:space="preserve">. </w:t>
      </w:r>
    </w:p>
    <w:p w:rsidR="00031B9E" w:rsidRPr="00031B9E" w:rsidRDefault="00031B9E" w:rsidP="00031B9E">
      <w:pPr>
        <w:tabs>
          <w:tab w:val="left" w:pos="567"/>
        </w:tabs>
        <w:spacing w:after="0" w:line="0" w:lineRule="atLeast"/>
        <w:ind w:left="567"/>
        <w:contextualSpacing/>
        <w:jc w:val="both"/>
        <w:rPr>
          <w:rFonts w:ascii="Museo Sans 300" w:eastAsia="Calibri" w:hAnsi="Museo Sans 300" w:cs="Times New Roman"/>
          <w:lang w:val="es-ES_tradnl"/>
        </w:rPr>
      </w:pPr>
    </w:p>
    <w:p w:rsidR="00031B9E" w:rsidRPr="00031B9E" w:rsidRDefault="00031B9E" w:rsidP="00031B9E">
      <w:pPr>
        <w:tabs>
          <w:tab w:val="left" w:pos="567"/>
        </w:tabs>
        <w:spacing w:after="0" w:line="0" w:lineRule="atLeast"/>
        <w:ind w:left="567"/>
        <w:contextualSpacing/>
        <w:jc w:val="both"/>
        <w:rPr>
          <w:rFonts w:ascii="Museo Sans 300" w:eastAsia="Calibri" w:hAnsi="Museo Sans 300" w:cs="Times New Roman"/>
          <w:lang w:val="es-ES_tradnl"/>
        </w:rPr>
      </w:pPr>
      <w:r w:rsidRPr="00031B9E">
        <w:rPr>
          <w:rFonts w:ascii="Museo Sans 300" w:eastAsia="Calibri" w:hAnsi="Museo Sans 300" w:cs="Times New Roman"/>
          <w:lang w:val="es-ES_tradnl"/>
        </w:rPr>
        <w:t xml:space="preserve">Según consta en el expediente de mérito, dicho acuerdo fue notificado a la sociedad </w:t>
      </w:r>
      <w:r w:rsidR="00DC77F3">
        <w:rPr>
          <w:rFonts w:ascii="Museo Sans 300" w:eastAsia="Calibri" w:hAnsi="Museo Sans 300" w:cs="Times New Roman"/>
          <w:lang w:val="es-ES_tradnl"/>
        </w:rPr>
        <w:t>XXXXXXXXXXXXXXXXXXXXXXXX</w:t>
      </w:r>
      <w:r w:rsidRPr="00031B9E">
        <w:rPr>
          <w:rFonts w:ascii="Museo Sans 300" w:eastAsia="Calibri" w:hAnsi="Museo Sans 300" w:cs="Times New Roman"/>
          <w:lang w:val="es-ES"/>
        </w:rPr>
        <w:t xml:space="preserve"> el </w:t>
      </w:r>
      <w:r w:rsidRPr="00031B9E">
        <w:rPr>
          <w:rFonts w:ascii="Museo Sans 300" w:eastAsia="Calibri" w:hAnsi="Museo Sans 300" w:cs="Times New Roman"/>
          <w:lang w:val="es-ES_tradnl"/>
        </w:rPr>
        <w:t xml:space="preserve">día </w:t>
      </w:r>
      <w:r w:rsidR="00F21A1E">
        <w:rPr>
          <w:rFonts w:ascii="Museo Sans 300" w:eastAsia="Calibri" w:hAnsi="Museo Sans 300" w:cs="Times New Roman"/>
          <w:lang w:val="es-ES_tradnl"/>
        </w:rPr>
        <w:t>trece</w:t>
      </w:r>
      <w:r w:rsidRPr="00031B9E">
        <w:rPr>
          <w:rFonts w:ascii="Museo Sans 300" w:eastAsia="Calibri" w:hAnsi="Museo Sans 300" w:cs="Times New Roman"/>
          <w:lang w:val="es-ES_tradnl"/>
        </w:rPr>
        <w:t xml:space="preserve"> de </w:t>
      </w:r>
      <w:r w:rsidR="00F21A1E">
        <w:rPr>
          <w:rFonts w:ascii="Museo Sans 300" w:eastAsia="Calibri" w:hAnsi="Museo Sans 300" w:cs="Times New Roman"/>
          <w:lang w:val="es-ES_tradnl"/>
        </w:rPr>
        <w:t>agosto</w:t>
      </w:r>
      <w:r w:rsidRPr="00031B9E">
        <w:rPr>
          <w:rFonts w:ascii="Museo Sans 300" w:eastAsia="Calibri" w:hAnsi="Museo Sans 300" w:cs="Times New Roman"/>
          <w:lang w:val="es-ES_tradnl"/>
        </w:rPr>
        <w:t xml:space="preserve"> de este año, por lo que el período para remitir lo pertinente finalizó el día </w:t>
      </w:r>
      <w:r w:rsidR="00F21A1E">
        <w:rPr>
          <w:rFonts w:ascii="Museo Sans 300" w:eastAsia="Calibri" w:hAnsi="Museo Sans 300" w:cs="Times New Roman"/>
          <w:lang w:val="es-ES_tradnl"/>
        </w:rPr>
        <w:t>veintisiete</w:t>
      </w:r>
      <w:r w:rsidRPr="00031B9E">
        <w:rPr>
          <w:rFonts w:ascii="Museo Sans 300" w:eastAsia="Calibri" w:hAnsi="Museo Sans 300" w:cs="Times New Roman"/>
          <w:lang w:val="es-ES_tradnl"/>
        </w:rPr>
        <w:t xml:space="preserve"> del mismo mes y año.</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031B9E" w:rsidRDefault="00610674" w:rsidP="00637F58">
      <w:pPr>
        <w:spacing w:after="0" w:line="0" w:lineRule="atLeast"/>
        <w:ind w:left="567"/>
        <w:contextualSpacing/>
        <w:jc w:val="both"/>
        <w:rPr>
          <w:rFonts w:ascii="Museo Sans 300" w:eastAsia="Times New Roman" w:hAnsi="Museo Sans 300" w:cs="Times New Roman"/>
          <w:lang w:val="es-ES" w:eastAsia="es-ES"/>
        </w:rPr>
      </w:pPr>
      <w:r w:rsidRPr="00610674">
        <w:rPr>
          <w:rFonts w:ascii="Museo Sans 300" w:eastAsia="Times New Roman" w:hAnsi="Museo Sans 300" w:cs="Times New Roman"/>
          <w:lang w:val="es-ES" w:eastAsia="es-ES"/>
        </w:rPr>
        <w:t xml:space="preserve">El ingeniero </w:t>
      </w:r>
      <w:r w:rsidR="00DC77F3">
        <w:rPr>
          <w:rFonts w:ascii="Museo Sans 300" w:eastAsia="Times New Roman" w:hAnsi="Museo Sans 300" w:cs="Times New Roman"/>
          <w:lang w:val="es-ES" w:eastAsia="es-ES"/>
        </w:rPr>
        <w:t>XXXXXXXXXXXXXXXXXXXXXXXX</w:t>
      </w:r>
      <w:r w:rsidRPr="00610674">
        <w:rPr>
          <w:rFonts w:ascii="Museo Sans 300" w:eastAsia="Times New Roman" w:hAnsi="Museo Sans 300" w:cs="Times New Roman"/>
          <w:lang w:val="es-ES" w:eastAsia="es-ES"/>
        </w:rPr>
        <w:t xml:space="preserve">, apoderado especial de la sociedad </w:t>
      </w:r>
      <w:r w:rsidR="00DC77F3">
        <w:rPr>
          <w:rFonts w:ascii="Museo Sans 300" w:eastAsia="Times New Roman" w:hAnsi="Museo Sans 300" w:cs="Times New Roman"/>
          <w:lang w:val="es-ES" w:eastAsia="es-ES"/>
        </w:rPr>
        <w:t>XXXXXXXXXXXXXXXXXXXXXXXX</w:t>
      </w:r>
      <w:r w:rsidRPr="00610674">
        <w:rPr>
          <w:rFonts w:ascii="Museo Sans 300" w:eastAsia="Times New Roman" w:hAnsi="Museo Sans 300" w:cs="Times New Roman"/>
          <w:lang w:val="es-ES" w:eastAsia="es-ES"/>
        </w:rPr>
        <w:t xml:space="preserve">, presentó un escrito </w:t>
      </w:r>
      <w:r w:rsidR="007D1833">
        <w:rPr>
          <w:rFonts w:ascii="Museo Sans 300" w:eastAsia="Times New Roman" w:hAnsi="Museo Sans 300" w:cs="Times New Roman"/>
          <w:lang w:val="es-ES" w:eastAsia="es-ES"/>
        </w:rPr>
        <w:t xml:space="preserve">a través del cual manifestó </w:t>
      </w:r>
      <w:r w:rsidR="007D1833" w:rsidRPr="00610674">
        <w:rPr>
          <w:rFonts w:ascii="Museo Sans 300" w:eastAsia="Times New Roman" w:hAnsi="Museo Sans 300" w:cs="Times New Roman"/>
          <w:lang w:val="es-ES" w:eastAsia="es-ES"/>
        </w:rPr>
        <w:t xml:space="preserve"> </w:t>
      </w:r>
      <w:r w:rsidRPr="00610674">
        <w:rPr>
          <w:rFonts w:ascii="Museo Sans 300" w:eastAsia="Times New Roman" w:hAnsi="Museo Sans 300" w:cs="Times New Roman"/>
          <w:lang w:val="es-ES" w:eastAsia="es-ES"/>
        </w:rPr>
        <w:t xml:space="preserve">lo siguiente: </w:t>
      </w:r>
    </w:p>
    <w:p w:rsidR="007D1833" w:rsidRDefault="007D1833" w:rsidP="00637F58">
      <w:pPr>
        <w:spacing w:after="0" w:line="0" w:lineRule="atLeast"/>
        <w:ind w:left="567"/>
        <w:contextualSpacing/>
        <w:jc w:val="both"/>
        <w:rPr>
          <w:rFonts w:ascii="Museo Sans 300" w:eastAsia="Times New Roman" w:hAnsi="Museo Sans 300" w:cs="Times New Roman"/>
          <w:i/>
          <w:lang w:val="es-ES" w:eastAsia="es-ES"/>
        </w:rPr>
      </w:pPr>
    </w:p>
    <w:p w:rsidR="00291F64" w:rsidRDefault="00291F64" w:rsidP="00A63A2D">
      <w:pPr>
        <w:pStyle w:val="Prrafodelista"/>
        <w:tabs>
          <w:tab w:val="left" w:pos="426"/>
          <w:tab w:val="left" w:pos="567"/>
          <w:tab w:val="left" w:pos="851"/>
        </w:tabs>
        <w:spacing w:after="0" w:line="240" w:lineRule="auto"/>
        <w:ind w:left="567" w:right="283"/>
        <w:jc w:val="both"/>
        <w:rPr>
          <w:rFonts w:ascii="Museo Sans 300" w:hAnsi="Museo Sans 300"/>
          <w:i/>
          <w:sz w:val="18"/>
          <w:szCs w:val="18"/>
        </w:rPr>
      </w:pPr>
      <w:r>
        <w:rPr>
          <w:rFonts w:ascii="Museo Sans 300" w:hAnsi="Museo Sans 300"/>
          <w:i/>
          <w:sz w:val="18"/>
          <w:szCs w:val="18"/>
        </w:rPr>
        <w:t xml:space="preserve">“(…) c) </w:t>
      </w:r>
      <w:r w:rsidRPr="00DC4090">
        <w:rPr>
          <w:rFonts w:ascii="Museo Sans 300" w:hAnsi="Museo Sans 300"/>
          <w:i/>
          <w:sz w:val="18"/>
          <w:szCs w:val="18"/>
        </w:rPr>
        <w:t>Los Términos y Condiciones del Pliegos tarifario reconocen el hecho que se puedan realizar estimaciones de consumo por razones de fuerza mayor o caso fortuito, así también, mencionada de cómo debe realizarse dicha estimación, lo cual es tomando en cuenta el equivalente al promedio de los últimos seis meses, al tomarse la lectura real, se harán los ajustes respectivos. (…)</w:t>
      </w:r>
    </w:p>
    <w:p w:rsidR="00291F64" w:rsidRDefault="00291F64" w:rsidP="00A63A2D">
      <w:pPr>
        <w:pStyle w:val="Prrafodelista"/>
        <w:tabs>
          <w:tab w:val="left" w:pos="426"/>
          <w:tab w:val="left" w:pos="567"/>
          <w:tab w:val="left" w:pos="851"/>
        </w:tabs>
        <w:spacing w:after="0" w:line="240" w:lineRule="auto"/>
        <w:ind w:left="567" w:right="283"/>
        <w:jc w:val="both"/>
        <w:rPr>
          <w:rFonts w:ascii="Museo Sans 300" w:hAnsi="Museo Sans 300"/>
          <w:i/>
          <w:sz w:val="18"/>
          <w:szCs w:val="18"/>
        </w:rPr>
      </w:pPr>
    </w:p>
    <w:p w:rsidR="00291F64" w:rsidRPr="00DC4090" w:rsidRDefault="00291F64" w:rsidP="00A63A2D">
      <w:pPr>
        <w:pStyle w:val="Prrafodelista"/>
        <w:tabs>
          <w:tab w:val="left" w:pos="426"/>
          <w:tab w:val="left" w:pos="567"/>
          <w:tab w:val="left" w:pos="851"/>
        </w:tabs>
        <w:spacing w:after="0" w:line="240" w:lineRule="auto"/>
        <w:ind w:left="567" w:right="283"/>
        <w:jc w:val="both"/>
        <w:rPr>
          <w:rFonts w:ascii="Museo Sans 300" w:hAnsi="Museo Sans 300"/>
          <w:i/>
          <w:sz w:val="18"/>
          <w:szCs w:val="18"/>
        </w:rPr>
      </w:pPr>
      <w:r>
        <w:rPr>
          <w:rFonts w:ascii="Museo Sans 300" w:hAnsi="Museo Sans 300"/>
          <w:i/>
          <w:sz w:val="18"/>
          <w:szCs w:val="18"/>
        </w:rPr>
        <w:lastRenderedPageBreak/>
        <w:t>f) Los cobros realizados no son indebidos en cuanto corresponden a consumos reales de los usuarios. La distribuidora simplemente está recuperando suma que debieron ser cobradas en su momento, pero que, por hechos irresistibles e imprevisibles ajenos a la distribuidora y usua</w:t>
      </w:r>
      <w:r w:rsidR="008F787F">
        <w:rPr>
          <w:rFonts w:ascii="Museo Sans 300" w:hAnsi="Museo Sans 300"/>
          <w:i/>
          <w:sz w:val="18"/>
          <w:szCs w:val="18"/>
        </w:rPr>
        <w:t>rios no fue posibl</w:t>
      </w:r>
      <w:r>
        <w:rPr>
          <w:rFonts w:ascii="Museo Sans 300" w:hAnsi="Museo Sans 300"/>
          <w:i/>
          <w:sz w:val="18"/>
          <w:szCs w:val="18"/>
        </w:rPr>
        <w:t>e hacerlo</w:t>
      </w:r>
      <w:proofErr w:type="gramStart"/>
      <w:r>
        <w:rPr>
          <w:rFonts w:ascii="Museo Sans 300" w:hAnsi="Museo Sans 300"/>
          <w:i/>
          <w:sz w:val="18"/>
          <w:szCs w:val="18"/>
        </w:rPr>
        <w:t>.</w:t>
      </w:r>
      <w:r w:rsidR="0061191E">
        <w:rPr>
          <w:rFonts w:ascii="Museo Sans 300" w:hAnsi="Museo Sans 300"/>
          <w:i/>
          <w:sz w:val="18"/>
          <w:szCs w:val="18"/>
        </w:rPr>
        <w:t>(</w:t>
      </w:r>
      <w:proofErr w:type="gramEnd"/>
      <w:r w:rsidR="0061191E">
        <w:rPr>
          <w:rFonts w:ascii="Museo Sans 300" w:hAnsi="Museo Sans 300"/>
          <w:i/>
          <w:sz w:val="18"/>
          <w:szCs w:val="18"/>
        </w:rPr>
        <w:t>…)”</w:t>
      </w:r>
    </w:p>
    <w:p w:rsidR="001260BF" w:rsidRPr="001260BF" w:rsidRDefault="001260BF" w:rsidP="003514A2">
      <w:pPr>
        <w:spacing w:after="0" w:line="0" w:lineRule="atLeast"/>
        <w:contextualSpacing/>
        <w:jc w:val="both"/>
        <w:rPr>
          <w:rFonts w:ascii="Museo Sans 300" w:eastAsia="Times New Roman" w:hAnsi="Museo Sans 300" w:cs="Times New Roman"/>
          <w:i/>
          <w:lang w:val="es-ES" w:eastAsia="es-ES"/>
        </w:rPr>
      </w:pPr>
    </w:p>
    <w:p w:rsidR="00637F58" w:rsidRDefault="00031B9E" w:rsidP="00B75141">
      <w:pPr>
        <w:spacing w:after="0" w:line="0" w:lineRule="atLeast"/>
        <w:ind w:left="567"/>
        <w:jc w:val="both"/>
        <w:rPr>
          <w:rFonts w:ascii="Museo Sans 300" w:eastAsia="Times New Roman" w:hAnsi="Museo Sans 300" w:cs="Times New Roman"/>
          <w:color w:val="000000"/>
          <w:lang w:val="es-ES" w:eastAsia="es-ES"/>
        </w:rPr>
      </w:pPr>
      <w:r w:rsidRPr="00031B9E">
        <w:rPr>
          <w:rFonts w:ascii="Museo Sans 300" w:eastAsia="Times New Roman" w:hAnsi="Museo Sans 300" w:cs="Times New Roman"/>
          <w:color w:val="000000"/>
          <w:lang w:val="es-ES" w:eastAsia="es-ES"/>
        </w:rPr>
        <w:t xml:space="preserve">Por otra parte, el </w:t>
      </w:r>
      <w:r w:rsidRPr="00031B9E">
        <w:rPr>
          <w:rFonts w:ascii="Museo Sans 300" w:eastAsia="Times New Roman" w:hAnsi="Museo Sans 300" w:cs="Times New Roman"/>
          <w:lang w:val="es-ES" w:eastAsia="es-ES"/>
        </w:rPr>
        <w:t>Centro de Atención al Usuario de esta superintendencia</w:t>
      </w:r>
      <w:r w:rsidRPr="00031B9E">
        <w:rPr>
          <w:rFonts w:ascii="Museo Sans 300" w:eastAsia="Times New Roman" w:hAnsi="Museo Sans 300" w:cs="Times New Roman"/>
          <w:color w:val="000000"/>
          <w:lang w:val="es-ES" w:eastAsia="es-ES"/>
        </w:rPr>
        <w:t xml:space="preserve"> informó que</w:t>
      </w:r>
      <w:r w:rsidR="007D1833">
        <w:rPr>
          <w:rFonts w:ascii="Museo Sans 300" w:eastAsia="Times New Roman" w:hAnsi="Museo Sans 300" w:cs="Times New Roman"/>
          <w:color w:val="000000"/>
          <w:lang w:val="es-ES" w:eastAsia="es-ES"/>
        </w:rPr>
        <w:t>,</w:t>
      </w:r>
      <w:r w:rsidR="0061191E">
        <w:rPr>
          <w:rFonts w:ascii="Museo Sans 300" w:eastAsia="Times New Roman" w:hAnsi="Museo Sans 300" w:cs="Times New Roman"/>
          <w:color w:val="000000"/>
          <w:lang w:val="es-ES" w:eastAsia="es-ES"/>
        </w:rPr>
        <w:t xml:space="preserve"> basados</w:t>
      </w:r>
      <w:r w:rsidR="00B267CD">
        <w:rPr>
          <w:rFonts w:ascii="Museo Sans 300" w:eastAsia="Times New Roman" w:hAnsi="Museo Sans 300" w:cs="Times New Roman"/>
          <w:color w:val="000000"/>
          <w:lang w:val="es-ES" w:eastAsia="es-ES"/>
        </w:rPr>
        <w:t xml:space="preserve"> </w:t>
      </w:r>
      <w:r w:rsidRPr="00031B9E">
        <w:rPr>
          <w:rFonts w:ascii="Museo Sans 300" w:eastAsia="Times New Roman" w:hAnsi="Museo Sans 300" w:cs="Times New Roman"/>
          <w:color w:val="000000"/>
          <w:lang w:val="es-ES" w:eastAsia="es-ES"/>
        </w:rPr>
        <w:t>en los argumentos y comentarios expuestos por las partes, no era necesaria la intervención de un perito externo para la solución del reclamo.</w:t>
      </w:r>
    </w:p>
    <w:p w:rsidR="007D1833" w:rsidRDefault="007D1833" w:rsidP="00B75141">
      <w:pPr>
        <w:spacing w:after="0" w:line="0" w:lineRule="atLeast"/>
        <w:ind w:left="567"/>
        <w:jc w:val="both"/>
        <w:rPr>
          <w:rFonts w:ascii="Museo Sans 300" w:eastAsia="Times New Roman" w:hAnsi="Museo Sans 300" w:cs="Times New Roman"/>
          <w:color w:val="000000"/>
          <w:lang w:val="es-ES" w:eastAsia="es-ES"/>
        </w:rPr>
      </w:pPr>
    </w:p>
    <w:p w:rsidR="007D1833" w:rsidRPr="00B75141" w:rsidRDefault="007D1833" w:rsidP="007D1833">
      <w:pPr>
        <w:numPr>
          <w:ilvl w:val="0"/>
          <w:numId w:val="17"/>
        </w:numPr>
        <w:spacing w:after="0" w:line="240" w:lineRule="auto"/>
        <w:ind w:left="993" w:hanging="426"/>
        <w:rPr>
          <w:rFonts w:ascii="Museo Sans 500" w:eastAsia="Times New Roman" w:hAnsi="Museo Sans 500" w:cs="Times New Roman"/>
          <w:b/>
          <w:sz w:val="24"/>
          <w:szCs w:val="24"/>
          <w:lang w:val="es-ES" w:eastAsia="es-ES"/>
        </w:rPr>
      </w:pPr>
      <w:r>
        <w:rPr>
          <w:rFonts w:ascii="Museo Sans 500" w:eastAsia="Times New Roman" w:hAnsi="Museo Sans 500" w:cs="Times New Roman"/>
          <w:b/>
          <w:sz w:val="24"/>
          <w:szCs w:val="24"/>
          <w:lang w:val="es-ES" w:eastAsia="es-ES"/>
        </w:rPr>
        <w:t>Etapa de traslados y requerimiento de informe</w:t>
      </w:r>
    </w:p>
    <w:p w:rsidR="00637F58" w:rsidRPr="00637F58" w:rsidRDefault="00637F58" w:rsidP="00637F58">
      <w:pPr>
        <w:spacing w:after="0" w:line="240" w:lineRule="auto"/>
        <w:ind w:left="993"/>
        <w:rPr>
          <w:rFonts w:ascii="Museo Sans 300" w:eastAsia="Times New Roman" w:hAnsi="Museo Sans 300" w:cs="Times New Roman"/>
          <w:lang w:val="es-ES_tradnl" w:eastAsia="es-ES"/>
        </w:rPr>
      </w:pPr>
    </w:p>
    <w:p w:rsidR="00031B9E" w:rsidRDefault="00031B9E" w:rsidP="00637F58">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_tradnl" w:eastAsia="es-ES"/>
        </w:rPr>
        <w:t>Mediante el acuerdo N.° E-</w:t>
      </w:r>
      <w:r w:rsidR="00494BC2">
        <w:rPr>
          <w:rFonts w:ascii="Museo Sans 300" w:eastAsia="Times New Roman" w:hAnsi="Museo Sans 300" w:cs="Times New Roman"/>
          <w:lang w:val="es-ES_tradnl" w:eastAsia="es-ES"/>
        </w:rPr>
        <w:t>357</w:t>
      </w:r>
      <w:r w:rsidRPr="00031B9E">
        <w:rPr>
          <w:rFonts w:ascii="Museo Sans 300" w:eastAsia="Times New Roman" w:hAnsi="Museo Sans 300" w:cs="Times New Roman"/>
          <w:lang w:val="es-ES_tradnl" w:eastAsia="es-ES"/>
        </w:rPr>
        <w:t xml:space="preserve">-2019-CAU, esta superintendencia requirió </w:t>
      </w:r>
      <w:r w:rsidR="00494BC2">
        <w:rPr>
          <w:rFonts w:ascii="Museo Sans 300" w:eastAsia="Times New Roman" w:hAnsi="Museo Sans 300" w:cs="Times New Roman"/>
          <w:lang w:val="es-ES_tradnl" w:eastAsia="es-ES"/>
        </w:rPr>
        <w:t xml:space="preserve">al </w:t>
      </w:r>
      <w:r w:rsidR="00494BC2">
        <w:rPr>
          <w:rFonts w:ascii="Museo Sans 300" w:hAnsi="Museo Sans 300"/>
          <w:lang w:val="es-ES_tradnl"/>
        </w:rPr>
        <w:t xml:space="preserve">señor </w:t>
      </w:r>
      <w:r w:rsidR="00DC77F3">
        <w:rPr>
          <w:rFonts w:ascii="Museo Sans 300" w:hAnsi="Museo Sans 300"/>
          <w:lang w:val="es-ES_tradnl"/>
        </w:rPr>
        <w:t xml:space="preserve">XXXXXXXXXXXXXXXXXXXXXXXX </w:t>
      </w:r>
      <w:r w:rsidR="00494BC2">
        <w:rPr>
          <w:rFonts w:ascii="Museo Sans 300" w:hAnsi="Museo Sans 300"/>
          <w:lang w:val="es-ES_tradnl"/>
        </w:rPr>
        <w:t xml:space="preserve">representante de los usuarios de la </w:t>
      </w:r>
      <w:r w:rsidR="00DC77F3">
        <w:rPr>
          <w:rFonts w:ascii="Museo Sans 300" w:hAnsi="Museo Sans 300"/>
          <w:lang w:val="es-ES_tradnl"/>
        </w:rPr>
        <w:t>XXXXXXXXXXXXXXXXXXXXXXXX</w:t>
      </w:r>
      <w:r w:rsidR="00494BC2">
        <w:rPr>
          <w:rFonts w:ascii="Museo Sans 300" w:hAnsi="Museo Sans 300"/>
          <w:lang w:val="es-ES_tradnl"/>
        </w:rPr>
        <w:t>, y</w:t>
      </w:r>
      <w:r w:rsidR="00494BC2" w:rsidRPr="00031B9E">
        <w:rPr>
          <w:rFonts w:ascii="Museo Sans 300" w:eastAsia="Times New Roman" w:hAnsi="Museo Sans 300" w:cs="Times New Roman"/>
          <w:lang w:val="es-ES_tradnl" w:eastAsia="es-ES"/>
        </w:rPr>
        <w:t xml:space="preserve"> </w:t>
      </w:r>
      <w:r w:rsidRPr="00031B9E">
        <w:rPr>
          <w:rFonts w:ascii="Museo Sans 300" w:eastAsia="Times New Roman" w:hAnsi="Museo Sans 300" w:cs="Times New Roman"/>
          <w:lang w:val="es-ES_tradnl" w:eastAsia="es-ES"/>
        </w:rPr>
        <w:t xml:space="preserve">a la sociedad </w:t>
      </w:r>
      <w:r w:rsidR="00DC77F3">
        <w:rPr>
          <w:rFonts w:ascii="Museo Sans 300" w:eastAsia="Times New Roman" w:hAnsi="Museo Sans 300" w:cs="Times New Roman"/>
          <w:lang w:val="es-ES_tradnl" w:eastAsia="es-ES"/>
        </w:rPr>
        <w:t>XXXXXXXXXXXXXXXXXXXXXXXX</w:t>
      </w:r>
      <w:r w:rsidR="00494BC2">
        <w:rPr>
          <w:rFonts w:ascii="Museo Sans 300" w:eastAsia="Times New Roman" w:hAnsi="Museo Sans 300" w:cs="Times New Roman"/>
          <w:lang w:val="es-ES_tradnl" w:eastAsia="es-ES"/>
        </w:rPr>
        <w:t xml:space="preserve"> </w:t>
      </w:r>
      <w:r w:rsidRPr="00031B9E">
        <w:rPr>
          <w:rFonts w:ascii="Museo Sans 300" w:eastAsia="Times New Roman" w:hAnsi="Museo Sans 300" w:cs="Times New Roman"/>
          <w:lang w:val="es-ES" w:eastAsia="es-ES"/>
        </w:rPr>
        <w:t xml:space="preserve">que en un plazo de diez días hábiles contados a partir del día siguiente a la notificación de dicho proveído, presentaran los argumentos que estimaran convenientes adjuntando </w:t>
      </w:r>
      <w:r w:rsidR="0061191E">
        <w:rPr>
          <w:rFonts w:ascii="Museo Sans 300" w:eastAsia="Times New Roman" w:hAnsi="Museo Sans 300" w:cs="Times New Roman"/>
          <w:lang w:val="es-ES" w:eastAsia="es-ES"/>
        </w:rPr>
        <w:t xml:space="preserve">la </w:t>
      </w:r>
      <w:r w:rsidRPr="00031B9E">
        <w:rPr>
          <w:rFonts w:ascii="Museo Sans 300" w:eastAsia="Times New Roman" w:hAnsi="Museo Sans 300" w:cs="Times New Roman"/>
          <w:lang w:val="es-ES" w:eastAsia="es-ES"/>
        </w:rPr>
        <w:t xml:space="preserve">información y documentación necesaria para sustentarlos. </w:t>
      </w:r>
    </w:p>
    <w:p w:rsidR="00B75141" w:rsidRPr="00031B9E" w:rsidRDefault="00B75141" w:rsidP="00C0301C">
      <w:pPr>
        <w:spacing w:after="0" w:line="0" w:lineRule="atLeast"/>
        <w:contextualSpacing/>
        <w:jc w:val="both"/>
        <w:rPr>
          <w:rFonts w:ascii="Museo Sans 300" w:eastAsia="Times New Roman" w:hAnsi="Museo Sans 300" w:cs="Times New Roman"/>
          <w:lang w:val="es-ES" w:eastAsia="es-ES"/>
        </w:rPr>
      </w:pPr>
    </w:p>
    <w:p w:rsidR="00031B9E" w:rsidRPr="00031B9E" w:rsidRDefault="00031B9E" w:rsidP="00031B9E">
      <w:pPr>
        <w:tabs>
          <w:tab w:val="left" w:pos="567"/>
        </w:tabs>
        <w:spacing w:after="0" w:line="240" w:lineRule="auto"/>
        <w:ind w:left="567"/>
        <w:contextualSpacing/>
        <w:jc w:val="both"/>
        <w:rPr>
          <w:rFonts w:ascii="Museo Sans 300" w:eastAsia="Calibri" w:hAnsi="Museo Sans 300" w:cs="Times New Roman"/>
          <w:lang w:val="es-ES_tradnl"/>
        </w:rPr>
      </w:pPr>
      <w:r w:rsidRPr="00031B9E">
        <w:rPr>
          <w:rFonts w:ascii="Museo Sans 300" w:eastAsia="Calibri" w:hAnsi="Museo Sans 300" w:cs="Times New Roman"/>
          <w:lang w:val="es-ES"/>
        </w:rPr>
        <w:t xml:space="preserve">En el mismo proveído, se </w:t>
      </w:r>
      <w:r w:rsidRPr="00031B9E">
        <w:rPr>
          <w:rFonts w:ascii="Museo Sans 300" w:eastAsia="Calibri" w:hAnsi="Museo Sans 300" w:cs="Times New Roman"/>
          <w:lang w:val="es-ES_tradnl"/>
        </w:rPr>
        <w:t xml:space="preserve">comisionó a la Gerencia de Electricidad, para que una vez vencido el plazo otorgado a las partes para remitir lo pertinente, rindiera un informe técnico estableciendo si el argumento indicado por la sociedad </w:t>
      </w:r>
      <w:r w:rsidR="00DC77F3">
        <w:rPr>
          <w:rFonts w:ascii="Museo Sans 300" w:eastAsia="Calibri" w:hAnsi="Museo Sans 300" w:cs="Times New Roman"/>
          <w:lang w:val="es-ES_tradnl"/>
        </w:rPr>
        <w:t>XXXXXXXXXXXXXXXXXXXXXXXX</w:t>
      </w:r>
      <w:r w:rsidRPr="00031B9E">
        <w:rPr>
          <w:rFonts w:ascii="Museo Sans 300" w:eastAsia="Calibri" w:hAnsi="Museo Sans 300" w:cs="Times New Roman"/>
          <w:lang w:val="es-ES_tradnl"/>
        </w:rPr>
        <w:t xml:space="preserve">, relacionado con el alto riesgo delincuencial </w:t>
      </w:r>
      <w:r w:rsidR="003F7128" w:rsidRPr="003F7128">
        <w:rPr>
          <w:rFonts w:ascii="Museo Sans 300" w:eastAsia="Times New Roman" w:hAnsi="Museo Sans 300" w:cs="Times New Roman"/>
          <w:lang w:val="es-ES" w:eastAsia="es-ES"/>
        </w:rPr>
        <w:t xml:space="preserve">en la </w:t>
      </w:r>
      <w:r w:rsidR="00DC77F3">
        <w:rPr>
          <w:rFonts w:ascii="Museo Sans 300" w:eastAsia="Times New Roman" w:hAnsi="Museo Sans 300" w:cs="Times New Roman"/>
          <w:lang w:val="es-ES" w:eastAsia="es-ES"/>
        </w:rPr>
        <w:t>XXXXXXXXXXXXXXXXXXXXXXXX</w:t>
      </w:r>
      <w:r w:rsidR="003F7128" w:rsidRPr="003F7128">
        <w:rPr>
          <w:rFonts w:ascii="Museo Sans 300" w:eastAsia="Times New Roman" w:hAnsi="Museo Sans 300" w:cs="Times New Roman"/>
          <w:lang w:val="es-ES" w:eastAsia="es-ES"/>
        </w:rPr>
        <w:t xml:space="preserve">, </w:t>
      </w:r>
      <w:r w:rsidR="00DC77F3">
        <w:rPr>
          <w:rFonts w:ascii="Museo Sans 300" w:eastAsia="Times New Roman" w:hAnsi="Museo Sans 300" w:cs="Times New Roman"/>
          <w:lang w:val="es-ES" w:eastAsia="es-ES"/>
        </w:rPr>
        <w:t>XXXXXXXXXXXXXXXXXX</w:t>
      </w:r>
      <w:r w:rsidR="003F7128" w:rsidRPr="003F7128">
        <w:rPr>
          <w:rFonts w:ascii="Museo Sans 300" w:eastAsia="Times New Roman" w:hAnsi="Museo Sans 300" w:cs="Times New Roman"/>
          <w:lang w:val="es-ES" w:eastAsia="es-ES"/>
        </w:rPr>
        <w:t xml:space="preserve">, </w:t>
      </w:r>
      <w:r w:rsidRPr="00031B9E">
        <w:rPr>
          <w:rFonts w:ascii="Museo Sans 300" w:eastAsia="Calibri" w:hAnsi="Museo Sans 300" w:cs="Times New Roman"/>
          <w:lang w:val="es-ES_tradnl"/>
        </w:rPr>
        <w:t xml:space="preserve">se enmarca dentro de un evento constitutivo de fuerza mayor, de conformidad con el Procedimiento para la Determinación de Causales de Casos Fortuitos y Fuerza Mayor, </w:t>
      </w:r>
      <w:r w:rsidR="0061191E">
        <w:rPr>
          <w:rFonts w:ascii="Museo Sans 300" w:eastAsia="Calibri" w:hAnsi="Museo Sans 300" w:cs="Times New Roman"/>
          <w:lang w:val="es-ES_tradnl"/>
        </w:rPr>
        <w:t xml:space="preserve">y </w:t>
      </w:r>
      <w:r w:rsidRPr="00031B9E">
        <w:rPr>
          <w:rFonts w:ascii="Museo Sans 300" w:eastAsia="Calibri" w:hAnsi="Museo Sans 300" w:cs="Times New Roman"/>
          <w:lang w:val="es-ES_tradnl"/>
        </w:rPr>
        <w:t>el artículo 29 de los Términos y Condiciones Generales al Consumidor Final del Pliego Tarifario aplicables</w:t>
      </w:r>
      <w:r w:rsidR="0061191E">
        <w:rPr>
          <w:rFonts w:ascii="Museo Sans 300" w:eastAsia="Calibri" w:hAnsi="Museo Sans 300" w:cs="Times New Roman"/>
          <w:lang w:val="es-ES_tradnl"/>
        </w:rPr>
        <w:t>.</w:t>
      </w:r>
    </w:p>
    <w:p w:rsidR="00031B9E" w:rsidRPr="00031B9E" w:rsidRDefault="00031B9E" w:rsidP="00031B9E">
      <w:pPr>
        <w:tabs>
          <w:tab w:val="left" w:pos="567"/>
        </w:tabs>
        <w:spacing w:after="0" w:line="240" w:lineRule="auto"/>
        <w:ind w:left="567"/>
        <w:contextualSpacing/>
        <w:jc w:val="both"/>
        <w:rPr>
          <w:rFonts w:ascii="Museo Sans 300" w:eastAsia="Calibri" w:hAnsi="Museo Sans 300" w:cs="Times New Roman"/>
          <w:lang w:val="es-ES_tradnl"/>
        </w:rPr>
      </w:pPr>
    </w:p>
    <w:p w:rsidR="00171B75" w:rsidRPr="00171B75" w:rsidRDefault="00171B75" w:rsidP="00171B75">
      <w:pPr>
        <w:tabs>
          <w:tab w:val="left" w:pos="567"/>
        </w:tabs>
        <w:spacing w:after="0" w:line="0" w:lineRule="atLeast"/>
        <w:ind w:left="567"/>
        <w:contextualSpacing/>
        <w:jc w:val="both"/>
        <w:rPr>
          <w:rFonts w:ascii="Museo Sans 300" w:eastAsia="Calibri" w:hAnsi="Museo Sans 300" w:cs="Times New Roman"/>
          <w:lang w:val="es-ES_tradnl"/>
        </w:rPr>
      </w:pPr>
      <w:r w:rsidRPr="00171B75">
        <w:rPr>
          <w:rFonts w:ascii="Museo Sans 300" w:eastAsia="Calibri" w:hAnsi="Museo Sans 300" w:cs="Times New Roman"/>
          <w:lang w:val="es-ES_tradnl"/>
        </w:rPr>
        <w:t xml:space="preserve">Dicho acuerdo fue notificado a la sociedad </w:t>
      </w:r>
      <w:r w:rsidR="00DC77F3">
        <w:rPr>
          <w:rFonts w:ascii="Museo Sans 300" w:eastAsia="Calibri" w:hAnsi="Museo Sans 300" w:cs="Times New Roman"/>
          <w:lang w:val="es-ES_tradnl"/>
        </w:rPr>
        <w:t>XXXXXXXXXXXXXXXXXXXXXXXX</w:t>
      </w:r>
      <w:r w:rsidRPr="00171B75">
        <w:rPr>
          <w:rFonts w:ascii="Museo Sans 300" w:eastAsia="Calibri" w:hAnsi="Museo Sans 300" w:cs="Times New Roman"/>
          <w:lang w:val="es-ES_tradnl"/>
        </w:rPr>
        <w:t xml:space="preserve"> y al señor </w:t>
      </w:r>
      <w:r w:rsidR="00DC77F3">
        <w:rPr>
          <w:rFonts w:ascii="Museo Sans 300" w:eastAsia="Calibri" w:hAnsi="Museo Sans 300" w:cs="Times New Roman"/>
          <w:lang w:val="es-ES_tradnl"/>
        </w:rPr>
        <w:t xml:space="preserve">XXXXXXXXXXXXXXXXXXXXXXXX </w:t>
      </w:r>
      <w:proofErr w:type="gramStart"/>
      <w:r w:rsidRPr="00171B75">
        <w:rPr>
          <w:rFonts w:ascii="Museo Sans 300" w:eastAsia="Calibri" w:hAnsi="Museo Sans 300" w:cs="Times New Roman"/>
          <w:lang w:val="es-ES_tradnl"/>
        </w:rPr>
        <w:t>los</w:t>
      </w:r>
      <w:proofErr w:type="gramEnd"/>
      <w:r w:rsidRPr="00171B75">
        <w:rPr>
          <w:rFonts w:ascii="Museo Sans 300" w:eastAsia="Calibri" w:hAnsi="Museo Sans 300" w:cs="Times New Roman"/>
          <w:lang w:val="es-ES_tradnl"/>
        </w:rPr>
        <w:t xml:space="preserve"> días doce y trece de septiembre de este año, por lo que el período para hacer uso del derecho de defensa otorgado finalizó los días veintiséis y veintisiete de septiembre del mismo año, respectivamente. </w:t>
      </w:r>
    </w:p>
    <w:p w:rsidR="00155874" w:rsidRPr="00DE2CC1" w:rsidRDefault="00155874" w:rsidP="00155874">
      <w:pPr>
        <w:spacing w:after="0" w:line="0" w:lineRule="atLeast"/>
        <w:contextualSpacing/>
        <w:jc w:val="both"/>
        <w:rPr>
          <w:rFonts w:ascii="Museo Sans 300" w:eastAsia="Times New Roman" w:hAnsi="Museo Sans 300" w:cs="Times New Roman"/>
          <w:lang w:val="es-ES" w:eastAsia="es-ES"/>
        </w:rPr>
      </w:pPr>
    </w:p>
    <w:p w:rsidR="00155874" w:rsidRPr="00DE2CC1" w:rsidRDefault="00155874" w:rsidP="00155874">
      <w:pPr>
        <w:tabs>
          <w:tab w:val="left" w:pos="567"/>
        </w:tabs>
        <w:spacing w:after="0" w:line="0" w:lineRule="atLeast"/>
        <w:ind w:left="567"/>
        <w:contextualSpacing/>
        <w:jc w:val="both"/>
        <w:rPr>
          <w:rFonts w:ascii="Museo Sans 300" w:eastAsia="Times New Roman" w:hAnsi="Museo Sans 300" w:cs="Times New Roman"/>
          <w:lang w:val="es-ES" w:eastAsia="es-ES"/>
        </w:rPr>
      </w:pPr>
      <w:r w:rsidRPr="00DE2CC1">
        <w:rPr>
          <w:rFonts w:ascii="Museo Sans 300" w:eastAsia="Times New Roman" w:hAnsi="Museo Sans 300" w:cs="Times New Roman"/>
          <w:lang w:val="es-ES" w:eastAsia="es-ES"/>
        </w:rPr>
        <w:t xml:space="preserve">El ingeniero </w:t>
      </w:r>
      <w:r w:rsidR="00DC77F3">
        <w:rPr>
          <w:rFonts w:ascii="Museo Sans 300" w:eastAsia="Times New Roman" w:hAnsi="Museo Sans 300" w:cs="Times New Roman"/>
          <w:lang w:val="es-ES" w:eastAsia="es-ES"/>
        </w:rPr>
        <w:t>XXXXXXXXXXXXXXXXXXXXXXXX</w:t>
      </w:r>
      <w:r w:rsidRPr="00DE2CC1">
        <w:rPr>
          <w:rFonts w:ascii="Museo Sans 300" w:eastAsia="Times New Roman" w:hAnsi="Museo Sans 300" w:cs="Times New Roman"/>
          <w:lang w:val="es-ES" w:eastAsia="es-ES"/>
        </w:rPr>
        <w:t xml:space="preserve">, actuando en la calidad antes apuntada, presentó un escrito manifestando que no existen pruebas documentales adicionales para complementar el cobro realizado.  </w:t>
      </w:r>
    </w:p>
    <w:p w:rsidR="00155874" w:rsidRPr="00DE2CC1" w:rsidRDefault="00155874" w:rsidP="00155874">
      <w:pPr>
        <w:spacing w:after="0" w:line="0" w:lineRule="atLeast"/>
        <w:ind w:left="567"/>
        <w:contextualSpacing/>
        <w:jc w:val="both"/>
        <w:rPr>
          <w:rFonts w:ascii="Museo Sans 300" w:eastAsia="Times New Roman" w:hAnsi="Museo Sans 300" w:cs="Times New Roman"/>
          <w:lang w:val="es-ES" w:eastAsia="es-ES"/>
        </w:rPr>
      </w:pPr>
    </w:p>
    <w:p w:rsidR="00155874" w:rsidRPr="00DE2CC1" w:rsidRDefault="00155874" w:rsidP="00155874">
      <w:pPr>
        <w:spacing w:after="0" w:line="240" w:lineRule="auto"/>
        <w:ind w:left="567"/>
        <w:jc w:val="both"/>
        <w:rPr>
          <w:rFonts w:ascii="Museo Sans 300" w:eastAsia="Times New Roman" w:hAnsi="Museo Sans 300" w:cs="Times New Roman"/>
          <w:lang w:val="es-ES" w:eastAsia="es-ES"/>
        </w:rPr>
      </w:pPr>
      <w:r w:rsidRPr="00DE2CC1">
        <w:rPr>
          <w:rFonts w:ascii="Museo Sans 300" w:eastAsia="Times New Roman" w:hAnsi="Museo Sans 300" w:cs="Times New Roman"/>
          <w:lang w:val="es-ES" w:eastAsia="es-ES"/>
        </w:rPr>
        <w:t xml:space="preserve">Por su parte, el señor </w:t>
      </w:r>
      <w:r w:rsidR="00DC77F3">
        <w:rPr>
          <w:rFonts w:ascii="Museo Sans 300" w:hAnsi="Museo Sans 300"/>
          <w:lang w:val="es-ES_tradnl"/>
        </w:rPr>
        <w:t>XXXXXXXXXXXXXXXXXXXXXXXX</w:t>
      </w:r>
      <w:r w:rsidRPr="00DE2CC1">
        <w:rPr>
          <w:rFonts w:ascii="Museo Sans 300" w:eastAsia="Times New Roman" w:hAnsi="Museo Sans 300" w:cs="Times New Roman"/>
          <w:lang w:val="es-ES" w:eastAsia="es-ES"/>
        </w:rPr>
        <w:t xml:space="preserve">no hizo uso </w:t>
      </w:r>
      <w:r w:rsidRPr="00DE2CC1">
        <w:rPr>
          <w:rFonts w:ascii="Museo Sans 300" w:eastAsia="Calibri" w:hAnsi="Museo Sans 300" w:cs="Times New Roman"/>
          <w:lang w:val="es-ES_tradnl" w:eastAsia="es-ES"/>
        </w:rPr>
        <w:t>del derecho de audiencia y defensa otorgado</w:t>
      </w:r>
      <w:r w:rsidRPr="00DE2CC1">
        <w:rPr>
          <w:rFonts w:ascii="Museo Sans 300" w:eastAsia="Times New Roman" w:hAnsi="Museo Sans 300" w:cs="Times New Roman"/>
          <w:lang w:val="es-ES" w:eastAsia="es-ES"/>
        </w:rPr>
        <w:t>.</w:t>
      </w:r>
    </w:p>
    <w:p w:rsidR="00031B9E" w:rsidRDefault="00031B9E" w:rsidP="00874713">
      <w:pPr>
        <w:tabs>
          <w:tab w:val="left" w:pos="567"/>
        </w:tabs>
        <w:spacing w:after="0" w:line="240" w:lineRule="auto"/>
        <w:contextualSpacing/>
        <w:jc w:val="both"/>
        <w:rPr>
          <w:rFonts w:ascii="Museo Sans 300" w:eastAsia="Calibri" w:hAnsi="Museo Sans 300" w:cs="Times New Roman"/>
          <w:lang w:val="es-ES_tradnl"/>
        </w:rPr>
      </w:pPr>
    </w:p>
    <w:p w:rsidR="007D1833" w:rsidRPr="00B75141" w:rsidRDefault="007D1833" w:rsidP="007D1833">
      <w:pPr>
        <w:numPr>
          <w:ilvl w:val="0"/>
          <w:numId w:val="17"/>
        </w:numPr>
        <w:spacing w:after="0" w:line="240" w:lineRule="auto"/>
        <w:ind w:left="993" w:hanging="426"/>
        <w:rPr>
          <w:rFonts w:ascii="Museo Sans 500" w:eastAsia="Times New Roman" w:hAnsi="Museo Sans 500" w:cs="Times New Roman"/>
          <w:b/>
          <w:sz w:val="24"/>
          <w:szCs w:val="24"/>
          <w:lang w:val="es-ES" w:eastAsia="es-ES"/>
        </w:rPr>
      </w:pPr>
      <w:r>
        <w:rPr>
          <w:rFonts w:ascii="Museo Sans 500" w:eastAsia="Times New Roman" w:hAnsi="Museo Sans 500" w:cs="Times New Roman"/>
          <w:b/>
          <w:sz w:val="24"/>
          <w:szCs w:val="24"/>
          <w:lang w:val="es-ES" w:eastAsia="es-ES"/>
        </w:rPr>
        <w:t>Informe técnico</w:t>
      </w:r>
    </w:p>
    <w:p w:rsidR="007D1833" w:rsidRPr="00031B9E" w:rsidRDefault="007D1833" w:rsidP="00874713">
      <w:pPr>
        <w:tabs>
          <w:tab w:val="left" w:pos="567"/>
        </w:tabs>
        <w:spacing w:after="0" w:line="240" w:lineRule="auto"/>
        <w:contextualSpacing/>
        <w:jc w:val="both"/>
        <w:rPr>
          <w:rFonts w:ascii="Museo Sans 300" w:eastAsia="Calibri" w:hAnsi="Museo Sans 300" w:cs="Times New Roman"/>
          <w:lang w:val="es-ES_tradnl"/>
        </w:rPr>
      </w:pPr>
    </w:p>
    <w:p w:rsidR="00171B75" w:rsidRPr="00171B75" w:rsidRDefault="00171B75" w:rsidP="00DB523D">
      <w:pPr>
        <w:tabs>
          <w:tab w:val="left" w:pos="1276"/>
        </w:tabs>
        <w:spacing w:after="0" w:line="0" w:lineRule="atLeast"/>
        <w:ind w:left="567"/>
        <w:contextualSpacing/>
        <w:jc w:val="both"/>
        <w:rPr>
          <w:rFonts w:ascii="Museo Sans 300" w:eastAsia="Calibri" w:hAnsi="Museo Sans 300" w:cs="Times New Roman"/>
          <w:lang w:val="es-ES_tradnl"/>
        </w:rPr>
      </w:pPr>
      <w:r w:rsidRPr="00171B75">
        <w:rPr>
          <w:rFonts w:ascii="Museo Sans 300" w:eastAsia="Calibri" w:hAnsi="Museo Sans 300" w:cs="Times New Roman"/>
          <w:lang w:val="es-ES_tradnl"/>
        </w:rPr>
        <w:t>La Ge</w:t>
      </w:r>
      <w:r w:rsidR="00D02D8E">
        <w:rPr>
          <w:rFonts w:ascii="Museo Sans 300" w:eastAsia="Calibri" w:hAnsi="Museo Sans 300" w:cs="Times New Roman"/>
          <w:lang w:val="es-ES_tradnl"/>
        </w:rPr>
        <w:t>rencia de Electricidad de esta s</w:t>
      </w:r>
      <w:r w:rsidRPr="00171B75">
        <w:rPr>
          <w:rFonts w:ascii="Museo Sans 300" w:eastAsia="Calibri" w:hAnsi="Museo Sans 300" w:cs="Times New Roman"/>
          <w:lang w:val="es-ES_tradnl"/>
        </w:rPr>
        <w:t>uperintendencia, rindió el informe técnico N.° IT-NT-2019-10-053 dictaminando lo siguiente:</w:t>
      </w:r>
    </w:p>
    <w:p w:rsidR="00171B75" w:rsidRPr="00171B75" w:rsidRDefault="00171B75" w:rsidP="00171B75">
      <w:pPr>
        <w:spacing w:after="200" w:line="0" w:lineRule="atLeast"/>
        <w:ind w:left="567"/>
        <w:contextualSpacing/>
        <w:jc w:val="both"/>
        <w:rPr>
          <w:rFonts w:ascii="Museo 300" w:eastAsia="Calibri" w:hAnsi="Museo 300" w:cs="Times New Roman"/>
          <w:sz w:val="23"/>
          <w:szCs w:val="23"/>
          <w:lang w:eastAsia="es-SV"/>
        </w:rPr>
      </w:pPr>
    </w:p>
    <w:p w:rsidR="003E3A6C" w:rsidRDefault="00171B75" w:rsidP="009700E5">
      <w:pPr>
        <w:tabs>
          <w:tab w:val="left" w:pos="9072"/>
        </w:tabs>
        <w:spacing w:after="200" w:line="0" w:lineRule="atLeast"/>
        <w:ind w:left="1134" w:right="567"/>
        <w:contextualSpacing/>
        <w:jc w:val="both"/>
        <w:rPr>
          <w:rFonts w:ascii="Museo 300" w:eastAsia="Calibri" w:hAnsi="Museo 300" w:cs="Times New Roman"/>
          <w:sz w:val="18"/>
          <w:szCs w:val="18"/>
        </w:rPr>
      </w:pPr>
      <w:r w:rsidRPr="00171B75">
        <w:rPr>
          <w:rFonts w:ascii="Museo 300" w:eastAsia="Calibri" w:hAnsi="Museo 300" w:cs="Times New Roman"/>
          <w:sz w:val="23"/>
          <w:szCs w:val="23"/>
          <w:lang w:eastAsia="es-SV"/>
        </w:rPr>
        <w:t>“[…</w:t>
      </w:r>
      <w:bookmarkStart w:id="0" w:name="_Toc483215298"/>
      <w:r w:rsidRPr="00171B75">
        <w:rPr>
          <w:rFonts w:ascii="Museo 300" w:eastAsia="Calibri" w:hAnsi="Museo 300" w:cs="Times New Roman"/>
          <w:sz w:val="23"/>
          <w:szCs w:val="23"/>
          <w:lang w:eastAsia="es-SV"/>
        </w:rPr>
        <w:t>]</w:t>
      </w:r>
      <w:bookmarkEnd w:id="0"/>
      <w:r w:rsidRPr="00171B75">
        <w:rPr>
          <w:rFonts w:ascii="Museo 300" w:eastAsia="Calibri" w:hAnsi="Museo 300" w:cs="Times New Roman"/>
          <w:sz w:val="23"/>
          <w:szCs w:val="23"/>
          <w:lang w:eastAsia="es-SV"/>
        </w:rPr>
        <w:t xml:space="preserve"> </w:t>
      </w:r>
      <w:r w:rsidRPr="00171B75">
        <w:rPr>
          <w:rFonts w:ascii="Museo 300" w:eastAsia="Calibri" w:hAnsi="Museo 300" w:cs="Times New Roman"/>
          <w:sz w:val="18"/>
          <w:szCs w:val="18"/>
        </w:rPr>
        <w:t xml:space="preserve">Del análisis realizado se concluye que el argumento indicado por la </w:t>
      </w:r>
      <w:r w:rsidR="00DC77F3">
        <w:rPr>
          <w:rFonts w:ascii="Museo 300" w:eastAsia="Calibri" w:hAnsi="Museo 300" w:cs="Times New Roman"/>
          <w:sz w:val="18"/>
          <w:szCs w:val="18"/>
        </w:rPr>
        <w:t>XXXXXXXXXXXXXXXXXXXXXXXX</w:t>
      </w:r>
      <w:r w:rsidRPr="00171B75">
        <w:rPr>
          <w:rFonts w:ascii="Museo 300" w:eastAsia="Calibri" w:hAnsi="Museo 300" w:cs="Times New Roman"/>
          <w:sz w:val="18"/>
          <w:szCs w:val="18"/>
        </w:rPr>
        <w:t xml:space="preserve"> S. EN C. DE C.V., sobre que los altos niveles de delincuencia en la </w:t>
      </w:r>
      <w:r w:rsidR="00DC77F3">
        <w:rPr>
          <w:rFonts w:ascii="Museo 300" w:eastAsia="Calibri" w:hAnsi="Museo 300" w:cs="Times New Roman"/>
          <w:sz w:val="18"/>
          <w:szCs w:val="18"/>
        </w:rPr>
        <w:t>XXXXXXXXXXXXXXXXXXXXXXXX</w:t>
      </w:r>
      <w:r w:rsidRPr="00171B75">
        <w:rPr>
          <w:rFonts w:ascii="Museo 300" w:eastAsia="Calibri" w:hAnsi="Museo 300" w:cs="Times New Roman"/>
          <w:sz w:val="18"/>
          <w:szCs w:val="18"/>
        </w:rPr>
        <w:t xml:space="preserve">, le impiden la toma de lectura y la notificación normal de las facturas en el sector, no cumple con los requisitos de un evento constitutivo de fuerza mayor, de conformidad con lo establecido en el Procedimiento para la Determinación de Causales de Casos Fortuitos y Fuerza Mayor, así como lo regulado en el artículo 29 de los Términos y Condiciones del Pliego Tarifario aplicables. […]”. </w:t>
      </w:r>
    </w:p>
    <w:p w:rsidR="007D1833" w:rsidRPr="009700E5" w:rsidRDefault="007D1833" w:rsidP="009700E5">
      <w:pPr>
        <w:tabs>
          <w:tab w:val="left" w:pos="9072"/>
        </w:tabs>
        <w:spacing w:after="200" w:line="0" w:lineRule="atLeast"/>
        <w:ind w:left="1134" w:right="567"/>
        <w:contextualSpacing/>
        <w:jc w:val="both"/>
        <w:rPr>
          <w:rFonts w:ascii="Museo 300" w:eastAsia="Calibri" w:hAnsi="Museo 300" w:cs="Times New Roman"/>
          <w:sz w:val="23"/>
          <w:szCs w:val="23"/>
          <w:lang w:eastAsia="es-SV"/>
        </w:rPr>
      </w:pPr>
    </w:p>
    <w:p w:rsidR="00B75141" w:rsidRPr="00B75141" w:rsidRDefault="00B75141" w:rsidP="00B75141">
      <w:pPr>
        <w:numPr>
          <w:ilvl w:val="0"/>
          <w:numId w:val="17"/>
        </w:numPr>
        <w:spacing w:after="0" w:line="240" w:lineRule="auto"/>
        <w:ind w:left="993" w:hanging="426"/>
        <w:rPr>
          <w:rFonts w:ascii="Museo Sans 500" w:eastAsia="Times New Roman" w:hAnsi="Museo Sans 500" w:cs="Times New Roman"/>
          <w:b/>
          <w:sz w:val="24"/>
          <w:szCs w:val="24"/>
          <w:lang w:val="es-ES" w:eastAsia="es-ES"/>
        </w:rPr>
      </w:pPr>
      <w:r w:rsidRPr="00B75141">
        <w:rPr>
          <w:rFonts w:ascii="Museo Sans 500" w:eastAsia="Times New Roman" w:hAnsi="Museo Sans 500" w:cs="Times New Roman"/>
          <w:b/>
          <w:sz w:val="24"/>
          <w:szCs w:val="24"/>
          <w:lang w:val="es-ES" w:eastAsia="es-ES"/>
        </w:rPr>
        <w:t>Alegatos finales</w:t>
      </w:r>
    </w:p>
    <w:p w:rsidR="00B75141" w:rsidRPr="00031B9E" w:rsidRDefault="00B75141" w:rsidP="00B75141">
      <w:pPr>
        <w:spacing w:after="200" w:line="0" w:lineRule="atLeast"/>
        <w:ind w:right="565"/>
        <w:contextualSpacing/>
        <w:jc w:val="both"/>
        <w:rPr>
          <w:rFonts w:ascii="Museo 300" w:eastAsia="Calibri" w:hAnsi="Museo 300" w:cs="Times New Roman"/>
          <w:sz w:val="18"/>
          <w:szCs w:val="18"/>
        </w:rPr>
      </w:pPr>
    </w:p>
    <w:p w:rsidR="00031B9E" w:rsidRPr="00031B9E" w:rsidRDefault="00031B9E" w:rsidP="00DB523D">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Mediante el acuerdo N.° E-</w:t>
      </w:r>
      <w:r w:rsidR="00C020B8">
        <w:rPr>
          <w:rFonts w:ascii="Museo Sans 300" w:eastAsia="Times New Roman" w:hAnsi="Museo Sans 300" w:cs="Times New Roman"/>
          <w:lang w:val="es-ES" w:eastAsia="es-ES"/>
        </w:rPr>
        <w:t>491</w:t>
      </w:r>
      <w:r w:rsidRPr="00031B9E">
        <w:rPr>
          <w:rFonts w:ascii="Museo Sans 300" w:eastAsia="Times New Roman" w:hAnsi="Museo Sans 300" w:cs="Times New Roman"/>
          <w:lang w:val="es-ES" w:eastAsia="es-ES"/>
        </w:rPr>
        <w:t xml:space="preserve">-2019-CAU, esta superintendencia remitió copia del informe técnico </w:t>
      </w:r>
      <w:r w:rsidR="009D42F8" w:rsidRPr="00171B75">
        <w:rPr>
          <w:rFonts w:ascii="Museo Sans 300" w:eastAsia="Calibri" w:hAnsi="Museo Sans 300" w:cs="Times New Roman"/>
          <w:lang w:val="es-ES_tradnl"/>
        </w:rPr>
        <w:t>N.° IT-NT-2019-10-053</w:t>
      </w:r>
      <w:r w:rsidRPr="00031B9E">
        <w:rPr>
          <w:rFonts w:ascii="Museo Sans 300" w:eastAsia="Times New Roman" w:hAnsi="Museo Sans 300" w:cs="Times New Roman"/>
          <w:lang w:val="es-ES_tradnl" w:eastAsia="es-ES"/>
        </w:rPr>
        <w:t xml:space="preserve"> </w:t>
      </w:r>
      <w:r w:rsidRPr="00031B9E">
        <w:rPr>
          <w:rFonts w:ascii="Museo Sans 300" w:eastAsia="Times New Roman" w:hAnsi="Museo Sans 300" w:cs="Times New Roman"/>
          <w:lang w:val="es-ES" w:eastAsia="es-ES"/>
        </w:rPr>
        <w:t xml:space="preserve">rendido por la </w:t>
      </w:r>
      <w:r w:rsidRPr="00031B9E">
        <w:rPr>
          <w:rFonts w:ascii="Museo Sans 300" w:eastAsia="Times New Roman" w:hAnsi="Museo Sans 300" w:cs="Times New Roman"/>
          <w:lang w:val="es-ES_tradnl" w:eastAsia="es-ES"/>
        </w:rPr>
        <w:t>Gerencia de Electricidad de la SIGET</w:t>
      </w:r>
      <w:r w:rsidRPr="00031B9E">
        <w:rPr>
          <w:rFonts w:ascii="Museo Sans 300" w:eastAsia="Times New Roman" w:hAnsi="Museo Sans 300" w:cs="Times New Roman"/>
          <w:lang w:val="es-ES" w:eastAsia="es-ES"/>
        </w:rPr>
        <w:t xml:space="preserve"> </w:t>
      </w:r>
      <w:r w:rsidR="009D42F8">
        <w:rPr>
          <w:rFonts w:ascii="Museo Sans 300" w:eastAsia="Times New Roman" w:hAnsi="Museo Sans 300" w:cs="Times New Roman"/>
          <w:lang w:val="es-ES" w:eastAsia="es-ES"/>
        </w:rPr>
        <w:t xml:space="preserve">al señor </w:t>
      </w:r>
      <w:r w:rsidR="00DC77F3">
        <w:rPr>
          <w:rFonts w:ascii="Museo Sans 300" w:hAnsi="Museo Sans 300"/>
          <w:lang w:val="es-ES_tradnl"/>
        </w:rPr>
        <w:t>XXXXXXXXXXXXXXXXXXXXXXXX</w:t>
      </w:r>
      <w:r w:rsidRPr="00031B9E">
        <w:rPr>
          <w:rFonts w:ascii="Museo Sans 300" w:eastAsia="Times New Roman" w:hAnsi="Museo Sans 300" w:cs="Times New Roman"/>
          <w:lang w:val="es-ES" w:eastAsia="es-ES"/>
        </w:rPr>
        <w:t xml:space="preserve">y a la sociedad </w:t>
      </w:r>
      <w:r w:rsidR="00DC77F3">
        <w:rPr>
          <w:rFonts w:ascii="Museo Sans 300" w:eastAsia="Times New Roman" w:hAnsi="Museo Sans 300" w:cs="Times New Roman"/>
          <w:lang w:val="es-ES" w:eastAsia="es-ES"/>
        </w:rPr>
        <w:t>XXXXXXXXXXXXXXXXXXXXXXXX</w:t>
      </w:r>
      <w:r w:rsidR="009D42F8">
        <w:rPr>
          <w:rFonts w:ascii="Museo Sans 300" w:eastAsia="Times New Roman" w:hAnsi="Museo Sans 300" w:cs="Times New Roman"/>
          <w:lang w:val="es-ES" w:eastAsia="es-ES"/>
        </w:rPr>
        <w:t xml:space="preserve">, </w:t>
      </w:r>
      <w:r w:rsidRPr="00031B9E">
        <w:rPr>
          <w:rFonts w:ascii="Museo Sans 300" w:eastAsia="Times New Roman" w:hAnsi="Museo Sans 300" w:cs="Times New Roman"/>
          <w:lang w:val="es-ES" w:eastAsia="es-ES"/>
        </w:rPr>
        <w:t>para que en un plazo de quince días hábiles contados a partir del día siguiente de la notificación de dicho proveído, manifestaran por escrito sus alegatos finales.</w:t>
      </w:r>
      <w:r w:rsidR="009D42F8">
        <w:rPr>
          <w:rFonts w:ascii="Museo Sans 300" w:eastAsia="Times New Roman" w:hAnsi="Museo Sans 300" w:cs="Times New Roman"/>
          <w:lang w:val="es-ES" w:eastAsia="es-ES"/>
        </w:rPr>
        <w:t xml:space="preserve">   </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5B0504" w:rsidRDefault="00031B9E" w:rsidP="00031B9E">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Dicho proveído fue notificado a las partes el día </w:t>
      </w:r>
      <w:r w:rsidR="006665B5">
        <w:rPr>
          <w:rFonts w:ascii="Museo Sans 300" w:eastAsia="Times New Roman" w:hAnsi="Museo Sans 300" w:cs="Times New Roman"/>
          <w:lang w:val="es-ES" w:eastAsia="es-ES"/>
        </w:rPr>
        <w:t>veintidós de octubre</w:t>
      </w:r>
      <w:r w:rsidRPr="00031B9E">
        <w:rPr>
          <w:rFonts w:ascii="Museo Sans 300" w:eastAsia="Times New Roman" w:hAnsi="Museo Sans 300" w:cs="Times New Roman"/>
          <w:lang w:val="es-ES" w:eastAsia="es-ES"/>
        </w:rPr>
        <w:t xml:space="preserve"> de este año</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 xml:space="preserve"> por lo que el período de alegatos finales concluyó el día </w:t>
      </w:r>
      <w:r w:rsidR="006665B5">
        <w:rPr>
          <w:rFonts w:ascii="Museo Sans 300" w:eastAsia="Times New Roman" w:hAnsi="Museo Sans 300" w:cs="Times New Roman"/>
          <w:lang w:val="es-ES" w:eastAsia="es-ES"/>
        </w:rPr>
        <w:t>seis de noviembre</w:t>
      </w:r>
      <w:r w:rsidR="005B0504">
        <w:rPr>
          <w:rFonts w:ascii="Museo Sans 300" w:eastAsia="Times New Roman" w:hAnsi="Museo Sans 300" w:cs="Times New Roman"/>
          <w:lang w:val="es-ES" w:eastAsia="es-ES"/>
        </w:rPr>
        <w:t xml:space="preserve"> del mismo año.</w:t>
      </w:r>
    </w:p>
    <w:p w:rsidR="0061191E" w:rsidRDefault="0061191E" w:rsidP="00031B9E">
      <w:pPr>
        <w:spacing w:after="0" w:line="0" w:lineRule="atLeast"/>
        <w:ind w:left="567"/>
        <w:contextualSpacing/>
        <w:jc w:val="both"/>
        <w:rPr>
          <w:rFonts w:ascii="Museo Sans 300" w:eastAsia="Times New Roman" w:hAnsi="Museo Sans 300" w:cs="Times New Roman"/>
          <w:lang w:val="es-ES" w:eastAsia="es-ES"/>
        </w:rPr>
      </w:pPr>
    </w:p>
    <w:p w:rsidR="005B0504" w:rsidRDefault="002B5770" w:rsidP="00DB523D">
      <w:pPr>
        <w:spacing w:after="0" w:line="0" w:lineRule="atLeast"/>
        <w:ind w:left="567"/>
        <w:contextualSpacing/>
        <w:jc w:val="both"/>
        <w:rPr>
          <w:rFonts w:ascii="Museo Sans 300" w:eastAsia="Times New Roman" w:hAnsi="Museo Sans 300" w:cs="Times New Roman"/>
          <w:lang w:val="es-ES" w:eastAsia="es-ES"/>
        </w:rPr>
      </w:pPr>
      <w:r w:rsidRPr="00610674">
        <w:rPr>
          <w:rFonts w:ascii="Museo Sans 300" w:eastAsia="Times New Roman" w:hAnsi="Museo Sans 300" w:cs="Times New Roman"/>
          <w:lang w:val="es-ES" w:eastAsia="es-ES"/>
        </w:rPr>
        <w:t xml:space="preserve">El ingeniero </w:t>
      </w:r>
      <w:r w:rsidR="00DC77F3">
        <w:rPr>
          <w:rFonts w:ascii="Museo Sans 300" w:eastAsia="Times New Roman" w:hAnsi="Museo Sans 300" w:cs="Times New Roman"/>
          <w:lang w:val="es-ES" w:eastAsia="es-ES"/>
        </w:rPr>
        <w:t>XXXXXXXXXXXXXXXXXXXXXXXX</w:t>
      </w:r>
      <w:r>
        <w:rPr>
          <w:rFonts w:ascii="Museo Sans 300" w:eastAsia="Times New Roman" w:hAnsi="Museo Sans 300" w:cs="Times New Roman"/>
          <w:lang w:val="es-ES" w:eastAsia="es-ES"/>
        </w:rPr>
        <w:t xml:space="preserve">, actuando en la calidad antes apuntada presentó un escrito </w:t>
      </w:r>
      <w:r w:rsidR="00470D81">
        <w:rPr>
          <w:rFonts w:ascii="Museo Sans 300" w:eastAsia="Times New Roman" w:hAnsi="Museo Sans 300" w:cs="Times New Roman"/>
          <w:lang w:val="es-ES" w:eastAsia="es-ES"/>
        </w:rPr>
        <w:t>ratificando sus argumentos respecto a los motivos por los que no fue posible realizar la toma de lecturas en dichos suministros, solicitando se valoren las pruebas documentales presentadas y se validen los cobros realizados.</w:t>
      </w:r>
      <w:r>
        <w:rPr>
          <w:rFonts w:ascii="Museo Sans 300" w:eastAsia="Times New Roman" w:hAnsi="Museo Sans 300" w:cs="Times New Roman"/>
          <w:lang w:val="es-ES" w:eastAsia="es-ES"/>
        </w:rPr>
        <w:t xml:space="preserve"> </w:t>
      </w:r>
    </w:p>
    <w:p w:rsidR="005B0504" w:rsidRDefault="005B0504" w:rsidP="00470D81">
      <w:pPr>
        <w:spacing w:after="0" w:line="0" w:lineRule="atLeast"/>
        <w:contextualSpacing/>
        <w:jc w:val="both"/>
        <w:rPr>
          <w:rFonts w:ascii="Museo Sans 300" w:eastAsia="Times New Roman" w:hAnsi="Museo Sans 300" w:cs="Times New Roman"/>
          <w:lang w:val="es-ES" w:eastAsia="es-ES"/>
        </w:rPr>
      </w:pPr>
    </w:p>
    <w:p w:rsidR="00031B9E" w:rsidRPr="00456E4D" w:rsidRDefault="00456E4D" w:rsidP="00456E4D">
      <w:pPr>
        <w:spacing w:after="0" w:line="240" w:lineRule="auto"/>
        <w:ind w:left="567"/>
        <w:jc w:val="both"/>
        <w:rPr>
          <w:rFonts w:ascii="Museo Sans 300" w:eastAsia="Calibri" w:hAnsi="Museo Sans 300" w:cs="Times New Roman"/>
          <w:lang w:val="es-ES_tradnl"/>
        </w:rPr>
      </w:pPr>
      <w:r w:rsidRPr="00456E4D">
        <w:rPr>
          <w:rFonts w:ascii="Museo Sans 300" w:eastAsia="Calibri" w:hAnsi="Museo Sans 300" w:cs="Times New Roman"/>
          <w:lang w:val="es-ES_tradnl"/>
        </w:rPr>
        <w:t xml:space="preserve">Por su parte, el señor </w:t>
      </w:r>
      <w:proofErr w:type="spellStart"/>
      <w:r w:rsidR="00DC77F3">
        <w:rPr>
          <w:rFonts w:ascii="Museo Sans 300" w:hAnsi="Museo Sans 300"/>
          <w:lang w:val="es-ES_tradnl"/>
        </w:rPr>
        <w:t>XXXXXXXXXXXXXXXXXXXXXXXX</w:t>
      </w:r>
      <w:r w:rsidR="00AA1A18">
        <w:rPr>
          <w:rFonts w:ascii="Museo Sans 300" w:hAnsi="Museo Sans 300"/>
          <w:lang w:val="es-ES_tradnl"/>
        </w:rPr>
        <w:t>representante</w:t>
      </w:r>
      <w:proofErr w:type="spellEnd"/>
      <w:r w:rsidR="00AA1A18">
        <w:rPr>
          <w:rFonts w:ascii="Museo Sans 300" w:hAnsi="Museo Sans 300"/>
          <w:lang w:val="es-ES_tradnl"/>
        </w:rPr>
        <w:t xml:space="preserve"> de los usuarios de la </w:t>
      </w:r>
      <w:r w:rsidR="00DC77F3">
        <w:rPr>
          <w:rFonts w:ascii="Museo Sans 300" w:hAnsi="Museo Sans 300"/>
          <w:lang w:val="es-ES_tradnl"/>
        </w:rPr>
        <w:t>XXXXXXXXXXXXXXXXXXXXXXXX</w:t>
      </w:r>
      <w:r w:rsidR="00AA1A18">
        <w:rPr>
          <w:rFonts w:ascii="Museo Sans 300" w:hAnsi="Museo Sans 300"/>
          <w:lang w:val="es-ES_tradnl"/>
        </w:rPr>
        <w:t xml:space="preserve">, </w:t>
      </w:r>
      <w:r w:rsidRPr="00456E4D">
        <w:rPr>
          <w:rFonts w:ascii="Museo Sans 300" w:eastAsia="Calibri" w:hAnsi="Museo Sans 300" w:cs="Times New Roman"/>
          <w:lang w:val="es-ES_tradnl"/>
        </w:rPr>
        <w:t>no hizo uso del d</w:t>
      </w:r>
      <w:r>
        <w:rPr>
          <w:rFonts w:ascii="Museo Sans 300" w:eastAsia="Calibri" w:hAnsi="Museo Sans 300" w:cs="Times New Roman"/>
          <w:lang w:val="es-ES_tradnl"/>
        </w:rPr>
        <w:t xml:space="preserve">erecho de audiencia otorgado.  </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DB523D" w:rsidRPr="00DB523D" w:rsidRDefault="00DB523D" w:rsidP="00DB523D">
      <w:pPr>
        <w:numPr>
          <w:ilvl w:val="0"/>
          <w:numId w:val="18"/>
        </w:numPr>
        <w:spacing w:after="0" w:line="240" w:lineRule="auto"/>
        <w:jc w:val="center"/>
        <w:rPr>
          <w:rFonts w:ascii="Museo Sans 500" w:eastAsia="Times New Roman" w:hAnsi="Museo Sans 500" w:cs="Times New Roman"/>
          <w:b/>
          <w:u w:val="single"/>
          <w:lang w:val="es-ES" w:eastAsia="es-ES"/>
        </w:rPr>
      </w:pPr>
      <w:r w:rsidRPr="00DB523D">
        <w:rPr>
          <w:rFonts w:ascii="Museo Sans 500" w:eastAsia="Times New Roman" w:hAnsi="Museo Sans 500" w:cs="Times New Roman"/>
          <w:b/>
          <w:u w:val="single"/>
          <w:lang w:val="es-ES" w:eastAsia="es-ES"/>
        </w:rPr>
        <w:t>SENTENCIA</w:t>
      </w:r>
    </w:p>
    <w:p w:rsidR="00DB523D" w:rsidRPr="00DB523D" w:rsidRDefault="00DB523D" w:rsidP="00DB523D">
      <w:pPr>
        <w:spacing w:after="0" w:line="240" w:lineRule="auto"/>
        <w:ind w:left="426"/>
        <w:jc w:val="both"/>
        <w:rPr>
          <w:rFonts w:ascii="Museo Sans 300" w:eastAsia="Times New Roman" w:hAnsi="Museo Sans 300" w:cs="Times New Roman"/>
          <w:lang w:val="es-ES" w:eastAsia="es-ES"/>
        </w:rPr>
      </w:pPr>
    </w:p>
    <w:p w:rsidR="00DB523D" w:rsidRPr="00DB523D" w:rsidRDefault="00DB523D" w:rsidP="00DB523D">
      <w:pPr>
        <w:numPr>
          <w:ilvl w:val="0"/>
          <w:numId w:val="8"/>
        </w:numPr>
        <w:tabs>
          <w:tab w:val="num" w:pos="567"/>
        </w:tabs>
        <w:spacing w:after="0" w:line="0" w:lineRule="atLeast"/>
        <w:ind w:left="567" w:hanging="567"/>
        <w:contextualSpacing/>
        <w:jc w:val="both"/>
        <w:rPr>
          <w:rFonts w:ascii="Museo Sans 300" w:eastAsia="Times New Roman" w:hAnsi="Museo Sans 300" w:cs="Times New Roman"/>
          <w:lang w:val="es-ES" w:eastAsia="es-ES"/>
        </w:rPr>
      </w:pPr>
      <w:r w:rsidRPr="00DB523D">
        <w:rPr>
          <w:rFonts w:ascii="Museo Sans 300" w:eastAsia="Times New Roman" w:hAnsi="Museo Sans 300" w:cs="Times New Roman"/>
          <w:lang w:val="es-ES" w:eastAsia="es-ES"/>
        </w:rPr>
        <w:t>Encontrándose el presente procedimiento en etapa de dictar sentencia, esta superintendencia realiza las valoraciones siguientes:</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 </w:t>
      </w:r>
    </w:p>
    <w:p w:rsidR="00031B9E" w:rsidRPr="00031B9E" w:rsidRDefault="00031B9E" w:rsidP="00031B9E">
      <w:pPr>
        <w:numPr>
          <w:ilvl w:val="0"/>
          <w:numId w:val="11"/>
        </w:numPr>
        <w:tabs>
          <w:tab w:val="left" w:pos="709"/>
        </w:tabs>
        <w:spacing w:after="0" w:line="0" w:lineRule="atLeast"/>
        <w:contextualSpacing/>
        <w:jc w:val="center"/>
        <w:rPr>
          <w:rFonts w:ascii="Museo Sans 500" w:eastAsia="Times New Roman" w:hAnsi="Museo Sans 500" w:cs="Times New Roman"/>
          <w:b/>
          <w:lang w:val="es-ES" w:eastAsia="es-ES"/>
        </w:rPr>
      </w:pPr>
      <w:r w:rsidRPr="00031B9E">
        <w:rPr>
          <w:rFonts w:ascii="Museo Sans 500" w:eastAsia="Times New Roman" w:hAnsi="Museo Sans 500" w:cs="Times New Roman"/>
          <w:b/>
          <w:lang w:val="es-ES" w:eastAsia="es-ES"/>
        </w:rPr>
        <w:t xml:space="preserve">MARCO </w:t>
      </w:r>
      <w:r w:rsidR="00DB523D">
        <w:rPr>
          <w:rFonts w:ascii="Museo Sans 500" w:eastAsia="Times New Roman" w:hAnsi="Museo Sans 500" w:cs="Times New Roman"/>
          <w:b/>
          <w:lang w:val="es-ES" w:eastAsia="es-ES"/>
        </w:rPr>
        <w:t>LEGAL</w:t>
      </w:r>
    </w:p>
    <w:p w:rsidR="00031B9E" w:rsidRPr="00031B9E" w:rsidRDefault="00031B9E" w:rsidP="00031B9E">
      <w:pPr>
        <w:tabs>
          <w:tab w:val="left" w:pos="993"/>
        </w:tabs>
        <w:spacing w:after="0" w:line="0" w:lineRule="atLeast"/>
        <w:ind w:left="567"/>
        <w:jc w:val="both"/>
        <w:rPr>
          <w:rFonts w:ascii="Museo Sans 300" w:eastAsia="Calibri" w:hAnsi="Museo Sans 300" w:cs="Times New Roman"/>
          <w:b/>
        </w:rPr>
      </w:pPr>
    </w:p>
    <w:p w:rsidR="00031B9E" w:rsidRPr="00031B9E" w:rsidRDefault="00031B9E" w:rsidP="00031B9E">
      <w:pPr>
        <w:tabs>
          <w:tab w:val="left" w:pos="993"/>
        </w:tabs>
        <w:spacing w:after="200" w:line="0" w:lineRule="atLeast"/>
        <w:ind w:left="567"/>
        <w:jc w:val="both"/>
        <w:rPr>
          <w:rFonts w:ascii="Museo Sans 500" w:eastAsia="Calibri" w:hAnsi="Museo Sans 500" w:cs="Times New Roman"/>
          <w:b/>
        </w:rPr>
      </w:pPr>
      <w:proofErr w:type="gramStart"/>
      <w:r w:rsidRPr="00031B9E">
        <w:rPr>
          <w:rFonts w:ascii="Museo Sans 500" w:eastAsia="Calibri" w:hAnsi="Museo Sans 500" w:cs="Times New Roman"/>
          <w:b/>
        </w:rPr>
        <w:t>1.A</w:t>
      </w:r>
      <w:proofErr w:type="gramEnd"/>
      <w:r w:rsidRPr="00031B9E">
        <w:rPr>
          <w:rFonts w:ascii="Museo Sans 500" w:eastAsia="Calibri" w:hAnsi="Museo Sans 500" w:cs="Times New Roman"/>
          <w:b/>
        </w:rPr>
        <w:t>. Ley de Creación de la SIGET, Ley General de Electricidad y Reglamento de la Ley General de Electricidad</w:t>
      </w:r>
    </w:p>
    <w:p w:rsidR="00031B9E" w:rsidRPr="00031B9E" w:rsidRDefault="00031B9E" w:rsidP="00031B9E">
      <w:pPr>
        <w:autoSpaceDE w:val="0"/>
        <w:autoSpaceDN w:val="0"/>
        <w:adjustRightInd w:val="0"/>
        <w:spacing w:after="200" w:line="0" w:lineRule="atLeast"/>
        <w:ind w:left="567"/>
        <w:jc w:val="both"/>
        <w:rPr>
          <w:rFonts w:ascii="Museo Sans 300" w:eastAsia="Calibri" w:hAnsi="Museo Sans 300" w:cs="Times New Roman"/>
          <w:iCs/>
        </w:rPr>
      </w:pPr>
      <w:r w:rsidRPr="00031B9E">
        <w:rPr>
          <w:rFonts w:ascii="Museo Sans 300" w:eastAsia="Calibri" w:hAnsi="Museo Sans 300" w:cs="Times New Roman"/>
        </w:rPr>
        <w:t xml:space="preserve">El artículo 4 de la Ley de Creación de la SIGET, establece que esta Institución es </w:t>
      </w:r>
      <w:r w:rsidRPr="00031B9E">
        <w:rPr>
          <w:rFonts w:ascii="Museo Sans 300" w:eastAsia="Calibri" w:hAnsi="Museo Sans 300" w:cs="Times New Roman"/>
          <w:iCs/>
        </w:rPr>
        <w:t>la entidad competente para aplicar las normas contenidas en tratados internacionales sobre</w:t>
      </w:r>
      <w:r w:rsidRPr="00031B9E">
        <w:rPr>
          <w:rFonts w:ascii="Museo Sans 300" w:eastAsia="Calibri" w:hAnsi="Museo Sans 300" w:cs="Times New Roman"/>
        </w:rPr>
        <w:t xml:space="preserve"> </w:t>
      </w:r>
      <w:r w:rsidRPr="00031B9E">
        <w:rPr>
          <w:rFonts w:ascii="Museo Sans 300" w:eastAsia="Calibri" w:hAnsi="Museo Sans 300" w:cs="Times New Roman"/>
          <w:iCs/>
        </w:rPr>
        <w:t>electricidad y telecomunicaciones vigentes en El Salvador, en las leyes que rigen los sectores de</w:t>
      </w:r>
      <w:r w:rsidRPr="00031B9E">
        <w:rPr>
          <w:rFonts w:ascii="Museo Sans 300" w:eastAsia="Calibri" w:hAnsi="Museo Sans 300" w:cs="Times New Roman"/>
        </w:rPr>
        <w:t xml:space="preserve"> </w:t>
      </w:r>
      <w:r w:rsidRPr="00031B9E">
        <w:rPr>
          <w:rFonts w:ascii="Museo Sans 300" w:eastAsia="Calibri" w:hAnsi="Museo Sans 300" w:cs="Times New Roman"/>
          <w:iCs/>
        </w:rPr>
        <w:t>Electricidad y de Telecomunicaciones y sus reglamentos, así como para conocer del</w:t>
      </w:r>
      <w:r w:rsidRPr="00031B9E">
        <w:rPr>
          <w:rFonts w:ascii="Museo Sans 300" w:eastAsia="Calibri" w:hAnsi="Museo Sans 300" w:cs="Times New Roman"/>
        </w:rPr>
        <w:t xml:space="preserve"> </w:t>
      </w:r>
      <w:r w:rsidRPr="00031B9E">
        <w:rPr>
          <w:rFonts w:ascii="Museo Sans 300" w:eastAsia="Calibri" w:hAnsi="Museo Sans 300" w:cs="Times New Roman"/>
          <w:iCs/>
        </w:rPr>
        <w:t>incumplimiento de las mismas.</w:t>
      </w:r>
    </w:p>
    <w:p w:rsidR="00031B9E" w:rsidRPr="00031B9E" w:rsidRDefault="00031B9E" w:rsidP="00031B9E">
      <w:pPr>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El artículo 1 de la Ley General de Electricidad –LGE-, establece que dicha Ley norma las actividades de distribución y comercialización de energía eléctrica. El artículo 2 letras a), d) y e) de la LGE, dispone que la aplicación de los preceptos contenidos en tal Ley, tomará en cuenta los objetivos siguientes: </w:t>
      </w:r>
    </w:p>
    <w:p w:rsidR="00031B9E" w:rsidRPr="00031B9E" w:rsidRDefault="00031B9E" w:rsidP="00031B9E">
      <w:pPr>
        <w:numPr>
          <w:ilvl w:val="0"/>
          <w:numId w:val="5"/>
        </w:numPr>
        <w:tabs>
          <w:tab w:val="left" w:pos="0"/>
        </w:tabs>
        <w:spacing w:after="0" w:line="0" w:lineRule="atLeast"/>
        <w:ind w:left="993" w:hanging="284"/>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Desarrollo de un mercado competitivo en la actividad de comercialización de energía eléctrica; </w:t>
      </w:r>
    </w:p>
    <w:p w:rsidR="00031B9E" w:rsidRPr="00031B9E" w:rsidRDefault="00031B9E" w:rsidP="00031B9E">
      <w:pPr>
        <w:numPr>
          <w:ilvl w:val="0"/>
          <w:numId w:val="5"/>
        </w:numPr>
        <w:tabs>
          <w:tab w:val="left" w:pos="0"/>
        </w:tabs>
        <w:spacing w:after="0" w:line="0" w:lineRule="atLeast"/>
        <w:ind w:left="993" w:hanging="284"/>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Fomentar el acceso al suministro de energía eléctrica para todos los sectores de la población; y, </w:t>
      </w:r>
    </w:p>
    <w:p w:rsidR="00031B9E" w:rsidRPr="00031B9E" w:rsidRDefault="00031B9E" w:rsidP="00031B9E">
      <w:pPr>
        <w:numPr>
          <w:ilvl w:val="0"/>
          <w:numId w:val="5"/>
        </w:numPr>
        <w:tabs>
          <w:tab w:val="left" w:pos="0"/>
        </w:tabs>
        <w:spacing w:after="0" w:line="0" w:lineRule="atLeast"/>
        <w:ind w:left="993" w:hanging="284"/>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Protección de los derechos de los usuarios y de todas las entidades que desarrollan actividades en el sector. </w:t>
      </w:r>
    </w:p>
    <w:p w:rsidR="00031B9E" w:rsidRPr="00031B9E" w:rsidRDefault="00031B9E" w:rsidP="00031B9E">
      <w:pPr>
        <w:tabs>
          <w:tab w:val="left" w:pos="0"/>
          <w:tab w:val="left" w:pos="142"/>
        </w:tabs>
        <w:spacing w:after="0" w:line="0" w:lineRule="atLeast"/>
        <w:ind w:left="567"/>
        <w:contextualSpacing/>
        <w:jc w:val="both"/>
        <w:rPr>
          <w:rFonts w:ascii="Museo Sans 300" w:eastAsia="Times New Roman" w:hAnsi="Museo Sans 300" w:cs="Times New Roman"/>
          <w:sz w:val="24"/>
          <w:szCs w:val="24"/>
          <w:lang w:val="es-ES" w:eastAsia="es-ES"/>
        </w:rPr>
      </w:pPr>
    </w:p>
    <w:p w:rsidR="00031B9E" w:rsidRPr="00031B9E" w:rsidRDefault="00031B9E" w:rsidP="00A63A2D">
      <w:pPr>
        <w:tabs>
          <w:tab w:val="left" w:pos="142"/>
        </w:tabs>
        <w:spacing w:after="200" w:line="240" w:lineRule="auto"/>
        <w:ind w:left="567"/>
        <w:jc w:val="both"/>
        <w:rPr>
          <w:rFonts w:ascii="Museo Sans 300" w:eastAsia="Arial Unicode MS" w:hAnsi="Museo Sans 300" w:cs="Times New Roman"/>
          <w:color w:val="000000"/>
          <w:lang w:val="es-ES" w:eastAsia="es-ES"/>
        </w:rPr>
      </w:pPr>
      <w:r w:rsidRPr="00031B9E">
        <w:rPr>
          <w:rFonts w:ascii="Museo Sans 300" w:eastAsia="Calibri" w:hAnsi="Museo Sans 300" w:cs="Times New Roman"/>
        </w:rPr>
        <w:t>El artículo 3 de la LGE, define a esta Institución</w:t>
      </w:r>
      <w:r w:rsidRPr="00031B9E">
        <w:rPr>
          <w:rFonts w:ascii="Museo Sans 300" w:eastAsia="Calibri" w:hAnsi="Museo Sans 300" w:cs="Times New Roman"/>
          <w:snapToGrid w:val="0"/>
          <w:kern w:val="16"/>
        </w:rPr>
        <w:t xml:space="preserve"> como la responsable del cumplimiento de las normas de carácter general aplicables a las actividades del sector eléctrico.</w:t>
      </w:r>
    </w:p>
    <w:p w:rsidR="00031B9E" w:rsidRPr="00031B9E" w:rsidRDefault="00031B9E" w:rsidP="00A63A2D">
      <w:pPr>
        <w:tabs>
          <w:tab w:val="left" w:pos="142"/>
        </w:tabs>
        <w:spacing w:after="0" w:line="240" w:lineRule="auto"/>
        <w:ind w:left="567"/>
        <w:jc w:val="both"/>
        <w:rPr>
          <w:rFonts w:ascii="Museo Sans 300" w:eastAsia="Arial Unicode MS" w:hAnsi="Museo Sans 300" w:cs="Times New Roman"/>
          <w:color w:val="000000"/>
          <w:lang w:val="es-ES" w:eastAsia="es-ES"/>
        </w:rPr>
      </w:pPr>
      <w:r w:rsidRPr="00031B9E">
        <w:rPr>
          <w:rFonts w:ascii="Museo Sans 300" w:eastAsia="Arial Unicode MS" w:hAnsi="Museo Sans 300" w:cs="Times New Roman"/>
          <w:color w:val="000000"/>
          <w:lang w:val="es-ES" w:eastAsia="es-ES"/>
        </w:rPr>
        <w:t>El artículo 95 del Reglamento de la Ley General de Electricidad, estipula lo siguiente:</w:t>
      </w:r>
    </w:p>
    <w:p w:rsidR="00031B9E" w:rsidRPr="00031B9E" w:rsidRDefault="00031B9E" w:rsidP="00031B9E">
      <w:pPr>
        <w:tabs>
          <w:tab w:val="left" w:pos="142"/>
        </w:tabs>
        <w:spacing w:after="0" w:line="0" w:lineRule="atLeast"/>
        <w:ind w:left="567"/>
        <w:jc w:val="both"/>
        <w:rPr>
          <w:rFonts w:ascii="Museo Sans 300" w:eastAsia="Arial Unicode MS" w:hAnsi="Museo Sans 300" w:cs="Times New Roman"/>
          <w:color w:val="000000"/>
          <w:lang w:val="es-ES"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Arial Unicode MS"/>
          <w:color w:val="000000"/>
          <w:sz w:val="18"/>
          <w:szCs w:val="18"/>
          <w:lang w:val="es-ES" w:eastAsia="es-SV"/>
        </w:rPr>
        <w:t xml:space="preserve">“[…] </w:t>
      </w:r>
      <w:r w:rsidRPr="00031B9E">
        <w:rPr>
          <w:rFonts w:ascii="Museo 300" w:eastAsia="Arial Unicode MS" w:hAnsi="Museo 300" w:cs="Times New Roman"/>
          <w:color w:val="000000"/>
          <w:sz w:val="18"/>
          <w:szCs w:val="18"/>
          <w:lang w:val="es-MX" w:eastAsia="es-ES"/>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rsidR="00031B9E" w:rsidRPr="00031B9E" w:rsidRDefault="00031B9E" w:rsidP="00031B9E">
      <w:pPr>
        <w:tabs>
          <w:tab w:val="left" w:pos="142"/>
        </w:tabs>
        <w:spacing w:after="0" w:line="0" w:lineRule="atLeast"/>
        <w:ind w:left="993" w:right="565"/>
        <w:jc w:val="both"/>
        <w:rPr>
          <w:rFonts w:ascii="Museo 300" w:eastAsia="Arial Unicode MS" w:hAnsi="Museo 300" w:cs="Times New Roman"/>
          <w:color w:val="000000"/>
          <w:sz w:val="18"/>
          <w:szCs w:val="18"/>
          <w:lang w:val="es-ES" w:eastAsia="es-ES"/>
        </w:rPr>
      </w:pPr>
    </w:p>
    <w:p w:rsidR="00031B9E" w:rsidRPr="00031B9E" w:rsidRDefault="00031B9E" w:rsidP="00031B9E">
      <w:pPr>
        <w:tabs>
          <w:tab w:val="left" w:pos="142"/>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Estas compensaciones podrán efectuarse entregando en efectivo la cantidad correspondiente, o con energía por un valor equivalente, en los documentos de cobro subsiguientes, cuyo número no podrá ser superior a tres. […]”</w:t>
      </w:r>
    </w:p>
    <w:p w:rsidR="00031B9E" w:rsidRPr="00031B9E" w:rsidRDefault="00031B9E" w:rsidP="00031B9E">
      <w:pPr>
        <w:tabs>
          <w:tab w:val="left" w:pos="993"/>
        </w:tabs>
        <w:spacing w:after="0" w:line="0" w:lineRule="atLeast"/>
        <w:ind w:left="567"/>
        <w:jc w:val="both"/>
        <w:rPr>
          <w:rFonts w:ascii="Museo Sans 500" w:eastAsia="Calibri" w:hAnsi="Museo Sans 500" w:cs="Times New Roman"/>
          <w:b/>
        </w:rPr>
      </w:pPr>
    </w:p>
    <w:p w:rsidR="00031B9E" w:rsidRPr="00031B9E" w:rsidRDefault="00031B9E" w:rsidP="00031B9E">
      <w:pPr>
        <w:tabs>
          <w:tab w:val="left" w:pos="993"/>
        </w:tabs>
        <w:spacing w:after="0" w:line="0" w:lineRule="atLeast"/>
        <w:ind w:left="567"/>
        <w:jc w:val="both"/>
        <w:rPr>
          <w:rFonts w:ascii="Museo Sans 500" w:eastAsia="Calibri" w:hAnsi="Museo Sans 500" w:cs="Times New Roman"/>
          <w:b/>
        </w:rPr>
      </w:pPr>
      <w:proofErr w:type="gramStart"/>
      <w:r w:rsidRPr="00031B9E">
        <w:rPr>
          <w:rFonts w:ascii="Museo Sans 500" w:eastAsia="Calibri" w:hAnsi="Museo Sans 500" w:cs="Times New Roman"/>
          <w:b/>
        </w:rPr>
        <w:t>1.B</w:t>
      </w:r>
      <w:proofErr w:type="gramEnd"/>
      <w:r w:rsidRPr="00031B9E">
        <w:rPr>
          <w:rFonts w:ascii="Museo Sans 500" w:eastAsia="Calibri" w:hAnsi="Museo Sans 500" w:cs="Times New Roman"/>
          <w:b/>
        </w:rPr>
        <w:t>. Términos y Condiciones al Consumidor Final del Pliego Tarifario aplicable a la         distribuidora</w:t>
      </w:r>
    </w:p>
    <w:p w:rsidR="00031B9E" w:rsidRPr="00031B9E" w:rsidRDefault="00031B9E" w:rsidP="00031B9E">
      <w:pPr>
        <w:spacing w:after="0" w:line="0" w:lineRule="atLeast"/>
        <w:ind w:left="567"/>
        <w:jc w:val="both"/>
        <w:rPr>
          <w:rFonts w:ascii="Museo Sans 300" w:eastAsia="Calibri" w:hAnsi="Museo Sans 300" w:cs="Times New Roman"/>
        </w:rPr>
      </w:pPr>
    </w:p>
    <w:p w:rsidR="00031B9E" w:rsidRPr="00031B9E" w:rsidRDefault="00031B9E" w:rsidP="00031B9E">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En el artículo 29</w:t>
      </w:r>
      <w:r w:rsidR="007D1833">
        <w:rPr>
          <w:rFonts w:ascii="Museo Sans 300" w:eastAsia="Calibri" w:hAnsi="Museo Sans 300" w:cs="Times New Roman"/>
        </w:rPr>
        <w:t xml:space="preserve"> se</w:t>
      </w:r>
      <w:r w:rsidRPr="00031B9E">
        <w:rPr>
          <w:rFonts w:ascii="Museo Sans 300" w:eastAsia="Calibri" w:hAnsi="Museo Sans 300" w:cs="Times New Roman"/>
        </w:rPr>
        <w:t xml:space="preserv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w:t>
      </w:r>
    </w:p>
    <w:p w:rsidR="00031B9E" w:rsidRPr="00031B9E" w:rsidRDefault="00031B9E" w:rsidP="00031B9E">
      <w:pPr>
        <w:spacing w:after="0" w:line="0" w:lineRule="atLeast"/>
        <w:ind w:left="567"/>
        <w:jc w:val="both"/>
        <w:rPr>
          <w:rFonts w:ascii="Museo Sans 300" w:eastAsia="Calibri" w:hAnsi="Museo Sans 300" w:cs="Times New Roman"/>
        </w:rPr>
      </w:pPr>
    </w:p>
    <w:p w:rsidR="00031B9E" w:rsidRPr="00031B9E" w:rsidRDefault="00031B9E" w:rsidP="00031B9E">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031B9E" w:rsidRPr="00031B9E" w:rsidRDefault="00031B9E" w:rsidP="00031B9E">
      <w:pPr>
        <w:spacing w:after="0" w:line="0" w:lineRule="atLeast"/>
        <w:ind w:left="567"/>
        <w:jc w:val="both"/>
        <w:rPr>
          <w:rFonts w:ascii="Museo Sans 300" w:eastAsia="Calibri" w:hAnsi="Museo Sans 300" w:cs="Times New Roman"/>
        </w:rPr>
      </w:pPr>
    </w:p>
    <w:p w:rsidR="00031B9E" w:rsidRPr="00031B9E" w:rsidRDefault="00031B9E" w:rsidP="00031B9E">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El Distribuidor no podrá acumular registros de consumos mensuales de energía eléctrica en un usuario final por no haber efectuado las lecturas correspondientes, a excepción de casos fortuitos o de fuerza mayor.</w:t>
      </w:r>
    </w:p>
    <w:p w:rsidR="00031B9E" w:rsidRPr="00031B9E" w:rsidRDefault="00031B9E" w:rsidP="00031B9E">
      <w:pPr>
        <w:spacing w:after="0" w:line="0" w:lineRule="atLeast"/>
        <w:ind w:left="567"/>
        <w:jc w:val="both"/>
        <w:rPr>
          <w:rFonts w:ascii="Museo Sans 300" w:eastAsia="Calibri" w:hAnsi="Museo Sans 300" w:cs="Times New Roman"/>
        </w:rPr>
      </w:pPr>
    </w:p>
    <w:p w:rsidR="00031B9E" w:rsidRPr="00031B9E" w:rsidRDefault="00031B9E" w:rsidP="00031B9E">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El Distribuidor deberá establecer en los documentos de cobro respectivos los montos a pagar por el suministro de energía eléctrica y otros importes, en dólares de los Estados Unidos de América. </w:t>
      </w:r>
    </w:p>
    <w:p w:rsidR="00031B9E" w:rsidRPr="00031B9E" w:rsidRDefault="00031B9E" w:rsidP="00031B9E">
      <w:pPr>
        <w:tabs>
          <w:tab w:val="left" w:pos="993"/>
        </w:tabs>
        <w:spacing w:after="0" w:line="0" w:lineRule="atLeast"/>
        <w:ind w:left="567"/>
        <w:jc w:val="both"/>
        <w:rPr>
          <w:rFonts w:ascii="Museo Sans 500" w:eastAsia="Calibri" w:hAnsi="Museo Sans 500" w:cs="Times New Roman"/>
          <w:b/>
        </w:rPr>
      </w:pPr>
    </w:p>
    <w:p w:rsidR="00031B9E" w:rsidRPr="00031B9E" w:rsidRDefault="00031B9E" w:rsidP="00031B9E">
      <w:pPr>
        <w:tabs>
          <w:tab w:val="left" w:pos="993"/>
        </w:tabs>
        <w:spacing w:after="0" w:line="0" w:lineRule="atLeast"/>
        <w:ind w:left="567"/>
        <w:jc w:val="both"/>
        <w:rPr>
          <w:rFonts w:ascii="Museo Sans 500" w:eastAsia="Calibri" w:hAnsi="Museo Sans 500" w:cs="Times New Roman"/>
          <w:b/>
        </w:rPr>
      </w:pPr>
      <w:proofErr w:type="gramStart"/>
      <w:r w:rsidRPr="00031B9E">
        <w:rPr>
          <w:rFonts w:ascii="Museo Sans 500" w:eastAsia="Calibri" w:hAnsi="Museo Sans 500" w:cs="Times New Roman"/>
          <w:b/>
        </w:rPr>
        <w:t>1.C</w:t>
      </w:r>
      <w:proofErr w:type="gramEnd"/>
      <w:r w:rsidRPr="00031B9E">
        <w:rPr>
          <w:rFonts w:ascii="Museo Sans 500" w:eastAsia="Calibri" w:hAnsi="Museo Sans 500" w:cs="Times New Roman"/>
          <w:b/>
        </w:rPr>
        <w:t>. Procedimiento para la Determinación de Causales de Casos Fortuitos y Fuerza Mayor</w:t>
      </w:r>
    </w:p>
    <w:p w:rsidR="00031B9E" w:rsidRPr="00031B9E" w:rsidRDefault="00031B9E" w:rsidP="00031B9E">
      <w:pPr>
        <w:spacing w:after="0" w:line="0" w:lineRule="atLeast"/>
        <w:ind w:left="1068"/>
        <w:jc w:val="both"/>
        <w:rPr>
          <w:rFonts w:ascii="Museo Sans 300" w:eastAsia="Times New Roman" w:hAnsi="Museo Sans 300" w:cs="Times New Roman"/>
          <w:color w:val="000000"/>
          <w:lang w:val="es-ES" w:eastAsia="es-ES"/>
        </w:rPr>
      </w:pPr>
    </w:p>
    <w:p w:rsidR="0024558F" w:rsidRPr="00031B9E" w:rsidRDefault="00031B9E" w:rsidP="0024558F">
      <w:pPr>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Dicho Procedimiento, emitido por la SIGET por medio del acuerdo N.° 223-E-2003, contiene los criterios de evaluación que deben seguirse para determinar si es procedente aprobar las solicitudes de excepción por presunta ocurrencia de casos fortuitos o de fuerza mayor, indicando lo siguiente:</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xml:space="preserve">“[…] 2.1 Criterios Generales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rsidR="007D1833" w:rsidRPr="00031B9E" w:rsidRDefault="007D1833"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031B9E">
        <w:rPr>
          <w:rFonts w:ascii="Museo 300" w:eastAsia="Arial Unicode MS" w:hAnsi="Museo 300" w:cs="Arial Unicode MS"/>
          <w:color w:val="000000"/>
          <w:sz w:val="18"/>
          <w:szCs w:val="18"/>
          <w:lang w:val="es-ES" w:eastAsia="es-SV"/>
        </w:rPr>
        <w:t>suministrante</w:t>
      </w:r>
      <w:proofErr w:type="spellEnd"/>
      <w:r w:rsidRPr="00031B9E">
        <w:rPr>
          <w:rFonts w:ascii="Museo 300" w:eastAsia="Arial Unicode MS" w:hAnsi="Museo 300" w:cs="Arial Unicode MS"/>
          <w:color w:val="000000"/>
          <w:sz w:val="18"/>
          <w:szCs w:val="18"/>
          <w:lang w:val="es-ES" w:eastAsia="es-SV"/>
        </w:rPr>
        <w:t xml:space="preserve"> de pagar, sin distinción del lugar o ubicación de la falla.</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3. Imprevisibilidad: El hecho debe ser imposible de prever, esta imposibilidad de prever debe ser apreciada objetivamente en relación a un deber normal de prever, cuestión que debe tomarse en cuenta en la realización de actividades en el sector eléctrico, ya que este rubro es ordinariamente riesgoso, porque es afectado por fallas en los sistemas. Es por ello, que el legislador consciente de la existencia de esas contingencias, contempló en el Artículo 63 inciso último de la Ley General de Electricidad que los distribuidores y transmisores deben incluir en sus respectivos contratos (distribución y transmisión) la compensación por fallas en sus sistemas respectivos. Asimismo en el Artículo 67 literal c) de la misma Ley, dentro del método para la determinación de los cargos por el uso de los sistemas de distribución, toma en cuenta los costos de operación y mantenimiento como los costos anuales de operación, considerando el valor esperado de las compensaciones por fallas correspondientes a una red de distribución dimensionada y operada eficientemente, es decir que en la misma Ley se evidencia la susceptibilidad de los sistemas eléctricos a dichas fallas y proveyó de mecanismos compensatorios que deben surtir efectos y respetarse.</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4. Hecho ajeno: consiste en que el hecho debe ser ajeno al presunto responsable, o exterior al vicio o riesgo de la cosa, el negocio de la electricidad es riesgoso y, por lo tanto, la falla en los sistemas es un hecho que no es extraordinario en este tipo de actividades, por tanto, no es un hecho ajeno al riesgo, sino que naturalmente acompaña a los sistemas eléctricos. Razón por la cual, la Distribuidora se encuentra en la obligación de prever ese tipo de incidentes para poder resistirlo de determinada manera o bien afrontar la responsabilidad contraída ante sus usuarios cuando ocurra la contingencia.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El numeral 2.2 Interrupciones por Causales de Caso Fortuito o Fuerza Mayor, expresa:</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Serán consideradas interrupciones originadas por causas de casos fortuito, aquellas causadas por hechos de la naturaleza, como las siguientes:</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xml:space="preserve">Terremotos, establecidos por la entidad competente </w:t>
      </w:r>
      <w:r w:rsidRPr="00031B9E">
        <w:rPr>
          <w:rFonts w:ascii="Museo 300" w:eastAsia="Arial Unicode MS" w:hAnsi="Museo 300" w:cs="Arial Unicode MS"/>
          <w:color w:val="000000"/>
          <w:sz w:val="16"/>
          <w:szCs w:val="16"/>
          <w:lang w:val="es-ES" w:eastAsia="es-SV"/>
        </w:rPr>
        <w:t>1.</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xml:space="preserve">Huracanes, establecidos por la entidad competente </w:t>
      </w:r>
      <w:r w:rsidRPr="00031B9E">
        <w:rPr>
          <w:rFonts w:ascii="Museo 300" w:eastAsia="Arial Unicode MS" w:hAnsi="Museo 300" w:cs="Arial Unicode MS"/>
          <w:color w:val="000000"/>
          <w:sz w:val="16"/>
          <w:szCs w:val="16"/>
          <w:lang w:val="es-ES" w:eastAsia="es-SV"/>
        </w:rPr>
        <w:t>2</w:t>
      </w:r>
      <w:r w:rsidRPr="00031B9E">
        <w:rPr>
          <w:rFonts w:ascii="Museo 300" w:eastAsia="Arial Unicode MS" w:hAnsi="Museo 300" w:cs="Arial Unicode MS"/>
          <w:color w:val="000000"/>
          <w:sz w:val="18"/>
          <w:szCs w:val="18"/>
          <w:lang w:val="es-ES" w:eastAsia="es-SV"/>
        </w:rPr>
        <w:t>.</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xml:space="preserve">Maremotos, establecidos por la entidad competente </w:t>
      </w:r>
      <w:r w:rsidRPr="00031B9E">
        <w:rPr>
          <w:rFonts w:ascii="Museo 300" w:eastAsia="Arial Unicode MS" w:hAnsi="Museo 300" w:cs="Arial Unicode MS"/>
          <w:color w:val="000000"/>
          <w:sz w:val="16"/>
          <w:szCs w:val="16"/>
          <w:lang w:val="es-ES" w:eastAsia="es-SV"/>
        </w:rPr>
        <w:t>3.</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Serán consideradas interrupciones originadas por causales de fuerza mayor las siguientes:</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Guerra.</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Poste embestido por vehículo automotor en su primera y única vez. Las demás veces que ocurra dicha situación en la misma ubicación, SIGET deberá establecer si existieron causas de fuerza mayor tomando en cuenta el carácter imprevisible en el factor riesgo asociado con la ubicación del poste.</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 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Se consideran constitutivos de casos fortuitos o de fuerza mayor todos aquellos acontecimientos que compartan similitud con los enunciados y que se acoplen a los criterios generales y legales expuestos en este procedimiento.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8"/>
          <w:szCs w:val="18"/>
          <w:lang w:val="es-ES" w:eastAsia="es-SV"/>
        </w:rPr>
        <w:t>________</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6"/>
          <w:szCs w:val="16"/>
          <w:lang w:val="es-ES" w:eastAsia="es-SV"/>
        </w:rPr>
        <w:t>1</w:t>
      </w:r>
      <w:r w:rsidRPr="00031B9E">
        <w:rPr>
          <w:rFonts w:ascii="Museo 300" w:eastAsia="Arial Unicode MS" w:hAnsi="Museo 300" w:cs="Arial Unicode MS"/>
          <w:color w:val="000000"/>
          <w:sz w:val="18"/>
          <w:szCs w:val="18"/>
          <w:lang w:val="es-ES" w:eastAsia="es-SV"/>
        </w:rPr>
        <w:t xml:space="preserve"> Servicio Nacional de Estudios Territoriales, SNET</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6"/>
          <w:szCs w:val="16"/>
          <w:lang w:val="es-ES" w:eastAsia="es-SV"/>
        </w:rPr>
        <w:t>2</w:t>
      </w:r>
      <w:r w:rsidRPr="00031B9E">
        <w:rPr>
          <w:rFonts w:ascii="Museo 300" w:eastAsia="Arial Unicode MS" w:hAnsi="Museo 300" w:cs="Arial Unicode MS"/>
          <w:color w:val="000000"/>
          <w:sz w:val="18"/>
          <w:szCs w:val="18"/>
          <w:lang w:val="es-ES" w:eastAsia="es-SV"/>
        </w:rPr>
        <w:t xml:space="preserve"> Servicio Nacional de Estudios Territoriales, SNET</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SV"/>
        </w:rPr>
      </w:pPr>
      <w:r w:rsidRPr="00031B9E">
        <w:rPr>
          <w:rFonts w:ascii="Museo 300" w:eastAsia="Arial Unicode MS" w:hAnsi="Museo 300" w:cs="Arial Unicode MS"/>
          <w:color w:val="000000"/>
          <w:sz w:val="16"/>
          <w:szCs w:val="16"/>
          <w:lang w:val="es-ES" w:eastAsia="es-SV"/>
        </w:rPr>
        <w:t>3</w:t>
      </w:r>
      <w:r w:rsidRPr="00031B9E">
        <w:rPr>
          <w:rFonts w:ascii="Museo 300" w:eastAsia="Arial Unicode MS" w:hAnsi="Museo 300" w:cs="Arial Unicode MS"/>
          <w:color w:val="000000"/>
          <w:sz w:val="18"/>
          <w:szCs w:val="18"/>
          <w:lang w:val="es-ES" w:eastAsia="es-SV"/>
        </w:rPr>
        <w:t xml:space="preserve"> Servicio Nacional de Estudios Territoriales, SNET […]”</w:t>
      </w:r>
    </w:p>
    <w:p w:rsidR="00031B9E" w:rsidRPr="00031B9E" w:rsidRDefault="00031B9E" w:rsidP="00427568">
      <w:pPr>
        <w:spacing w:after="0" w:line="0" w:lineRule="atLeast"/>
        <w:jc w:val="both"/>
        <w:rPr>
          <w:rFonts w:ascii="Museo Sans 300" w:eastAsia="Calibri" w:hAnsi="Museo Sans 300" w:cs="Times New Roman"/>
          <w:i/>
          <w:lang w:val="es-MX"/>
        </w:rPr>
      </w:pPr>
    </w:p>
    <w:p w:rsidR="00031B9E" w:rsidRDefault="00031B9E" w:rsidP="00427568">
      <w:pPr>
        <w:spacing w:after="0" w:line="0" w:lineRule="atLeast"/>
        <w:ind w:left="567"/>
        <w:jc w:val="both"/>
        <w:rPr>
          <w:rFonts w:ascii="Museo Sans 300" w:eastAsia="Calibri" w:hAnsi="Museo Sans 300" w:cs="Times New Roman"/>
          <w:i/>
        </w:rPr>
      </w:pPr>
      <w:r w:rsidRPr="00031B9E">
        <w:rPr>
          <w:rFonts w:ascii="Museo Sans 300" w:eastAsia="Calibri" w:hAnsi="Museo Sans 300" w:cs="Times New Roman"/>
        </w:rPr>
        <w:t>Asimismo, el numeral 2.3 Justificaciones por Causales de Caso Fortuito o de Fuerza Mayor en la Gestión Comercial,</w:t>
      </w:r>
      <w:r w:rsidRPr="00031B9E">
        <w:rPr>
          <w:rFonts w:ascii="Museo Sans 300" w:eastAsia="Calibri" w:hAnsi="Museo Sans 300" w:cs="Times New Roman"/>
          <w:i/>
        </w:rPr>
        <w:t xml:space="preserve"> </w:t>
      </w:r>
      <w:r w:rsidRPr="00031B9E">
        <w:rPr>
          <w:rFonts w:ascii="Museo Sans 300" w:eastAsia="Calibri" w:hAnsi="Museo Sans 300" w:cs="Times New Roman"/>
        </w:rPr>
        <w:t xml:space="preserve">estipula: </w:t>
      </w:r>
      <w:r w:rsidRPr="00031B9E">
        <w:rPr>
          <w:rFonts w:ascii="Museo Sans 300" w:eastAsia="Calibri" w:hAnsi="Museo Sans 300" w:cs="Times New Roman"/>
          <w:i/>
        </w:rPr>
        <w:t>“Serán consideradas justificaciones originadas por causa de casos fortuito o de fuerza mayor, las establecidas en la sección 2.2.”</w:t>
      </w:r>
    </w:p>
    <w:p w:rsidR="007D1833" w:rsidRPr="00031B9E" w:rsidRDefault="007D1833" w:rsidP="00427568">
      <w:pPr>
        <w:spacing w:after="0" w:line="0" w:lineRule="atLeast"/>
        <w:ind w:left="567"/>
        <w:jc w:val="both"/>
        <w:rPr>
          <w:rFonts w:ascii="Museo Sans 300" w:eastAsia="Calibri" w:hAnsi="Museo Sans 300" w:cs="Times New Roman"/>
          <w:i/>
        </w:rPr>
      </w:pPr>
    </w:p>
    <w:p w:rsidR="00031B9E" w:rsidRDefault="00031B9E" w:rsidP="00427568">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En el numeral 2.5., denominado Solicitud de Excepción de Casos Fortuitos o Fuerza Mayor, se especificó que en caso de presentarse una interrupción del servicio de energía eléctrica o un incumplimiento a la gestión comercial originad</w:t>
      </w:r>
      <w:r w:rsidR="007D1833">
        <w:rPr>
          <w:rFonts w:ascii="Museo Sans 300" w:eastAsia="Calibri" w:hAnsi="Museo Sans 300" w:cs="Times New Roman"/>
        </w:rPr>
        <w:t>a</w:t>
      </w:r>
      <w:r w:rsidRPr="00031B9E">
        <w:rPr>
          <w:rFonts w:ascii="Museo Sans 300" w:eastAsia="Calibri" w:hAnsi="Museo Sans 300" w:cs="Times New Roman"/>
        </w:rPr>
        <w:t xml:space="preserve"> por un evento constitutivo de caso fortuito o fuerza mayor, la distribuidora deberá presentar a la SIGET la solicitud de excepción por lo mismo. </w:t>
      </w:r>
    </w:p>
    <w:p w:rsidR="007D1833" w:rsidRPr="00031B9E" w:rsidRDefault="007D1833" w:rsidP="00427568">
      <w:pPr>
        <w:spacing w:after="0" w:line="0" w:lineRule="atLeast"/>
        <w:ind w:left="567"/>
        <w:jc w:val="both"/>
        <w:rPr>
          <w:rFonts w:ascii="Museo Sans 300" w:eastAsia="Calibri" w:hAnsi="Museo Sans 300" w:cs="Times New Roman"/>
        </w:rPr>
      </w:pPr>
    </w:p>
    <w:p w:rsidR="00031B9E" w:rsidRPr="00031B9E" w:rsidRDefault="00031B9E">
      <w:pPr>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El último día hábil de cada mes la distribuidora deberá presentar a la SIGET una solicitud de excepción de Causales de Caso Fortuito o Fuerza mayor por cada caso de interrupción del servicio de energía eléctrica o un incumplimiento a la gestión comercial, que consideren que haya sido causado por Caso Fortuito o Fuerza Mayor. </w:t>
      </w:r>
    </w:p>
    <w:p w:rsidR="00031B9E" w:rsidRPr="00031B9E" w:rsidRDefault="00031B9E" w:rsidP="00031B9E">
      <w:pPr>
        <w:spacing w:after="0" w:line="0" w:lineRule="atLeast"/>
        <w:ind w:left="567"/>
        <w:jc w:val="both"/>
        <w:rPr>
          <w:rFonts w:ascii="Museo Sans 300" w:eastAsia="Calibri" w:hAnsi="Museo Sans 300" w:cs="Times New Roman"/>
        </w:rPr>
      </w:pPr>
    </w:p>
    <w:p w:rsidR="00031B9E" w:rsidRPr="00031B9E" w:rsidRDefault="00031B9E" w:rsidP="00031B9E">
      <w:pPr>
        <w:tabs>
          <w:tab w:val="left" w:pos="993"/>
        </w:tabs>
        <w:spacing w:after="0" w:line="0" w:lineRule="atLeast"/>
        <w:ind w:left="567"/>
        <w:jc w:val="both"/>
        <w:rPr>
          <w:rFonts w:ascii="Museo Sans 300" w:eastAsia="Calibri" w:hAnsi="Museo Sans 300" w:cs="Times New Roman"/>
          <w:b/>
        </w:rPr>
      </w:pPr>
      <w:proofErr w:type="gramStart"/>
      <w:r w:rsidRPr="00031B9E">
        <w:rPr>
          <w:rFonts w:ascii="Museo Sans 500" w:eastAsia="Calibri" w:hAnsi="Museo Sans 500" w:cs="Times New Roman"/>
          <w:b/>
        </w:rPr>
        <w:t>1.D</w:t>
      </w:r>
      <w:proofErr w:type="gramEnd"/>
      <w:r w:rsidRPr="00031B9E">
        <w:rPr>
          <w:rFonts w:ascii="Museo Sans 500" w:eastAsia="Calibri" w:hAnsi="Museo Sans 500" w:cs="Times New Roman"/>
          <w:b/>
        </w:rPr>
        <w:t>. Normas de Calidad del Servicio de los Sistemas de Distribución</w:t>
      </w:r>
    </w:p>
    <w:p w:rsidR="00031B9E" w:rsidRPr="00031B9E" w:rsidRDefault="00031B9E" w:rsidP="00031B9E">
      <w:pPr>
        <w:tabs>
          <w:tab w:val="left" w:pos="993"/>
        </w:tabs>
        <w:spacing w:after="0" w:line="0" w:lineRule="atLeast"/>
        <w:ind w:left="567"/>
        <w:jc w:val="both"/>
        <w:rPr>
          <w:rFonts w:ascii="Museo Sans 300" w:eastAsia="Calibri" w:hAnsi="Museo Sans 300" w:cs="Times New Roman"/>
        </w:rPr>
      </w:pPr>
    </w:p>
    <w:p w:rsidR="00031B9E" w:rsidRPr="00031B9E" w:rsidRDefault="00031B9E" w:rsidP="00031B9E">
      <w:pPr>
        <w:tabs>
          <w:tab w:val="left" w:pos="993"/>
        </w:tabs>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El artículo 8 de las Normas de Calidad del Servicio de los Sistemas de Distribución, determina que la distribuidora dentro de su zona de servicio, está obligad</w:t>
      </w:r>
      <w:r w:rsidR="007D1833">
        <w:rPr>
          <w:rFonts w:ascii="Museo Sans 300" w:eastAsia="Calibri" w:hAnsi="Museo Sans 300" w:cs="Times New Roman"/>
        </w:rPr>
        <w:t>a</w:t>
      </w:r>
      <w:r w:rsidRPr="00031B9E">
        <w:rPr>
          <w:rFonts w:ascii="Museo Sans 300" w:eastAsia="Calibri" w:hAnsi="Museo Sans 300" w:cs="Times New Roman"/>
        </w:rPr>
        <w:t>, entre otras cosas, a:</w:t>
      </w:r>
    </w:p>
    <w:p w:rsidR="00031B9E" w:rsidRPr="00031B9E" w:rsidRDefault="00031B9E" w:rsidP="00031B9E">
      <w:pPr>
        <w:numPr>
          <w:ilvl w:val="0"/>
          <w:numId w:val="12"/>
        </w:numPr>
        <w:tabs>
          <w:tab w:val="left" w:pos="993"/>
        </w:tabs>
        <w:spacing w:after="200" w:line="0" w:lineRule="atLeast"/>
        <w:ind w:left="993"/>
        <w:jc w:val="both"/>
        <w:rPr>
          <w:rFonts w:ascii="Museo Sans 300" w:eastAsia="Calibri" w:hAnsi="Museo Sans 300" w:cs="Times New Roman"/>
        </w:rPr>
      </w:pPr>
      <w:r w:rsidRPr="00031B9E">
        <w:rPr>
          <w:rFonts w:ascii="Museo Sans 300" w:eastAsia="Calibri" w:hAnsi="Museo Sans 300" w:cs="Times New Roman"/>
        </w:rPr>
        <w:t>Prestar a sus usuarios, un servicio de energía eléctrica que cumpla con los índices o indicadores de calidad exigidos en estas Normas;</w:t>
      </w:r>
    </w:p>
    <w:p w:rsidR="00031B9E" w:rsidRPr="00031B9E" w:rsidRDefault="00031B9E" w:rsidP="00031B9E">
      <w:pPr>
        <w:numPr>
          <w:ilvl w:val="0"/>
          <w:numId w:val="12"/>
        </w:numPr>
        <w:tabs>
          <w:tab w:val="left" w:pos="993"/>
        </w:tabs>
        <w:spacing w:after="200" w:line="0" w:lineRule="atLeast"/>
        <w:ind w:left="993"/>
        <w:jc w:val="both"/>
        <w:rPr>
          <w:rFonts w:ascii="Museo Sans 300" w:eastAsia="Calibri" w:hAnsi="Museo Sans 300" w:cs="Times New Roman"/>
        </w:rPr>
      </w:pPr>
      <w:r w:rsidRPr="00031B9E">
        <w:rPr>
          <w:rFonts w:ascii="Museo Sans 300" w:eastAsia="Calibri" w:hAnsi="Museo Sans 300" w:cs="Times New Roman"/>
        </w:rPr>
        <w:t>Cumplir en lo que le corresponde con lo consignado en estas Normas y procedimientos aprobados por SIGET.</w:t>
      </w:r>
    </w:p>
    <w:p w:rsidR="00031B9E" w:rsidRPr="00031B9E" w:rsidRDefault="00031B9E" w:rsidP="00031B9E">
      <w:pPr>
        <w:tabs>
          <w:tab w:val="left" w:pos="993"/>
        </w:tabs>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Dichas Normas tienen</w:t>
      </w:r>
      <w:r w:rsidRPr="00031B9E">
        <w:rPr>
          <w:rFonts w:ascii="Museo Sans 300" w:eastAsia="Calibri" w:hAnsi="Museo Sans 300" w:cs="Times New Roman"/>
          <w:b/>
        </w:rPr>
        <w:t xml:space="preserve"> </w:t>
      </w:r>
      <w:r w:rsidRPr="00031B9E">
        <w:rPr>
          <w:rFonts w:ascii="Museo Sans 300" w:eastAsia="Calibri" w:hAnsi="Museo Sans 300" w:cs="Times New Roman"/>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w:t>
      </w:r>
    </w:p>
    <w:p w:rsidR="00031B9E" w:rsidRPr="00031B9E" w:rsidRDefault="00031B9E" w:rsidP="00427568">
      <w:pPr>
        <w:numPr>
          <w:ilvl w:val="0"/>
          <w:numId w:val="2"/>
        </w:numPr>
        <w:tabs>
          <w:tab w:val="left" w:pos="1134"/>
        </w:tabs>
        <w:spacing w:after="0" w:line="0" w:lineRule="atLeast"/>
        <w:ind w:left="1134"/>
        <w:jc w:val="both"/>
        <w:rPr>
          <w:rFonts w:ascii="Museo Sans 300" w:eastAsia="Calibri" w:hAnsi="Museo Sans 300" w:cs="Times New Roman"/>
        </w:rPr>
      </w:pPr>
      <w:r w:rsidRPr="00031B9E">
        <w:rPr>
          <w:rFonts w:ascii="Museo Sans 300" w:eastAsia="Calibri" w:hAnsi="Museo Sans 300" w:cs="Times New Roman"/>
        </w:rPr>
        <w:t>La calidad del suministro o servicio técnico prestado, que está relacionado principalmente con las interrupciones del servicio.</w:t>
      </w:r>
    </w:p>
    <w:p w:rsidR="00031B9E" w:rsidRPr="00031B9E" w:rsidRDefault="00031B9E" w:rsidP="00427568">
      <w:pPr>
        <w:tabs>
          <w:tab w:val="left" w:pos="1134"/>
        </w:tabs>
        <w:spacing w:after="0" w:line="0" w:lineRule="atLeast"/>
        <w:ind w:left="1134"/>
        <w:jc w:val="both"/>
        <w:rPr>
          <w:rFonts w:ascii="Museo Sans 300" w:eastAsia="Calibri" w:hAnsi="Museo Sans 300" w:cs="Times New Roman"/>
        </w:rPr>
      </w:pPr>
    </w:p>
    <w:p w:rsidR="00031B9E" w:rsidRDefault="00031B9E" w:rsidP="00427568">
      <w:pPr>
        <w:numPr>
          <w:ilvl w:val="0"/>
          <w:numId w:val="2"/>
        </w:numPr>
        <w:tabs>
          <w:tab w:val="left" w:pos="1134"/>
        </w:tabs>
        <w:spacing w:after="0" w:line="0" w:lineRule="atLeast"/>
        <w:ind w:left="1134"/>
        <w:jc w:val="both"/>
        <w:rPr>
          <w:rFonts w:ascii="Museo Sans 300" w:eastAsia="Calibri" w:hAnsi="Museo Sans 300" w:cs="Times New Roman"/>
        </w:rPr>
      </w:pPr>
      <w:r w:rsidRPr="00031B9E">
        <w:rPr>
          <w:rFonts w:ascii="Museo Sans 300" w:eastAsia="Calibri" w:hAnsi="Museo Sans 300" w:cs="Times New Roman"/>
        </w:rPr>
        <w:t>La calidad del producto técnico suministrado, que implica los elementos siguientes:</w:t>
      </w:r>
    </w:p>
    <w:p w:rsidR="00427568" w:rsidRDefault="00427568" w:rsidP="00427568">
      <w:pPr>
        <w:pStyle w:val="Prrafodelista"/>
        <w:rPr>
          <w:rFonts w:ascii="Museo Sans 300" w:eastAsia="Calibri" w:hAnsi="Museo Sans 300" w:cs="Times New Roman"/>
        </w:rPr>
      </w:pPr>
    </w:p>
    <w:p w:rsidR="00427568" w:rsidRPr="00031B9E" w:rsidRDefault="00427568" w:rsidP="00427568">
      <w:pPr>
        <w:tabs>
          <w:tab w:val="left" w:pos="1134"/>
        </w:tabs>
        <w:spacing w:after="0" w:line="0" w:lineRule="atLeast"/>
        <w:ind w:left="1134"/>
        <w:jc w:val="both"/>
        <w:rPr>
          <w:rFonts w:ascii="Museo Sans 300" w:eastAsia="Calibri" w:hAnsi="Museo Sans 300" w:cs="Times New Roman"/>
        </w:rPr>
      </w:pPr>
    </w:p>
    <w:p w:rsidR="00031B9E" w:rsidRPr="00031B9E" w:rsidRDefault="00031B9E" w:rsidP="00031B9E">
      <w:pPr>
        <w:spacing w:after="0" w:line="240" w:lineRule="auto"/>
        <w:ind w:left="708"/>
        <w:rPr>
          <w:rFonts w:ascii="Museo Sans 300" w:eastAsia="Times New Roman" w:hAnsi="Museo Sans 300" w:cs="Times New Roman"/>
          <w:sz w:val="24"/>
          <w:szCs w:val="24"/>
          <w:lang w:val="es-ES" w:eastAsia="es-ES"/>
        </w:rPr>
      </w:pPr>
    </w:p>
    <w:p w:rsidR="00031B9E" w:rsidRPr="00031B9E" w:rsidRDefault="00031B9E" w:rsidP="00031B9E">
      <w:pPr>
        <w:numPr>
          <w:ilvl w:val="0"/>
          <w:numId w:val="3"/>
        </w:numPr>
        <w:spacing w:after="0" w:line="0" w:lineRule="atLeast"/>
        <w:ind w:firstLine="1058"/>
        <w:jc w:val="both"/>
        <w:rPr>
          <w:rFonts w:ascii="Museo Sans 300" w:eastAsia="Calibri" w:hAnsi="Museo Sans 300" w:cs="Times New Roman"/>
        </w:rPr>
      </w:pPr>
      <w:r w:rsidRPr="00031B9E">
        <w:rPr>
          <w:rFonts w:ascii="Museo Sans 300" w:eastAsia="Calibri" w:hAnsi="Museo Sans 300" w:cs="Times New Roman"/>
        </w:rPr>
        <w:t>Niveles de Tensión.</w:t>
      </w:r>
    </w:p>
    <w:p w:rsidR="00031B9E" w:rsidRPr="00031B9E" w:rsidRDefault="00031B9E" w:rsidP="00031B9E">
      <w:pPr>
        <w:numPr>
          <w:ilvl w:val="0"/>
          <w:numId w:val="3"/>
        </w:numPr>
        <w:spacing w:after="0" w:line="0" w:lineRule="atLeast"/>
        <w:ind w:firstLine="1058"/>
        <w:jc w:val="both"/>
        <w:rPr>
          <w:rFonts w:ascii="Museo Sans 300" w:eastAsia="Calibri" w:hAnsi="Museo Sans 300" w:cs="Times New Roman"/>
        </w:rPr>
      </w:pPr>
      <w:r w:rsidRPr="00031B9E">
        <w:rPr>
          <w:rFonts w:ascii="Museo Sans 300" w:eastAsia="Calibri" w:hAnsi="Museo Sans 300" w:cs="Times New Roman"/>
        </w:rPr>
        <w:t>Perturbaciones en la onda de voltaje (</w:t>
      </w:r>
      <w:proofErr w:type="spellStart"/>
      <w:r w:rsidRPr="00031B9E">
        <w:rPr>
          <w:rFonts w:ascii="Museo Sans 300" w:eastAsia="Calibri" w:hAnsi="Museo Sans 300" w:cs="Times New Roman"/>
        </w:rPr>
        <w:t>Flicker</w:t>
      </w:r>
      <w:proofErr w:type="spellEnd"/>
      <w:r w:rsidRPr="00031B9E">
        <w:rPr>
          <w:rFonts w:ascii="Museo Sans 300" w:eastAsia="Calibri" w:hAnsi="Museo Sans 300" w:cs="Times New Roman"/>
        </w:rPr>
        <w:t xml:space="preserve"> y tensiones armónicas).</w:t>
      </w:r>
    </w:p>
    <w:p w:rsidR="00031B9E" w:rsidRPr="00031B9E" w:rsidRDefault="00031B9E" w:rsidP="00031B9E">
      <w:pPr>
        <w:numPr>
          <w:ilvl w:val="0"/>
          <w:numId w:val="3"/>
        </w:numPr>
        <w:tabs>
          <w:tab w:val="left" w:pos="1134"/>
        </w:tabs>
        <w:spacing w:after="0" w:line="0" w:lineRule="atLeast"/>
        <w:ind w:firstLine="1058"/>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Incidencia del usuario en la calidad.</w:t>
      </w:r>
    </w:p>
    <w:p w:rsidR="00031B9E" w:rsidRPr="00031B9E" w:rsidRDefault="00031B9E" w:rsidP="00031B9E">
      <w:pPr>
        <w:spacing w:after="0" w:line="0" w:lineRule="atLeast"/>
        <w:ind w:left="1134"/>
        <w:jc w:val="both"/>
        <w:rPr>
          <w:rFonts w:ascii="Museo Sans 300" w:eastAsia="Calibri" w:hAnsi="Museo Sans 300" w:cs="Times New Roman"/>
        </w:rPr>
      </w:pPr>
    </w:p>
    <w:p w:rsidR="00031B9E" w:rsidRPr="00031B9E" w:rsidRDefault="00031B9E" w:rsidP="00427568">
      <w:pPr>
        <w:numPr>
          <w:ilvl w:val="0"/>
          <w:numId w:val="2"/>
        </w:numPr>
        <w:tabs>
          <w:tab w:val="left" w:pos="1134"/>
        </w:tabs>
        <w:spacing w:after="0" w:line="0" w:lineRule="atLeast"/>
        <w:ind w:left="1134"/>
        <w:jc w:val="both"/>
        <w:rPr>
          <w:rFonts w:ascii="Museo Sans 300" w:eastAsia="Calibri" w:hAnsi="Museo Sans 300" w:cs="Times New Roman"/>
        </w:rPr>
      </w:pPr>
      <w:r w:rsidRPr="00031B9E">
        <w:rPr>
          <w:rFonts w:ascii="Museo Sans 300" w:eastAsia="Calibri" w:hAnsi="Museo Sans 300" w:cs="Times New Roman"/>
        </w:rPr>
        <w:t>La calidad del servicio comercial que está relacionado con los elementos siguientes:</w:t>
      </w:r>
    </w:p>
    <w:p w:rsidR="00031B9E" w:rsidRPr="00031B9E" w:rsidRDefault="00031B9E" w:rsidP="00031B9E">
      <w:pPr>
        <w:spacing w:after="0" w:line="0" w:lineRule="atLeast"/>
        <w:ind w:left="1134"/>
        <w:jc w:val="both"/>
        <w:rPr>
          <w:rFonts w:ascii="Museo Sans 300" w:eastAsia="Calibri" w:hAnsi="Museo Sans 300" w:cs="Times New Roman"/>
        </w:rPr>
      </w:pPr>
    </w:p>
    <w:p w:rsidR="00031B9E" w:rsidRPr="00031B9E" w:rsidRDefault="00031B9E" w:rsidP="00031B9E">
      <w:pPr>
        <w:numPr>
          <w:ilvl w:val="0"/>
          <w:numId w:val="4"/>
        </w:numPr>
        <w:spacing w:after="0" w:line="0" w:lineRule="atLeast"/>
        <w:ind w:hanging="382"/>
        <w:jc w:val="both"/>
        <w:rPr>
          <w:rFonts w:ascii="Museo Sans 300" w:eastAsia="Calibri" w:hAnsi="Museo Sans 300" w:cs="Times New Roman"/>
        </w:rPr>
      </w:pPr>
      <w:r w:rsidRPr="00031B9E">
        <w:rPr>
          <w:rFonts w:ascii="Museo Sans 300" w:eastAsia="Calibri" w:hAnsi="Museo Sans 300" w:cs="Times New Roman"/>
        </w:rPr>
        <w:t>La atención al usuario.</w:t>
      </w:r>
    </w:p>
    <w:p w:rsidR="00031B9E" w:rsidRPr="00031B9E" w:rsidRDefault="00031B9E" w:rsidP="00031B9E">
      <w:pPr>
        <w:numPr>
          <w:ilvl w:val="0"/>
          <w:numId w:val="4"/>
        </w:numPr>
        <w:spacing w:after="0" w:line="0" w:lineRule="atLeast"/>
        <w:ind w:hanging="382"/>
        <w:jc w:val="both"/>
        <w:rPr>
          <w:rFonts w:ascii="Museo Sans 300" w:eastAsia="Calibri" w:hAnsi="Museo Sans 300" w:cs="Times New Roman"/>
        </w:rPr>
      </w:pPr>
      <w:r w:rsidRPr="00031B9E">
        <w:rPr>
          <w:rFonts w:ascii="Museo Sans 300" w:eastAsia="Calibri" w:hAnsi="Museo Sans 300" w:cs="Times New Roman"/>
        </w:rPr>
        <w:t>Los medios de atención al usuario.</w:t>
      </w:r>
    </w:p>
    <w:p w:rsidR="00031B9E" w:rsidRDefault="00031B9E" w:rsidP="004B4E03">
      <w:pPr>
        <w:numPr>
          <w:ilvl w:val="0"/>
          <w:numId w:val="4"/>
        </w:numPr>
        <w:tabs>
          <w:tab w:val="left" w:pos="993"/>
          <w:tab w:val="left" w:pos="1134"/>
          <w:tab w:val="left" w:pos="1843"/>
        </w:tabs>
        <w:spacing w:after="0" w:line="0" w:lineRule="atLeast"/>
        <w:ind w:left="993" w:firstLine="425"/>
        <w:jc w:val="both"/>
        <w:rPr>
          <w:rFonts w:ascii="Museo Sans 300" w:eastAsia="Calibri" w:hAnsi="Museo Sans 300" w:cs="Times New Roman"/>
        </w:rPr>
      </w:pPr>
      <w:r w:rsidRPr="00031B9E">
        <w:rPr>
          <w:rFonts w:ascii="Museo Sans 300" w:eastAsia="Calibri" w:hAnsi="Museo Sans 300" w:cs="Times New Roman"/>
        </w:rPr>
        <w:t>La precisión de los elementos de medición.</w:t>
      </w:r>
    </w:p>
    <w:p w:rsidR="004B4E03" w:rsidRPr="004B4E03" w:rsidRDefault="004B4E03" w:rsidP="004B4E03">
      <w:pPr>
        <w:tabs>
          <w:tab w:val="left" w:pos="993"/>
          <w:tab w:val="left" w:pos="1134"/>
          <w:tab w:val="left" w:pos="1843"/>
        </w:tabs>
        <w:spacing w:after="0" w:line="0" w:lineRule="atLeast"/>
        <w:ind w:left="1418"/>
        <w:jc w:val="both"/>
        <w:rPr>
          <w:rFonts w:ascii="Museo Sans 300" w:eastAsia="Calibri" w:hAnsi="Museo Sans 300" w:cs="Times New Roman"/>
        </w:rPr>
      </w:pPr>
    </w:p>
    <w:p w:rsidR="00031B9E" w:rsidRPr="00031B9E" w:rsidRDefault="00031B9E" w:rsidP="00031B9E">
      <w:pPr>
        <w:tabs>
          <w:tab w:val="left" w:pos="284"/>
        </w:tabs>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Asimismo, el Capítulo III. Niveles de Calidad Comercial Garantizados a Cada Cliente, establece en el artículo 73 los índices de Calidad del Servicio Comercial Garantizados a cada usuario, definiendo sobre las estimaciones en la facturación lo siguiente:</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 xml:space="preserve">“[…] c) Estimaciones en la Facturación (CFFE) 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determinan la cantidad de facturaciones no reales que el distribuidor debe emitir por esas causales a un mismo usuario final, durante un año calendario.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4049"/>
      </w:tblGrid>
      <w:tr w:rsidR="00031B9E" w:rsidRPr="00031B9E" w:rsidTr="00F92F02">
        <w:tc>
          <w:tcPr>
            <w:tcW w:w="388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Etapas de Implementación Régimen</w:t>
            </w:r>
          </w:p>
        </w:tc>
        <w:tc>
          <w:tcPr>
            <w:tcW w:w="404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Etapas de Implementación Régimen</w:t>
            </w:r>
          </w:p>
        </w:tc>
      </w:tr>
      <w:tr w:rsidR="00031B9E" w:rsidRPr="00031B9E" w:rsidTr="00F92F02">
        <w:tc>
          <w:tcPr>
            <w:tcW w:w="388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AREA GEOGRAFICA LÍMITE ADMISIBLE</w:t>
            </w:r>
          </w:p>
        </w:tc>
        <w:tc>
          <w:tcPr>
            <w:tcW w:w="404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AREA GEOGRAFICA LÍMITE ADMISIBLE</w:t>
            </w:r>
          </w:p>
        </w:tc>
      </w:tr>
      <w:tr w:rsidR="00031B9E" w:rsidRPr="00031B9E" w:rsidTr="00F92F02">
        <w:tc>
          <w:tcPr>
            <w:tcW w:w="388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Alta 2 facturas</w:t>
            </w:r>
          </w:p>
        </w:tc>
        <w:tc>
          <w:tcPr>
            <w:tcW w:w="404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Alta 2 facturas</w:t>
            </w:r>
          </w:p>
        </w:tc>
      </w:tr>
      <w:tr w:rsidR="00031B9E" w:rsidRPr="00031B9E" w:rsidTr="00F92F02">
        <w:tc>
          <w:tcPr>
            <w:tcW w:w="388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Media 3 facturas</w:t>
            </w:r>
          </w:p>
        </w:tc>
        <w:tc>
          <w:tcPr>
            <w:tcW w:w="404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Media 3 facturas</w:t>
            </w:r>
          </w:p>
        </w:tc>
      </w:tr>
      <w:tr w:rsidR="00031B9E" w:rsidRPr="00031B9E" w:rsidTr="00F92F02">
        <w:tc>
          <w:tcPr>
            <w:tcW w:w="388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Baja 3 facturas</w:t>
            </w:r>
          </w:p>
        </w:tc>
        <w:tc>
          <w:tcPr>
            <w:tcW w:w="4049" w:type="dxa"/>
            <w:shd w:val="clear" w:color="auto" w:fill="auto"/>
          </w:tcPr>
          <w:p w:rsidR="00031B9E" w:rsidRPr="00031B9E" w:rsidRDefault="00031B9E" w:rsidP="00031B9E">
            <w:pPr>
              <w:spacing w:after="200" w:line="0" w:lineRule="atLeast"/>
              <w:rPr>
                <w:rFonts w:ascii="Museo 300" w:eastAsia="Calibri" w:hAnsi="Museo 300" w:cs="Times New Roman"/>
                <w:sz w:val="18"/>
                <w:szCs w:val="18"/>
              </w:rPr>
            </w:pPr>
            <w:r w:rsidRPr="00031B9E">
              <w:rPr>
                <w:rFonts w:ascii="Museo 300" w:eastAsia="Calibri" w:hAnsi="Museo 300" w:cs="Times New Roman"/>
                <w:sz w:val="18"/>
                <w:szCs w:val="18"/>
              </w:rPr>
              <w:t>Densidad Demográfica Baja 3 facturas</w:t>
            </w:r>
          </w:p>
        </w:tc>
      </w:tr>
    </w:tbl>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ES"/>
        </w:rPr>
      </w:pPr>
      <w:r w:rsidRPr="00031B9E">
        <w:rPr>
          <w:rFonts w:ascii="Museo 300" w:eastAsia="Arial Unicode MS" w:hAnsi="Museo 300" w:cs="Arial Unicode MS"/>
          <w:color w:val="000000"/>
          <w:sz w:val="18"/>
          <w:szCs w:val="18"/>
          <w:lang w:val="es-ES" w:eastAsia="es-ES"/>
        </w:rPr>
        <w:t>[…]”</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Arial Unicode MS"/>
          <w:color w:val="000000"/>
          <w:sz w:val="18"/>
          <w:szCs w:val="18"/>
          <w:lang w:val="es-ES" w:eastAsia="es-ES"/>
        </w:rPr>
      </w:pPr>
    </w:p>
    <w:p w:rsidR="00031B9E" w:rsidRPr="00031B9E" w:rsidRDefault="00031B9E" w:rsidP="00031B9E">
      <w:pPr>
        <w:spacing w:after="200" w:line="0" w:lineRule="atLeast"/>
        <w:ind w:left="567"/>
        <w:jc w:val="both"/>
        <w:rPr>
          <w:rFonts w:ascii="Museo Sans 300" w:eastAsia="Calibri" w:hAnsi="Museo Sans 300" w:cs="Times New Roman"/>
          <w:i/>
        </w:rPr>
      </w:pPr>
      <w:r w:rsidRPr="00031B9E">
        <w:rPr>
          <w:rFonts w:ascii="Museo Sans 300" w:eastAsia="Calibri" w:hAnsi="Museo Sans 300" w:cs="Times New Roman"/>
        </w:rPr>
        <w:t xml:space="preserve">Por su parte, el artículo 80.c. denominado Compensación por Incumplimiento a los Niveles de la Calidad de Servicio Comercial Garantizado a Cada Cliente, establece que </w:t>
      </w:r>
      <w:r w:rsidRPr="00031B9E">
        <w:rPr>
          <w:rFonts w:ascii="Museo Sans 300" w:eastAsia="Calibri" w:hAnsi="Museo Sans 300" w:cs="Times New Roman"/>
          <w:i/>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rsidR="00031B9E" w:rsidRPr="00031B9E" w:rsidRDefault="00031B9E" w:rsidP="00031B9E">
      <w:pPr>
        <w:spacing w:after="200" w:line="0" w:lineRule="atLeast"/>
        <w:ind w:left="567"/>
        <w:jc w:val="both"/>
        <w:rPr>
          <w:rFonts w:ascii="Museo Sans 300" w:eastAsia="Calibri" w:hAnsi="Museo Sans 300" w:cs="Times New Roman"/>
          <w:i/>
        </w:rPr>
      </w:pPr>
      <w:r w:rsidRPr="00031B9E">
        <w:rPr>
          <w:rFonts w:ascii="Museo Sans 300" w:eastAsia="Calibri" w:hAnsi="Museo Sans 300" w:cs="Times New Roman"/>
        </w:rPr>
        <w:t xml:space="preserve">Además, el artículo 80.e. se define que </w:t>
      </w:r>
      <w:r w:rsidRPr="00031B9E">
        <w:rPr>
          <w:rFonts w:ascii="Museo Sans 300" w:eastAsia="Calibri" w:hAnsi="Museo Sans 300" w:cs="Times New Roman"/>
          <w:i/>
        </w:rPr>
        <w:t>“La empresa distribuidora deberá procesar durante los primeros quince (15) días calendario del mes, las reducciones tarifarias correspondientes al mes anterior, debidas a incumplimientos en los Niveles de la Calidad de Servicio Comercial Garantizados a Cada Cliente, como ha sido establecido en los artículos precedentes. La reducción tarifaria se aplicará en forma individual a cada usuario, la cual se reconocerá en un crédito único, en el siguiente ciclo de facturación, posterior al mes de cálculo del monto a compensar; en aquellos casos en que el monto a compensar supere el valor total de la factura, el complemento de la compensación se aplicará en el siguiente ciclo de facturación.”.</w:t>
      </w:r>
    </w:p>
    <w:p w:rsidR="00031B9E" w:rsidRPr="00031B9E" w:rsidRDefault="00031B9E" w:rsidP="00031B9E">
      <w:pPr>
        <w:tabs>
          <w:tab w:val="left" w:pos="993"/>
        </w:tabs>
        <w:spacing w:after="0" w:line="0" w:lineRule="atLeast"/>
        <w:ind w:left="567"/>
        <w:jc w:val="both"/>
        <w:rPr>
          <w:rFonts w:ascii="Museo Sans 500" w:eastAsia="Calibri" w:hAnsi="Museo Sans 500" w:cs="Times New Roman"/>
          <w:b/>
        </w:rPr>
      </w:pPr>
      <w:proofErr w:type="gramStart"/>
      <w:r w:rsidRPr="00031B9E">
        <w:rPr>
          <w:rFonts w:ascii="Museo Sans 500" w:eastAsia="Calibri" w:hAnsi="Museo Sans 500" w:cs="Times New Roman"/>
          <w:b/>
        </w:rPr>
        <w:t>1.E</w:t>
      </w:r>
      <w:proofErr w:type="gramEnd"/>
      <w:r w:rsidRPr="00031B9E">
        <w:rPr>
          <w:rFonts w:ascii="Museo Sans 500" w:eastAsia="Calibri" w:hAnsi="Museo Sans 500" w:cs="Times New Roman"/>
          <w:b/>
        </w:rPr>
        <w:t>. Anexo A de la Metodología para el Control de la Calidad del Servicio Comercial de las Normas de Calidad del Servicio de los Sistemas de Distribución</w:t>
      </w:r>
      <w:r w:rsidR="007D1833">
        <w:rPr>
          <w:rFonts w:ascii="Museo Sans 500" w:eastAsia="Calibri" w:hAnsi="Museo Sans 500" w:cs="Times New Roman"/>
          <w:b/>
        </w:rPr>
        <w:t>.</w:t>
      </w:r>
    </w:p>
    <w:p w:rsidR="00031B9E" w:rsidRPr="00031B9E" w:rsidRDefault="00031B9E" w:rsidP="00031B9E">
      <w:pPr>
        <w:tabs>
          <w:tab w:val="left" w:pos="567"/>
        </w:tabs>
        <w:spacing w:after="0" w:line="0" w:lineRule="atLeast"/>
        <w:ind w:left="993"/>
        <w:jc w:val="both"/>
        <w:rPr>
          <w:rFonts w:ascii="Museo Sans 300" w:eastAsia="Times New Roman" w:hAnsi="Museo Sans 300" w:cs="Times New Roman"/>
          <w:lang w:val="es-ES"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bookmarkStart w:id="1" w:name="_Toc4578287"/>
      <w:bookmarkStart w:id="2" w:name="_Toc94085153"/>
      <w:bookmarkStart w:id="3" w:name="_Toc94085156"/>
      <w:bookmarkStart w:id="4" w:name="_Toc4578288"/>
      <w:bookmarkStart w:id="5" w:name="_Toc94085163"/>
      <w:r w:rsidRPr="00031B9E">
        <w:rPr>
          <w:rFonts w:ascii="Museo 300" w:eastAsia="Arial Unicode MS" w:hAnsi="Museo 300" w:cs="Times New Roman"/>
          <w:color w:val="000000"/>
          <w:sz w:val="18"/>
          <w:szCs w:val="18"/>
          <w:lang w:val="es-MX" w:eastAsia="es-ES"/>
        </w:rPr>
        <w:t>“[…] 3.2 Niveles de Calidad Comercial Garantizados a Cada Usuario</w:t>
      </w:r>
      <w:bookmarkEnd w:id="1"/>
      <w:bookmarkEnd w:id="2"/>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Se considera como índices de Calidad del Servicio Comercial Garantizados a Cada Cliente, a los tiempos de respuesta asociados a: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C. Estimaciones en la Facturación (CFFE)</w:t>
      </w:r>
      <w:bookmarkEnd w:id="3"/>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 xml:space="preserve">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por no haber tomado la lectura del medidor por situaciones </w:t>
      </w:r>
      <w:proofErr w:type="spellStart"/>
      <w:r w:rsidRPr="00031B9E">
        <w:rPr>
          <w:rFonts w:ascii="Museo 300" w:eastAsia="Arial Unicode MS" w:hAnsi="Museo 300" w:cs="Times New Roman"/>
          <w:color w:val="000000"/>
          <w:sz w:val="18"/>
          <w:szCs w:val="18"/>
          <w:lang w:val="es-MX" w:eastAsia="es-ES"/>
        </w:rPr>
        <w:t>adjudicables</w:t>
      </w:r>
      <w:proofErr w:type="spellEnd"/>
      <w:r w:rsidRPr="00031B9E">
        <w:rPr>
          <w:rFonts w:ascii="Museo 300" w:eastAsia="Arial Unicode MS" w:hAnsi="Museo 300" w:cs="Times New Roman"/>
          <w:color w:val="000000"/>
          <w:sz w:val="18"/>
          <w:szCs w:val="18"/>
          <w:lang w:val="es-MX" w:eastAsia="es-ES"/>
        </w:rPr>
        <w:t xml:space="preserve"> a fuerza mayor o caso fortuito. Los límites indicados determinan la cantidad de facturaciones no reales que la distribuidora podrá emitir por esas causales a un mismo usuario final, durante un año calendario. […]</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3.3 Incumplimientos por Causales de Fuerza Mayor, caso Fortuito o no Imputables al Accionar de la Distribuidora</w:t>
      </w:r>
      <w:bookmarkEnd w:id="4"/>
      <w:bookmarkEnd w:id="5"/>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w:t>
      </w: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p>
    <w:p w:rsidR="00031B9E" w:rsidRPr="00031B9E" w:rsidRDefault="00031B9E" w:rsidP="00031B9E">
      <w:pPr>
        <w:tabs>
          <w:tab w:val="left" w:pos="142"/>
          <w:tab w:val="left" w:pos="284"/>
        </w:tabs>
        <w:spacing w:after="0" w:line="0" w:lineRule="atLeast"/>
        <w:ind w:left="993" w:right="565"/>
        <w:jc w:val="both"/>
        <w:rPr>
          <w:rFonts w:ascii="Museo 300" w:eastAsia="Arial Unicode MS" w:hAnsi="Museo 300" w:cs="Times New Roman"/>
          <w:color w:val="000000"/>
          <w:sz w:val="18"/>
          <w:szCs w:val="18"/>
          <w:lang w:val="es-MX" w:eastAsia="es-ES"/>
        </w:rPr>
      </w:pPr>
      <w:r w:rsidRPr="00031B9E">
        <w:rPr>
          <w:rFonts w:ascii="Museo 300" w:eastAsia="Arial Unicode MS" w:hAnsi="Museo 300" w:cs="Times New Roman"/>
          <w:color w:val="000000"/>
          <w:sz w:val="18"/>
          <w:szCs w:val="18"/>
          <w:lang w:val="es-MX" w:eastAsia="es-ES"/>
        </w:rPr>
        <w:t>La definición, alcances y efectos del Caso Fortuito o de Fuerza Mayor han sido definidos según lo establecido en la Metodología emitida por la SIGET. […]”</w:t>
      </w:r>
    </w:p>
    <w:p w:rsidR="00031B9E" w:rsidRPr="00031B9E" w:rsidRDefault="00031B9E" w:rsidP="00031B9E">
      <w:pPr>
        <w:spacing w:after="0" w:line="0" w:lineRule="atLeast"/>
        <w:ind w:left="708"/>
        <w:jc w:val="both"/>
        <w:rPr>
          <w:rFonts w:ascii="Museo Sans 300" w:eastAsia="Times New Roman" w:hAnsi="Museo Sans 300" w:cs="Times New Roman"/>
          <w:i/>
          <w:lang w:val="es-ES" w:eastAsia="es-ES"/>
        </w:rPr>
      </w:pPr>
    </w:p>
    <w:p w:rsidR="00031B9E" w:rsidRPr="00031B9E" w:rsidRDefault="00031B9E" w:rsidP="00031B9E">
      <w:pPr>
        <w:numPr>
          <w:ilvl w:val="0"/>
          <w:numId w:val="11"/>
        </w:numPr>
        <w:tabs>
          <w:tab w:val="left" w:pos="709"/>
        </w:tabs>
        <w:spacing w:after="0" w:line="0" w:lineRule="atLeast"/>
        <w:contextualSpacing/>
        <w:jc w:val="center"/>
        <w:rPr>
          <w:rFonts w:ascii="Museo Sans 500" w:eastAsia="Times New Roman" w:hAnsi="Museo Sans 500" w:cs="Times New Roman"/>
          <w:b/>
          <w:lang w:val="es-ES" w:eastAsia="es-ES"/>
        </w:rPr>
      </w:pPr>
      <w:r w:rsidRPr="00031B9E">
        <w:rPr>
          <w:rFonts w:ascii="Museo Sans 500" w:eastAsia="Times New Roman" w:hAnsi="Museo Sans 500" w:cs="Times New Roman"/>
          <w:b/>
          <w:lang w:val="es-ES" w:eastAsia="es-ES"/>
        </w:rPr>
        <w:t xml:space="preserve">ANÁLISIS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tabs>
          <w:tab w:val="left" w:pos="993"/>
        </w:tabs>
        <w:spacing w:after="200" w:line="0" w:lineRule="atLeast"/>
        <w:ind w:left="567"/>
        <w:jc w:val="both"/>
        <w:rPr>
          <w:rFonts w:ascii="Museo Sans 500" w:eastAsia="Calibri" w:hAnsi="Museo Sans 500" w:cs="Times New Roman"/>
          <w:b/>
        </w:rPr>
      </w:pPr>
      <w:proofErr w:type="gramStart"/>
      <w:r w:rsidRPr="00031B9E">
        <w:rPr>
          <w:rFonts w:ascii="Museo Sans 500" w:eastAsia="Calibri" w:hAnsi="Museo Sans 500" w:cs="Times New Roman"/>
          <w:b/>
        </w:rPr>
        <w:t>2.A</w:t>
      </w:r>
      <w:proofErr w:type="gramEnd"/>
      <w:r w:rsidRPr="00031B9E">
        <w:rPr>
          <w:rFonts w:ascii="Museo Sans 500" w:eastAsia="Calibri" w:hAnsi="Museo Sans 500" w:cs="Times New Roman"/>
          <w:b/>
        </w:rPr>
        <w:t xml:space="preserve">. Documentación presentada por la sociedad </w:t>
      </w:r>
      <w:r w:rsidR="00DC77F3">
        <w:rPr>
          <w:rFonts w:ascii="Museo Sans 500" w:eastAsia="Calibri" w:hAnsi="Museo Sans 500" w:cs="Times New Roman"/>
          <w:b/>
        </w:rPr>
        <w:t>XXXXXXXXXXXXXXXXXXXXXXXX</w:t>
      </w:r>
      <w:r w:rsidRPr="00031B9E">
        <w:rPr>
          <w:rFonts w:ascii="Museo Sans 500" w:eastAsia="Calibri" w:hAnsi="Museo Sans 500" w:cs="Times New Roman"/>
          <w:b/>
        </w:rPr>
        <w:t xml:space="preserve"> para demostrar la existencia de caso fortuito o fuerza mayor</w:t>
      </w:r>
      <w:r w:rsidR="007D1833">
        <w:rPr>
          <w:rFonts w:ascii="Museo Sans 500" w:eastAsia="Calibri" w:hAnsi="Museo Sans 500" w:cs="Times New Roman"/>
          <w:b/>
        </w:rPr>
        <w:t>.</w:t>
      </w:r>
    </w:p>
    <w:p w:rsidR="00031B9E" w:rsidRPr="00031B9E" w:rsidRDefault="0061191E" w:rsidP="00031B9E">
      <w:pPr>
        <w:tabs>
          <w:tab w:val="left" w:pos="284"/>
        </w:tabs>
        <w:spacing w:after="0" w:line="240" w:lineRule="auto"/>
        <w:ind w:left="567"/>
        <w:jc w:val="both"/>
        <w:rPr>
          <w:rFonts w:ascii="Museo Sans 300" w:eastAsia="Calibri" w:hAnsi="Museo Sans 300" w:cs="Times New Roman"/>
        </w:rPr>
      </w:pPr>
      <w:r>
        <w:rPr>
          <w:rFonts w:ascii="Museo Sans 300" w:eastAsia="Calibri" w:hAnsi="Museo Sans 300" w:cs="Times New Roman"/>
        </w:rPr>
        <w:t>L</w:t>
      </w:r>
      <w:r w:rsidR="00031B9E" w:rsidRPr="00031B9E">
        <w:rPr>
          <w:rFonts w:ascii="Museo Sans 300" w:eastAsia="Calibri" w:hAnsi="Museo Sans 300" w:cs="Times New Roman"/>
        </w:rPr>
        <w:t xml:space="preserve">a sociedad </w:t>
      </w:r>
      <w:r w:rsidR="00DC77F3">
        <w:rPr>
          <w:rFonts w:ascii="Museo Sans 300" w:eastAsia="Calibri" w:hAnsi="Museo Sans 300" w:cs="Times New Roman"/>
        </w:rPr>
        <w:t>XXXXXXXXXXXXXXXXXXXXXXXX</w:t>
      </w:r>
      <w:r w:rsidR="00031B9E" w:rsidRPr="00031B9E">
        <w:rPr>
          <w:rFonts w:ascii="Museo Sans 300" w:eastAsia="Calibri" w:hAnsi="Museo Sans 300" w:cs="Times New Roman"/>
        </w:rPr>
        <w:t xml:space="preserve"> manifestó que no realizó las actividades de lectura de medición en los suministros de energía eléctrica </w:t>
      </w:r>
      <w:r w:rsidR="00031B9E" w:rsidRPr="00031B9E">
        <w:rPr>
          <w:rFonts w:ascii="Museo Sans 300" w:eastAsia="Calibri" w:hAnsi="Museo Sans 300" w:cs="Times New Roman"/>
          <w:bCs/>
        </w:rPr>
        <w:t xml:space="preserve">instalados </w:t>
      </w:r>
      <w:r w:rsidR="00031B9E" w:rsidRPr="00031B9E">
        <w:rPr>
          <w:rFonts w:ascii="Museo Sans 300" w:eastAsia="Calibri" w:hAnsi="Museo Sans 300" w:cs="Times New Roman"/>
        </w:rPr>
        <w:t xml:space="preserve">en </w:t>
      </w:r>
      <w:r w:rsidR="00FE0967">
        <w:rPr>
          <w:rFonts w:ascii="Museo Sans 300" w:hAnsi="Museo Sans 300"/>
          <w:lang w:val="es-ES_tradnl"/>
        </w:rPr>
        <w:t xml:space="preserve">la </w:t>
      </w:r>
      <w:r w:rsidR="00DC77F3">
        <w:rPr>
          <w:rFonts w:ascii="Museo Sans 300" w:hAnsi="Museo Sans 300"/>
          <w:lang w:val="es-ES_tradnl"/>
        </w:rPr>
        <w:t>XXXXXXXXXXXXXXXXXXXXXXXX</w:t>
      </w:r>
      <w:r w:rsidR="00031B9E" w:rsidRPr="00031B9E">
        <w:rPr>
          <w:rFonts w:ascii="Museo Sans 300" w:eastAsia="Calibri" w:hAnsi="Museo Sans 300" w:cs="Times New Roman"/>
          <w:bCs/>
        </w:rPr>
        <w:t xml:space="preserve">, </w:t>
      </w:r>
      <w:r w:rsidR="00031B9E" w:rsidRPr="00031B9E">
        <w:rPr>
          <w:rFonts w:ascii="Museo Sans 300" w:eastAsia="Calibri" w:hAnsi="Museo Sans 300" w:cs="Times New Roman"/>
        </w:rPr>
        <w:t>debido al supuesto peligro delincuencial en la zona.</w:t>
      </w: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r w:rsidRPr="00031B9E">
        <w:rPr>
          <w:rFonts w:ascii="Museo Sans 300" w:eastAsia="Calibri" w:hAnsi="Museo Sans 300" w:cs="Times New Roman"/>
        </w:rPr>
        <w:t>Para respaldar su argumento, la distribuidora presentó declaraciones testimoniales y un formato de reporte de suceso peligroso, en los cuales personal de campo contratado por la distribuidora, describen condiciones de inseguridad que ocurrieron mientras realiza</w:t>
      </w:r>
      <w:r w:rsidR="00F92F02">
        <w:rPr>
          <w:rFonts w:ascii="Museo Sans 300" w:eastAsia="Calibri" w:hAnsi="Museo Sans 300" w:cs="Times New Roman"/>
        </w:rPr>
        <w:t>ban</w:t>
      </w:r>
      <w:r w:rsidRPr="00031B9E">
        <w:rPr>
          <w:rFonts w:ascii="Museo Sans 300" w:eastAsia="Calibri" w:hAnsi="Museo Sans 300" w:cs="Times New Roman"/>
        </w:rPr>
        <w:t xml:space="preserve"> la toma de lectura de los medidores en </w:t>
      </w:r>
      <w:r w:rsidR="00FD5D25">
        <w:rPr>
          <w:rFonts w:ascii="Museo Sans 300" w:hAnsi="Museo Sans 300"/>
          <w:lang w:val="es-ES_tradnl"/>
        </w:rPr>
        <w:t xml:space="preserve">la </w:t>
      </w:r>
      <w:r w:rsidR="00DC77F3">
        <w:rPr>
          <w:rFonts w:ascii="Museo Sans 300" w:hAnsi="Museo Sans 300"/>
          <w:lang w:val="es-ES_tradnl"/>
        </w:rPr>
        <w:t>XXXXXXXXXXXXXXXXXXXXXXXX</w:t>
      </w:r>
      <w:r w:rsidR="00F92F02">
        <w:rPr>
          <w:rFonts w:ascii="Museo Sans 300" w:hAnsi="Museo Sans 300"/>
          <w:lang w:val="es-ES_tradnl"/>
        </w:rPr>
        <w:t xml:space="preserve"> y áreas cercanas.</w:t>
      </w:r>
      <w:r w:rsidRPr="00031B9E">
        <w:rPr>
          <w:rFonts w:ascii="Museo Sans 300" w:eastAsia="Calibri" w:hAnsi="Museo Sans 300" w:cs="Times New Roman"/>
        </w:rPr>
        <w:t xml:space="preserve"> </w:t>
      </w:r>
    </w:p>
    <w:p w:rsidR="00031B9E" w:rsidRPr="00031B9E" w:rsidRDefault="00031B9E" w:rsidP="00031B9E">
      <w:pPr>
        <w:tabs>
          <w:tab w:val="left" w:pos="284"/>
        </w:tabs>
        <w:spacing w:after="0" w:line="240" w:lineRule="auto"/>
        <w:jc w:val="both"/>
        <w:rPr>
          <w:rFonts w:ascii="Museo Sans 300" w:eastAsia="Calibri" w:hAnsi="Museo Sans 300" w:cs="Times New Roman"/>
        </w:rPr>
      </w:pPr>
    </w:p>
    <w:p w:rsidR="00031B9E" w:rsidRPr="00031B9E" w:rsidRDefault="00031B9E" w:rsidP="00031B9E">
      <w:pPr>
        <w:autoSpaceDE w:val="0"/>
        <w:autoSpaceDN w:val="0"/>
        <w:adjustRightInd w:val="0"/>
        <w:spacing w:after="0" w:line="240" w:lineRule="auto"/>
        <w:ind w:left="567"/>
        <w:jc w:val="both"/>
        <w:rPr>
          <w:rFonts w:ascii="Museo Sans 300" w:eastAsia="Calibri" w:hAnsi="Museo Sans 300" w:cs="Times New Roman"/>
          <w:lang w:eastAsia="es-SV"/>
        </w:rPr>
      </w:pPr>
      <w:r w:rsidRPr="00031B9E">
        <w:rPr>
          <w:rFonts w:ascii="Museo Sans 300" w:eastAsia="Calibri" w:hAnsi="Museo Sans 300" w:cs="Times New Roman"/>
          <w:lang w:eastAsia="es-SV"/>
        </w:rPr>
        <w:t>Respecto de lo anterior, debe iniciarse exponiendo que l</w:t>
      </w:r>
      <w:r w:rsidRPr="00031B9E">
        <w:rPr>
          <w:rFonts w:ascii="Museo Sans 300" w:eastAsia="Calibri" w:hAnsi="Museo Sans 300" w:cs="Times New Roman"/>
          <w:lang w:val="es-MX" w:eastAsia="es-SV"/>
        </w:rPr>
        <w:t xml:space="preserve">a SIGET tiene las funciones de regulación y control sobre la distribución y comercialización de energía eléctrica, debiendo supervisar </w:t>
      </w:r>
      <w:r w:rsidRPr="00031B9E">
        <w:rPr>
          <w:rFonts w:ascii="Museo Sans 300" w:eastAsia="Calibri" w:hAnsi="Museo Sans 300" w:cs="Times New Roman"/>
          <w:lang w:eastAsia="es-SV"/>
        </w:rPr>
        <w:t>que el servicio público de energía eléctrica se preste en las condiciones que se establece en las distintas normativas</w:t>
      </w:r>
      <w:r w:rsidRPr="00031B9E">
        <w:rPr>
          <w:rFonts w:ascii="Museo Sans 300" w:eastAsia="Calibri" w:hAnsi="Museo Sans 300" w:cs="Times New Roman"/>
          <w:lang w:val="es-MX" w:eastAsia="es-SV"/>
        </w:rPr>
        <w:t xml:space="preserve"> aplicables; debido </w:t>
      </w:r>
      <w:r w:rsidRPr="00031B9E">
        <w:rPr>
          <w:rFonts w:ascii="Museo Sans 300" w:eastAsia="Calibri" w:hAnsi="Museo Sans 300" w:cs="Times New Roman"/>
          <w:lang w:eastAsia="es-SV"/>
        </w:rPr>
        <w:t xml:space="preserve">que </w:t>
      </w:r>
      <w:r w:rsidRPr="00031B9E">
        <w:rPr>
          <w:rFonts w:ascii="Museo Sans 300" w:eastAsia="Calibri" w:hAnsi="Museo Sans 300" w:cs="Times New Roman"/>
          <w:lang w:val="es-MX" w:eastAsia="es-SV"/>
        </w:rPr>
        <w:t xml:space="preserve">existe </w:t>
      </w:r>
      <w:r w:rsidRPr="00031B9E">
        <w:rPr>
          <w:rFonts w:ascii="Museo Sans 300" w:eastAsia="Calibri" w:hAnsi="Museo Sans 300" w:cs="Times New Roman"/>
          <w:lang w:eastAsia="es-SV"/>
        </w:rPr>
        <w:t>un marco técnico y jurídico de principios y reglas que guían el actuar de las empresas distribuidoras</w:t>
      </w:r>
      <w:r w:rsidRPr="00031B9E">
        <w:rPr>
          <w:rFonts w:ascii="Museo Sans 300" w:eastAsia="Calibri" w:hAnsi="Museo Sans 300" w:cs="Times New Roman"/>
          <w:lang w:val="es-MX" w:eastAsia="es-SV"/>
        </w:rPr>
        <w:t xml:space="preserve"> </w:t>
      </w:r>
      <w:r w:rsidRPr="00031B9E">
        <w:rPr>
          <w:rFonts w:ascii="Museo Sans 300" w:eastAsia="Calibri" w:hAnsi="Museo Sans 300" w:cs="Times New Roman"/>
          <w:lang w:eastAsia="es-SV"/>
        </w:rPr>
        <w:t xml:space="preserve">y su relación con los usuarios finales. </w:t>
      </w: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r w:rsidRPr="00031B9E">
        <w:rPr>
          <w:rFonts w:ascii="Museo Sans 300" w:eastAsia="Calibri" w:hAnsi="Museo Sans 300" w:cs="Times New Roman"/>
        </w:rPr>
        <w:t>En ese sentido y respaldado por el marco regulatorio, el usuario tiene el derecho a exigir que la prestación del servicio de energía eléctrica sea brindada por la distribuidora dentro de los parámetros establecidos por las normas que rigen el sector de electricidad</w:t>
      </w:r>
      <w:r w:rsidR="007D1833">
        <w:rPr>
          <w:rFonts w:ascii="Museo Sans 300" w:eastAsia="Calibri" w:hAnsi="Museo Sans 300" w:cs="Times New Roman"/>
        </w:rPr>
        <w:t>,</w:t>
      </w:r>
      <w:r w:rsidRPr="00031B9E">
        <w:rPr>
          <w:rFonts w:ascii="Museo Sans 300" w:eastAsia="Calibri" w:hAnsi="Museo Sans 300" w:cs="Times New Roman"/>
        </w:rPr>
        <w:t xml:space="preserve"> y pedir a la SIGET la defensa de sus derechos e intereses; lo que se logra a través de una supervisión y fiscalización adecuada de las condiciones en las que la distribuidora brinda el servicio de energía eléctrica.</w:t>
      </w: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p>
    <w:p w:rsidR="00031B9E" w:rsidRPr="00031B9E" w:rsidRDefault="00031B9E" w:rsidP="00031B9E">
      <w:pPr>
        <w:tabs>
          <w:tab w:val="left" w:pos="284"/>
        </w:tabs>
        <w:spacing w:after="0" w:line="240" w:lineRule="auto"/>
        <w:ind w:left="567"/>
        <w:jc w:val="both"/>
        <w:rPr>
          <w:rFonts w:ascii="Museo Sans 300" w:eastAsia="Calibri" w:hAnsi="Museo Sans 300" w:cs="Times New Roman"/>
        </w:rPr>
      </w:pPr>
      <w:r w:rsidRPr="00031B9E">
        <w:rPr>
          <w:rFonts w:ascii="Museo Sans 300" w:eastAsia="Calibri" w:hAnsi="Museo Sans 300" w:cs="Times New Roman"/>
        </w:rPr>
        <w:t>Por lo que, de conformidad con el marco normativo expuesto en el número 1 del presente acuerdo, debe destacarse lo siguiente:</w:t>
      </w:r>
    </w:p>
    <w:p w:rsidR="00031B9E" w:rsidRPr="00031B9E" w:rsidRDefault="00031B9E" w:rsidP="00031B9E">
      <w:pPr>
        <w:spacing w:after="0" w:line="240" w:lineRule="auto"/>
        <w:ind w:left="1134"/>
        <w:contextualSpacing/>
        <w:jc w:val="both"/>
        <w:rPr>
          <w:rFonts w:ascii="Museo Sans 300" w:eastAsia="Calibri" w:hAnsi="Museo Sans 300" w:cs="Times New Roman"/>
          <w:color w:val="000000"/>
        </w:rPr>
      </w:pPr>
    </w:p>
    <w:p w:rsidR="00031B9E" w:rsidRPr="00031B9E" w:rsidRDefault="00031B9E" w:rsidP="00031B9E">
      <w:pPr>
        <w:numPr>
          <w:ilvl w:val="0"/>
          <w:numId w:val="7"/>
        </w:numPr>
        <w:spacing w:after="0" w:line="240" w:lineRule="auto"/>
        <w:ind w:left="1134" w:hanging="283"/>
        <w:contextualSpacing/>
        <w:jc w:val="both"/>
        <w:rPr>
          <w:rFonts w:ascii="Museo Sans 300" w:eastAsia="Calibri" w:hAnsi="Museo Sans 300" w:cs="Times New Roman"/>
          <w:color w:val="000000"/>
        </w:rPr>
      </w:pPr>
      <w:r w:rsidRPr="00031B9E">
        <w:rPr>
          <w:rFonts w:ascii="Museo Sans 300" w:eastAsia="Calibri" w:hAnsi="Museo Sans 300" w:cs="Times New Roman"/>
          <w:color w:val="00000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rsidR="00031B9E" w:rsidRPr="00031B9E" w:rsidRDefault="00031B9E" w:rsidP="00031B9E">
      <w:pPr>
        <w:spacing w:after="200" w:line="276" w:lineRule="auto"/>
        <w:ind w:left="1134"/>
        <w:contextualSpacing/>
        <w:jc w:val="both"/>
        <w:rPr>
          <w:rFonts w:ascii="Museo Sans 300" w:eastAsia="Calibri" w:hAnsi="Museo Sans 300" w:cs="Times New Roman"/>
          <w:color w:val="000000"/>
        </w:rPr>
      </w:pPr>
    </w:p>
    <w:p w:rsidR="00031B9E" w:rsidRPr="00031B9E" w:rsidRDefault="00031B9E" w:rsidP="00031B9E">
      <w:pPr>
        <w:numPr>
          <w:ilvl w:val="0"/>
          <w:numId w:val="7"/>
        </w:numPr>
        <w:spacing w:after="0" w:line="240" w:lineRule="auto"/>
        <w:ind w:left="1134" w:hanging="283"/>
        <w:contextualSpacing/>
        <w:jc w:val="both"/>
        <w:rPr>
          <w:rFonts w:ascii="Museo Sans 300" w:eastAsia="Calibri" w:hAnsi="Museo Sans 300" w:cs="Times New Roman"/>
          <w:color w:val="000000"/>
        </w:rPr>
      </w:pPr>
      <w:r w:rsidRPr="00031B9E">
        <w:rPr>
          <w:rFonts w:ascii="Museo Sans 300" w:eastAsia="Calibri" w:hAnsi="Museo Sans 300" w:cs="Times New Roman"/>
          <w:color w:val="00000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rsidR="00031B9E" w:rsidRPr="00031B9E" w:rsidRDefault="00031B9E" w:rsidP="00031B9E">
      <w:pPr>
        <w:spacing w:after="0" w:line="240" w:lineRule="auto"/>
        <w:ind w:left="1134"/>
        <w:contextualSpacing/>
        <w:jc w:val="both"/>
        <w:rPr>
          <w:rFonts w:ascii="Museo Sans 300" w:eastAsia="Calibri" w:hAnsi="Museo Sans 300" w:cs="Times New Roman"/>
          <w:color w:val="000000"/>
        </w:rPr>
      </w:pPr>
    </w:p>
    <w:p w:rsidR="00031B9E" w:rsidRPr="00031B9E" w:rsidRDefault="00031B9E" w:rsidP="00031B9E">
      <w:pPr>
        <w:numPr>
          <w:ilvl w:val="0"/>
          <w:numId w:val="7"/>
        </w:numPr>
        <w:spacing w:after="0" w:line="240" w:lineRule="auto"/>
        <w:ind w:left="1134" w:hanging="283"/>
        <w:contextualSpacing/>
        <w:jc w:val="both"/>
        <w:rPr>
          <w:rFonts w:ascii="Museo Sans 300" w:eastAsia="Calibri" w:hAnsi="Museo Sans 300" w:cs="Times New Roman"/>
          <w:color w:val="000000"/>
        </w:rPr>
      </w:pPr>
      <w:r w:rsidRPr="00031B9E">
        <w:rPr>
          <w:rFonts w:ascii="Museo Sans 300" w:eastAsia="Calibri" w:hAnsi="Museo Sans 300" w:cs="Times New Roman"/>
          <w:color w:val="000000"/>
        </w:rPr>
        <w:t>De la aceptación o no de la determinada causal invocada como fuerza mayor o caso fortuito por parte de esta superintendencia, dependerá lo siguiente:</w:t>
      </w:r>
    </w:p>
    <w:p w:rsidR="00031B9E" w:rsidRPr="00031B9E" w:rsidRDefault="00031B9E" w:rsidP="00031B9E">
      <w:pPr>
        <w:tabs>
          <w:tab w:val="left" w:pos="993"/>
        </w:tabs>
        <w:spacing w:after="200" w:line="276" w:lineRule="auto"/>
        <w:ind w:left="927"/>
        <w:contextualSpacing/>
        <w:jc w:val="both"/>
        <w:rPr>
          <w:rFonts w:ascii="Museo Sans 300" w:eastAsia="Calibri" w:hAnsi="Museo Sans 300" w:cs="Times New Roman"/>
          <w:color w:val="000000"/>
        </w:rPr>
      </w:pPr>
    </w:p>
    <w:p w:rsidR="00031B9E" w:rsidRPr="00031B9E" w:rsidRDefault="00031B9E" w:rsidP="00031B9E">
      <w:pPr>
        <w:numPr>
          <w:ilvl w:val="2"/>
          <w:numId w:val="1"/>
        </w:numPr>
        <w:tabs>
          <w:tab w:val="left" w:pos="1134"/>
          <w:tab w:val="left" w:pos="1418"/>
        </w:tabs>
        <w:spacing w:after="0" w:line="240" w:lineRule="auto"/>
        <w:ind w:left="2410" w:hanging="1026"/>
        <w:contextualSpacing/>
        <w:jc w:val="both"/>
        <w:rPr>
          <w:rFonts w:ascii="Museo Sans 300" w:eastAsia="Calibri" w:hAnsi="Museo Sans 300" w:cs="Times New Roman"/>
          <w:b/>
          <w:color w:val="000000"/>
        </w:rPr>
      </w:pPr>
      <w:r w:rsidRPr="00031B9E">
        <w:rPr>
          <w:rFonts w:ascii="Museo Sans 300" w:eastAsia="Calibri" w:hAnsi="Museo Sans 300" w:cs="Times New Roman"/>
          <w:color w:val="000000"/>
        </w:rPr>
        <w:t xml:space="preserve">     La obligación o no de la distribuidora de compensar por Energía No Servida.</w:t>
      </w:r>
    </w:p>
    <w:p w:rsidR="00031B9E" w:rsidRPr="00031B9E" w:rsidRDefault="00031B9E" w:rsidP="00031B9E">
      <w:pPr>
        <w:tabs>
          <w:tab w:val="left" w:pos="1134"/>
          <w:tab w:val="left" w:pos="1418"/>
        </w:tabs>
        <w:spacing w:after="200" w:line="276" w:lineRule="auto"/>
        <w:ind w:left="2410"/>
        <w:contextualSpacing/>
        <w:jc w:val="both"/>
        <w:rPr>
          <w:rFonts w:ascii="Museo Sans 300" w:eastAsia="Calibri" w:hAnsi="Museo Sans 300" w:cs="Times New Roman"/>
          <w:b/>
          <w:color w:val="000000"/>
        </w:rPr>
      </w:pPr>
    </w:p>
    <w:p w:rsidR="00031B9E" w:rsidRPr="00031B9E" w:rsidRDefault="00031B9E" w:rsidP="00031B9E">
      <w:pPr>
        <w:numPr>
          <w:ilvl w:val="2"/>
          <w:numId w:val="1"/>
        </w:numPr>
        <w:tabs>
          <w:tab w:val="left" w:pos="1701"/>
        </w:tabs>
        <w:spacing w:after="0" w:line="240" w:lineRule="auto"/>
        <w:ind w:left="1701" w:hanging="283"/>
        <w:contextualSpacing/>
        <w:jc w:val="both"/>
        <w:rPr>
          <w:rFonts w:ascii="Museo Sans 300" w:eastAsia="Calibri" w:hAnsi="Museo Sans 300" w:cs="Times New Roman"/>
          <w:color w:val="000000"/>
        </w:rPr>
      </w:pPr>
      <w:r w:rsidRPr="00031B9E">
        <w:rPr>
          <w:rFonts w:ascii="Museo Sans 300" w:eastAsia="Calibri" w:hAnsi="Museo Sans 300" w:cs="Times New Roman"/>
          <w:color w:val="000000"/>
        </w:rPr>
        <w:t>Compensar o no a los usuarios por transgresión a los indicadores comerciales definidas en los artículos 80.c. y 80.e. de las Normas de Calidad de los Sistemas de Distribución; y,</w:t>
      </w:r>
    </w:p>
    <w:p w:rsidR="00031B9E" w:rsidRPr="00031B9E" w:rsidRDefault="00031B9E" w:rsidP="00031B9E">
      <w:pPr>
        <w:tabs>
          <w:tab w:val="left" w:pos="1134"/>
          <w:tab w:val="left" w:pos="1418"/>
        </w:tabs>
        <w:spacing w:after="200" w:line="276" w:lineRule="auto"/>
        <w:ind w:left="2410"/>
        <w:contextualSpacing/>
        <w:jc w:val="both"/>
        <w:rPr>
          <w:rFonts w:ascii="Museo Sans 300" w:eastAsia="Calibri" w:hAnsi="Museo Sans 300" w:cs="Times New Roman"/>
          <w:color w:val="000000"/>
        </w:rPr>
      </w:pPr>
    </w:p>
    <w:p w:rsidR="00031B9E" w:rsidRPr="00031B9E" w:rsidRDefault="00031B9E" w:rsidP="00031B9E">
      <w:pPr>
        <w:numPr>
          <w:ilvl w:val="2"/>
          <w:numId w:val="1"/>
        </w:numPr>
        <w:tabs>
          <w:tab w:val="left" w:pos="1701"/>
        </w:tabs>
        <w:spacing w:after="0" w:line="240" w:lineRule="auto"/>
        <w:ind w:left="1701" w:hanging="283"/>
        <w:contextualSpacing/>
        <w:jc w:val="both"/>
        <w:rPr>
          <w:rFonts w:ascii="Museo Sans 300" w:eastAsia="Calibri" w:hAnsi="Museo Sans 300" w:cs="Times New Roman"/>
          <w:color w:val="000000"/>
        </w:rPr>
      </w:pPr>
      <w:r w:rsidRPr="00031B9E">
        <w:rPr>
          <w:rFonts w:ascii="Museo Sans 300" w:eastAsia="Calibri" w:hAnsi="Museo Sans 300" w:cs="Times New Roman"/>
          <w:color w:val="00000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rsidR="00031B9E" w:rsidRPr="00031B9E" w:rsidRDefault="00031B9E" w:rsidP="00031B9E">
      <w:pPr>
        <w:spacing w:after="0" w:line="240" w:lineRule="auto"/>
        <w:ind w:left="708"/>
        <w:rPr>
          <w:rFonts w:ascii="Museo Sans 300" w:eastAsia="Times New Roman" w:hAnsi="Museo Sans 300" w:cs="Times New Roman"/>
          <w:sz w:val="24"/>
          <w:szCs w:val="24"/>
          <w:lang w:val="es-ES" w:eastAsia="es-ES"/>
        </w:rPr>
      </w:pPr>
    </w:p>
    <w:p w:rsidR="00031B9E" w:rsidRPr="00031B9E" w:rsidRDefault="00031B9E" w:rsidP="00031B9E">
      <w:pPr>
        <w:autoSpaceDE w:val="0"/>
        <w:autoSpaceDN w:val="0"/>
        <w:adjustRightInd w:val="0"/>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De lo expuesto, debe entenderse que las pruebas incorporadas por las distribuidoras son </w:t>
      </w:r>
      <w:r w:rsidR="007D1833">
        <w:rPr>
          <w:rFonts w:ascii="Museo Sans 300" w:eastAsia="Calibri" w:hAnsi="Museo Sans 300" w:cs="Times New Roman"/>
        </w:rPr>
        <w:t>indispensables</w:t>
      </w:r>
      <w:r w:rsidRPr="00031B9E">
        <w:rPr>
          <w:rFonts w:ascii="Museo Sans 300" w:eastAsia="Calibri" w:hAnsi="Museo Sans 300" w:cs="Times New Roman"/>
        </w:rPr>
        <w:t xml:space="preserve">, ya que, con base </w:t>
      </w:r>
      <w:r w:rsidR="007D1833">
        <w:rPr>
          <w:rFonts w:ascii="Museo Sans 300" w:eastAsia="Calibri" w:hAnsi="Museo Sans 300" w:cs="Times New Roman"/>
        </w:rPr>
        <w:t>en</w:t>
      </w:r>
      <w:r w:rsidRPr="00031B9E">
        <w:rPr>
          <w:rFonts w:ascii="Museo Sans 300" w:eastAsia="Calibri" w:hAnsi="Museo Sans 300" w:cs="Times New Roman"/>
        </w:rPr>
        <w:t xml:space="preserve"> ellas, la Gerencia de Electricidad recomienda que se acepte o rechace determinada solicitud de Excepción de Casos Fortuitos o Fuerza Mayor, y se proceda o no a validar que el consumo cobrado en un mes de facturación especifico se realice mediante una estimación.</w:t>
      </w:r>
    </w:p>
    <w:p w:rsidR="00031B9E" w:rsidRPr="00031B9E" w:rsidRDefault="00031B9E" w:rsidP="00031B9E">
      <w:pPr>
        <w:autoSpaceDE w:val="0"/>
        <w:autoSpaceDN w:val="0"/>
        <w:adjustRightInd w:val="0"/>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Bajo las premisas expuestas, corresponde traer a colación que la Gerencia de Electricidad de la SIGET, en el informe técnico </w:t>
      </w:r>
      <w:r w:rsidR="001B121A" w:rsidRPr="00171B75">
        <w:rPr>
          <w:rFonts w:ascii="Museo Sans 300" w:eastAsia="Calibri" w:hAnsi="Museo Sans 300" w:cs="Times New Roman"/>
          <w:lang w:val="es-ES_tradnl"/>
        </w:rPr>
        <w:t>N.° IT-NT-2019-10-053</w:t>
      </w:r>
      <w:r w:rsidRPr="00031B9E">
        <w:rPr>
          <w:rFonts w:ascii="Museo Sans 300" w:eastAsia="Calibri" w:hAnsi="Museo Sans 300" w:cs="Times New Roman"/>
        </w:rPr>
        <w:t xml:space="preserve">, estableció que a través de las pruebas presentadas por la distribuidora, a efecto que se aceptara como fuerza mayor las supuestas actividades delictivas y condiciones de inseguridad en la zona en la que se encuentran los suministros de energía eléctrica de </w:t>
      </w:r>
      <w:r w:rsidR="001B121A">
        <w:rPr>
          <w:rFonts w:ascii="Museo Sans 300" w:hAnsi="Museo Sans 300"/>
          <w:lang w:val="es-ES_tradnl"/>
        </w:rPr>
        <w:t xml:space="preserve">la </w:t>
      </w:r>
      <w:r w:rsidR="00DC77F3">
        <w:rPr>
          <w:rFonts w:ascii="Museo Sans 300" w:hAnsi="Museo Sans 300"/>
          <w:lang w:val="es-ES_tradnl"/>
        </w:rPr>
        <w:t>XXXXXXXXXXXXXXXXXXXXXXXX</w:t>
      </w:r>
      <w:r w:rsidR="001B121A">
        <w:rPr>
          <w:rFonts w:ascii="Museo Sans 300" w:hAnsi="Museo Sans 300"/>
          <w:lang w:val="es-ES_tradnl"/>
        </w:rPr>
        <w:t xml:space="preserve">, </w:t>
      </w:r>
      <w:r w:rsidR="00D96673">
        <w:rPr>
          <w:rFonts w:ascii="Museo Sans 300" w:hAnsi="Museo Sans 300"/>
          <w:lang w:val="es-ES_tradnl"/>
        </w:rPr>
        <w:t>XXXXXXXX</w:t>
      </w:r>
      <w:bookmarkStart w:id="6" w:name="_GoBack"/>
      <w:bookmarkEnd w:id="6"/>
      <w:r w:rsidR="001B121A">
        <w:rPr>
          <w:rFonts w:ascii="Museo Sans 300" w:hAnsi="Museo Sans 300"/>
          <w:lang w:val="es-ES_tradnl"/>
        </w:rPr>
        <w:t>,</w:t>
      </w:r>
      <w:r w:rsidRPr="00031B9E">
        <w:rPr>
          <w:rFonts w:ascii="Museo Sans 300" w:eastAsia="Calibri" w:hAnsi="Museo Sans 300" w:cs="Times New Roman"/>
        </w:rPr>
        <w:t xml:space="preserve"> para ser exoneradas de compensar por incumplimiento a la gestión comercial, y para poder acumular registros de consumos mensuales de energía eléctrica concluyó que las pruebas eran deficientes y no cumplían con los requisitos necesarios para poder ser enmarcadas como constitutivo de fuerza mayor, y ser exonerados de responsabilidad atribuible a la distribuidora.</w:t>
      </w:r>
    </w:p>
    <w:p w:rsidR="00031B9E" w:rsidRPr="00031B9E" w:rsidRDefault="00031B9E" w:rsidP="00031B9E">
      <w:pPr>
        <w:autoSpaceDE w:val="0"/>
        <w:autoSpaceDN w:val="0"/>
        <w:adjustRightInd w:val="0"/>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En este punto corresponde manifestar que, debido a las particularidades y naturaleza del servicio de energía eléctrica, existen concretas obligaciones que la sociedad </w:t>
      </w:r>
      <w:r w:rsidR="00DC77F3">
        <w:rPr>
          <w:rFonts w:ascii="Museo Sans 300" w:eastAsia="Calibri" w:hAnsi="Museo Sans 300" w:cs="Times New Roman"/>
        </w:rPr>
        <w:t>XXXXXXXXXXXXXXXXXXXXXXXX</w:t>
      </w:r>
      <w:r w:rsidRPr="00031B9E">
        <w:rPr>
          <w:rFonts w:ascii="Museo Sans 300" w:eastAsia="Calibri" w:hAnsi="Museo Sans 300" w:cs="Times New Roman"/>
        </w:rPr>
        <w:t xml:space="preserve">,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sociedad </w:t>
      </w:r>
      <w:r w:rsidR="00DC77F3">
        <w:rPr>
          <w:rFonts w:ascii="Museo Sans 300" w:eastAsia="Calibri" w:hAnsi="Museo Sans 300" w:cs="Times New Roman"/>
        </w:rPr>
        <w:t>XXXXXXXXXXXXXXXXXXXXXXXX</w:t>
      </w:r>
      <w:r w:rsidRPr="00031B9E">
        <w:rPr>
          <w:rFonts w:ascii="Museo Sans 300" w:eastAsia="Calibri" w:hAnsi="Museo Sans 300" w:cs="Times New Roman"/>
        </w:rPr>
        <w:t xml:space="preserve"> </w:t>
      </w:r>
      <w:r w:rsidR="007D1833">
        <w:rPr>
          <w:rFonts w:ascii="Museo Sans 300" w:eastAsia="Calibri" w:hAnsi="Museo Sans 300" w:cs="Times New Roman"/>
        </w:rPr>
        <w:t>un</w:t>
      </w:r>
      <w:r w:rsidRPr="00031B9E">
        <w:rPr>
          <w:rFonts w:ascii="Museo Sans 300" w:eastAsia="Calibri" w:hAnsi="Museo Sans 300" w:cs="Times New Roman"/>
        </w:rPr>
        <w:t xml:space="preserve"> incumplimiento a las disposiciones legales, atribuciones y deberes que le competen en razón de sus funciones específicas.</w:t>
      </w:r>
    </w:p>
    <w:p w:rsidR="00031B9E" w:rsidRPr="00031B9E" w:rsidRDefault="00031B9E" w:rsidP="00031B9E">
      <w:pPr>
        <w:autoSpaceDE w:val="0"/>
        <w:autoSpaceDN w:val="0"/>
        <w:adjustRightInd w:val="0"/>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Conforme a lo anterior, bajo el marco regulatorio aplicable y ponderando lo determinado en los informes señalados, esta superintendencia es del criterio que la sociedad </w:t>
      </w:r>
      <w:r w:rsidR="00DC77F3">
        <w:rPr>
          <w:rFonts w:ascii="Museo Sans 300" w:eastAsia="Calibri" w:hAnsi="Museo Sans 300" w:cs="Times New Roman"/>
        </w:rPr>
        <w:t>XXXXXXXXXXXXXXXXXXXXXXXX</w:t>
      </w:r>
      <w:r w:rsidRPr="00031B9E">
        <w:rPr>
          <w:rFonts w:ascii="Museo Sans 300" w:eastAsia="Calibri" w:hAnsi="Museo Sans 300" w:cs="Times New Roman"/>
        </w:rPr>
        <w:t xml:space="preserve"> no demostró mediante las pruebas remitidas que haya existido causales constitutivas de fuerza mayor para no realizar las lecturas a los medidores entre </w:t>
      </w:r>
      <w:r w:rsidRPr="00200865">
        <w:rPr>
          <w:rFonts w:ascii="Museo Sans 300" w:eastAsia="Calibri" w:hAnsi="Museo Sans 300" w:cs="Times New Roman"/>
        </w:rPr>
        <w:t xml:space="preserve">los meses de </w:t>
      </w:r>
      <w:r w:rsidR="009825DE" w:rsidRPr="00200865">
        <w:rPr>
          <w:rFonts w:ascii="Museo Sans 300" w:eastAsia="Calibri" w:hAnsi="Museo Sans 300" w:cs="Times New Roman"/>
        </w:rPr>
        <w:t>marzo</w:t>
      </w:r>
      <w:r w:rsidRPr="00200865">
        <w:rPr>
          <w:rFonts w:ascii="Museo Sans 300" w:eastAsia="Calibri" w:hAnsi="Museo Sans 300" w:cs="Times New Roman"/>
        </w:rPr>
        <w:t xml:space="preserve"> del año</w:t>
      </w:r>
      <w:r w:rsidR="009825DE" w:rsidRPr="00200865">
        <w:rPr>
          <w:rFonts w:ascii="Museo Sans 300" w:eastAsia="Calibri" w:hAnsi="Museo Sans 300" w:cs="Times New Roman"/>
        </w:rPr>
        <w:t xml:space="preserve"> dos mil dieciocho hasta junio</w:t>
      </w:r>
      <w:r w:rsidRPr="00200865">
        <w:rPr>
          <w:rFonts w:ascii="Museo Sans 300" w:eastAsia="Calibri" w:hAnsi="Museo Sans 300" w:cs="Times New Roman"/>
        </w:rPr>
        <w:t xml:space="preserve"> de dos mil diecinueve </w:t>
      </w:r>
      <w:r w:rsidRPr="00031B9E">
        <w:rPr>
          <w:rFonts w:ascii="Museo Sans 300" w:eastAsia="Calibri" w:hAnsi="Museo Sans 300" w:cs="Times New Roman"/>
        </w:rPr>
        <w:t xml:space="preserve">en los suministros de energía eléctrica instalados en </w:t>
      </w:r>
      <w:r w:rsidR="001B121A">
        <w:rPr>
          <w:rFonts w:ascii="Museo Sans 300" w:hAnsi="Museo Sans 300"/>
          <w:lang w:val="es-ES_tradnl"/>
        </w:rPr>
        <w:t xml:space="preserve">la </w:t>
      </w:r>
      <w:r w:rsidR="00DC77F3">
        <w:rPr>
          <w:rFonts w:ascii="Museo Sans 300" w:hAnsi="Museo Sans 300"/>
          <w:lang w:val="es-ES_tradnl"/>
        </w:rPr>
        <w:t>XXXXXXXXXXXXXXXXXXXXXXXX</w:t>
      </w:r>
      <w:r w:rsidRPr="00031B9E">
        <w:rPr>
          <w:rFonts w:ascii="Museo Sans 300" w:eastAsia="Calibri" w:hAnsi="Museo Sans 300" w:cs="Times New Roman"/>
        </w:rPr>
        <w:t xml:space="preserve">. </w:t>
      </w:r>
    </w:p>
    <w:p w:rsidR="00031B9E" w:rsidRPr="00DB523D" w:rsidRDefault="00031B9E" w:rsidP="00031B9E">
      <w:pPr>
        <w:tabs>
          <w:tab w:val="left" w:pos="993"/>
        </w:tabs>
        <w:spacing w:after="200" w:line="0" w:lineRule="atLeast"/>
        <w:ind w:left="567"/>
        <w:jc w:val="both"/>
        <w:rPr>
          <w:rFonts w:ascii="Museo Sans 500" w:eastAsia="Calibri" w:hAnsi="Museo Sans 500" w:cs="Times New Roman"/>
          <w:b/>
        </w:rPr>
      </w:pPr>
      <w:proofErr w:type="gramStart"/>
      <w:r w:rsidRPr="00DB523D">
        <w:rPr>
          <w:rFonts w:ascii="Museo Sans 500" w:eastAsia="Calibri" w:hAnsi="Museo Sans 500" w:cs="Times New Roman"/>
          <w:b/>
        </w:rPr>
        <w:t>2.B</w:t>
      </w:r>
      <w:proofErr w:type="gramEnd"/>
      <w:r w:rsidRPr="00DB523D">
        <w:rPr>
          <w:rFonts w:ascii="Museo Sans 500" w:eastAsia="Calibri" w:hAnsi="Museo Sans 500" w:cs="Times New Roman"/>
          <w:b/>
        </w:rPr>
        <w:t>.</w:t>
      </w:r>
      <w:r w:rsidRPr="00031B9E">
        <w:rPr>
          <w:rFonts w:ascii="Museo Sans 500" w:eastAsia="Calibri" w:hAnsi="Museo Sans 500" w:cs="Times New Roman"/>
          <w:b/>
        </w:rPr>
        <w:t xml:space="preserve"> </w:t>
      </w:r>
      <w:r w:rsidR="00213E0C" w:rsidRPr="00DB523D">
        <w:rPr>
          <w:rFonts w:ascii="Museo Sans 500" w:eastAsia="Calibri" w:hAnsi="Museo Sans 500" w:cs="Times New Roman"/>
          <w:b/>
        </w:rPr>
        <w:t xml:space="preserve">Circunstancias excepcionales a ponderar </w:t>
      </w:r>
    </w:p>
    <w:p w:rsidR="00031B9E" w:rsidRPr="00031B9E" w:rsidRDefault="00213E0C" w:rsidP="00031B9E">
      <w:pPr>
        <w:spacing w:after="0" w:line="240" w:lineRule="auto"/>
        <w:ind w:left="567"/>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C</w:t>
      </w:r>
      <w:r w:rsidR="00031B9E" w:rsidRPr="00031B9E">
        <w:rPr>
          <w:rFonts w:ascii="Museo Sans 300" w:eastAsia="Times New Roman" w:hAnsi="Museo Sans 300" w:cs="Times New Roman"/>
          <w:lang w:val="es-ES" w:eastAsia="es-ES"/>
        </w:rPr>
        <w:t>orresponde mencionar que, a pesar de no haberse presentado las pruebas pertinentes y conducentes por parte de la distribuidora para demostrar los eventos de caso fortuito o fuerza mayor, la superintendencia no es ajena a los hechos descritos en las declaraciones testimoniales e incidentes rela</w:t>
      </w:r>
      <w:r w:rsidR="00937248">
        <w:rPr>
          <w:rFonts w:ascii="Museo Sans 300" w:eastAsia="Times New Roman" w:hAnsi="Museo Sans 300" w:cs="Times New Roman"/>
          <w:lang w:val="es-ES" w:eastAsia="es-ES"/>
        </w:rPr>
        <w:t>tados por el personal encargado</w:t>
      </w:r>
      <w:r w:rsidR="00031B9E" w:rsidRPr="00031B9E">
        <w:rPr>
          <w:rFonts w:ascii="Museo Sans 300" w:eastAsia="Times New Roman" w:hAnsi="Museo Sans 300" w:cs="Times New Roman"/>
          <w:lang w:val="es-ES" w:eastAsia="es-ES"/>
        </w:rPr>
        <w:t xml:space="preserve"> de realizar el trabajo de campo en </w:t>
      </w:r>
      <w:r w:rsidR="0096632D">
        <w:rPr>
          <w:rFonts w:ascii="Museo Sans 300" w:hAnsi="Museo Sans 300"/>
          <w:lang w:val="es-ES_tradnl"/>
        </w:rPr>
        <w:t xml:space="preserve">la </w:t>
      </w:r>
      <w:r w:rsidR="00DC77F3">
        <w:rPr>
          <w:rFonts w:ascii="Museo Sans 300" w:hAnsi="Museo Sans 300"/>
          <w:lang w:val="es-ES_tradnl"/>
        </w:rPr>
        <w:t>XXXXXXXXXXXXXXXXXXXXXXXX</w:t>
      </w:r>
      <w:r w:rsidR="00031B9E" w:rsidRPr="00031B9E">
        <w:rPr>
          <w:rFonts w:ascii="Museo Sans 300" w:eastAsia="Times New Roman" w:hAnsi="Museo Sans 300" w:cs="Times New Roman"/>
          <w:lang w:val="es-ES" w:eastAsia="es-ES"/>
        </w:rPr>
        <w:t xml:space="preserve">, siendo necesario señalar que la naturaleza de la causal invocada por la distribuidora obliga a la SIGET a realizar un análisis de dicha situación. </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 </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En este punto, corresponde establecer que no existe punto de interés más importante en el derecho que la interpretación constitucional, que encuentra su expresión en la jurisprudencia de los órganos de la Corte Suprema de Justicia.</w:t>
      </w:r>
    </w:p>
    <w:p w:rsidR="00031B9E" w:rsidRPr="00031B9E" w:rsidRDefault="00031B9E" w:rsidP="00031B9E">
      <w:pPr>
        <w:tabs>
          <w:tab w:val="left" w:pos="284"/>
        </w:tabs>
        <w:spacing w:after="0" w:line="0" w:lineRule="atLeast"/>
        <w:ind w:left="567" w:firstLine="141"/>
        <w:jc w:val="both"/>
        <w:rPr>
          <w:rFonts w:ascii="Museo Sans 300" w:eastAsia="Calibri" w:hAnsi="Museo Sans 300" w:cs="Times New Roman"/>
        </w:rPr>
      </w:pPr>
    </w:p>
    <w:p w:rsidR="00031B9E" w:rsidRPr="00031B9E" w:rsidRDefault="00031B9E" w:rsidP="00031B9E">
      <w:pPr>
        <w:tabs>
          <w:tab w:val="left" w:pos="284"/>
        </w:tabs>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En razón de lo anterior, corresponde traer a colación que </w:t>
      </w:r>
      <w:r w:rsidRPr="00031B9E">
        <w:rPr>
          <w:rFonts w:ascii="Museo Sans 300" w:eastAsia="Calibri" w:hAnsi="Museo Sans 300" w:cs="Times New Roman"/>
          <w:lang w:val="es-MX"/>
        </w:rPr>
        <w:t xml:space="preserve">la jurisprudencia constitucional salvadoreña ha expresado lo siguiente: </w:t>
      </w:r>
      <w:r w:rsidRPr="00031B9E">
        <w:rPr>
          <w:rFonts w:ascii="Museo Sans 300" w:eastAsia="Calibri" w:hAnsi="Museo Sans 300" w:cs="Times New Roman"/>
          <w:i/>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031B9E">
        <w:rPr>
          <w:rFonts w:ascii="Museo Sans 300" w:eastAsia="Calibri" w:hAnsi="Museo Sans 300" w:cs="Times New Roman"/>
          <w:lang w:val="es-MX"/>
        </w:rPr>
        <w:t>(Sentencia de 23-III-2001, Inc. 8-97, Considerando IX 2).</w:t>
      </w:r>
    </w:p>
    <w:p w:rsidR="00031B9E" w:rsidRPr="00031B9E" w:rsidRDefault="00031B9E" w:rsidP="00031B9E">
      <w:pPr>
        <w:tabs>
          <w:tab w:val="left" w:pos="284"/>
        </w:tabs>
        <w:spacing w:after="20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En relación con la jurisprudencia citada, la Junta de Directores de esta superintendencia en un caso similar al planteado por los usuarios </w:t>
      </w:r>
      <w:r w:rsidR="007D1833">
        <w:rPr>
          <w:rFonts w:ascii="Museo Sans 300" w:eastAsia="Calibri" w:hAnsi="Museo Sans 300" w:cs="Times New Roman"/>
        </w:rPr>
        <w:t xml:space="preserve">de </w:t>
      </w:r>
      <w:r w:rsidR="003D367D">
        <w:rPr>
          <w:rFonts w:ascii="Museo Sans 300" w:hAnsi="Museo Sans 300"/>
          <w:lang w:val="es-ES_tradnl"/>
        </w:rPr>
        <w:t xml:space="preserve">la </w:t>
      </w:r>
      <w:r w:rsidR="00DC77F3">
        <w:rPr>
          <w:rFonts w:ascii="Museo Sans 300" w:hAnsi="Museo Sans 300"/>
          <w:lang w:val="es-ES_tradnl"/>
        </w:rPr>
        <w:t>XXXXXXXXXXXXXXXXXXXXXXXX</w:t>
      </w:r>
      <w:r w:rsidRPr="00031B9E">
        <w:rPr>
          <w:rFonts w:ascii="Museo Sans 300" w:eastAsia="Calibri" w:hAnsi="Museo Sans 300" w:cs="Times New Roman"/>
        </w:rPr>
        <w:t>, emitió la sentencia N.</w:t>
      </w:r>
      <w:r w:rsidR="00213E0C">
        <w:rPr>
          <w:rFonts w:ascii="Museo Sans 300" w:eastAsia="Calibri" w:hAnsi="Museo Sans 300" w:cs="Times New Roman"/>
        </w:rPr>
        <w:t>°</w:t>
      </w:r>
      <w:r w:rsidRPr="00031B9E">
        <w:rPr>
          <w:rFonts w:ascii="Museo Sans 300" w:eastAsia="Calibri" w:hAnsi="Museo Sans 300" w:cs="Times New Roman"/>
        </w:rPr>
        <w:t xml:space="preserve"> 055-E-2017, estableciendo lo siguiente:</w:t>
      </w:r>
    </w:p>
    <w:p w:rsidR="00031B9E" w:rsidRPr="00031B9E" w:rsidRDefault="00031B9E" w:rsidP="00031B9E">
      <w:pPr>
        <w:spacing w:after="0" w:line="240" w:lineRule="auto"/>
        <w:ind w:left="851" w:right="567"/>
        <w:jc w:val="both"/>
        <w:rPr>
          <w:rFonts w:ascii="Museo 300" w:eastAsia="Times New Roman" w:hAnsi="Museo 300" w:cs="Times New Roman"/>
          <w:sz w:val="18"/>
          <w:szCs w:val="18"/>
          <w:lang w:val="es-ES" w:eastAsia="es-ES"/>
        </w:rPr>
      </w:pPr>
      <w:r w:rsidRPr="00031B9E">
        <w:rPr>
          <w:rFonts w:ascii="Museo 300" w:eastAsia="Times New Roman" w:hAnsi="Museo 300" w:cs="Times New Roman"/>
          <w:sz w:val="18"/>
          <w:szCs w:val="18"/>
          <w:lang w:val="es-ES" w:eastAsia="es-ES"/>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rsidR="00031B9E" w:rsidRPr="00031B9E" w:rsidRDefault="00031B9E" w:rsidP="00031B9E">
      <w:pPr>
        <w:spacing w:after="0" w:line="240" w:lineRule="auto"/>
        <w:ind w:left="851" w:right="567"/>
        <w:jc w:val="both"/>
        <w:rPr>
          <w:rFonts w:ascii="Museo 300" w:eastAsia="Calibri" w:hAnsi="Museo 300" w:cs="Times New Roman"/>
          <w:sz w:val="18"/>
          <w:szCs w:val="18"/>
        </w:rPr>
      </w:pPr>
    </w:p>
    <w:p w:rsidR="00031B9E" w:rsidRPr="00031B9E" w:rsidRDefault="00031B9E" w:rsidP="00031B9E">
      <w:pPr>
        <w:spacing w:after="0" w:line="240" w:lineRule="auto"/>
        <w:ind w:left="851" w:right="567"/>
        <w:jc w:val="both"/>
        <w:rPr>
          <w:rFonts w:ascii="Museo 300" w:eastAsia="Calibri" w:hAnsi="Museo 300" w:cs="Times New Roman"/>
          <w:sz w:val="18"/>
          <w:szCs w:val="18"/>
        </w:rPr>
      </w:pPr>
      <w:r w:rsidRPr="00031B9E">
        <w:rPr>
          <w:rFonts w:ascii="Museo 300" w:eastAsia="Calibri" w:hAnsi="Museo 300" w:cs="Times New Roman"/>
          <w:sz w:val="18"/>
          <w:szCs w:val="18"/>
        </w:rPr>
        <w:t>CONCLUSIONES […]</w:t>
      </w:r>
    </w:p>
    <w:p w:rsidR="00031B9E" w:rsidRPr="00031B9E" w:rsidRDefault="00031B9E" w:rsidP="00031B9E">
      <w:pPr>
        <w:spacing w:after="0" w:line="240" w:lineRule="auto"/>
        <w:ind w:left="851" w:right="567"/>
        <w:jc w:val="both"/>
        <w:rPr>
          <w:rFonts w:ascii="Museo 300" w:eastAsia="Calibri" w:hAnsi="Museo 300" w:cs="Times New Roman"/>
          <w:sz w:val="18"/>
          <w:szCs w:val="18"/>
        </w:rPr>
      </w:pPr>
    </w:p>
    <w:p w:rsidR="00031B9E" w:rsidRPr="00031B9E" w:rsidRDefault="00031B9E" w:rsidP="00031B9E">
      <w:pPr>
        <w:numPr>
          <w:ilvl w:val="0"/>
          <w:numId w:val="13"/>
        </w:numPr>
        <w:tabs>
          <w:tab w:val="left" w:pos="567"/>
        </w:tabs>
        <w:spacing w:after="0" w:line="240" w:lineRule="auto"/>
        <w:ind w:left="1134" w:right="567" w:hanging="141"/>
        <w:jc w:val="both"/>
        <w:rPr>
          <w:rFonts w:ascii="Museo 300" w:eastAsia="Times New Roman" w:hAnsi="Museo 300" w:cs="Times New Roman"/>
          <w:sz w:val="18"/>
          <w:szCs w:val="18"/>
          <w:lang w:val="es-ES" w:eastAsia="es-ES"/>
        </w:rPr>
      </w:pPr>
      <w:r w:rsidRPr="00031B9E">
        <w:rPr>
          <w:rFonts w:ascii="Museo 300" w:eastAsia="Times New Roman" w:hAnsi="Museo 300" w:cs="Times New Roman"/>
          <w:sz w:val="18"/>
          <w:szCs w:val="18"/>
          <w:lang w:val="es-ES" w:eastAsia="es-ES"/>
        </w:rPr>
        <w:t xml:space="preserve">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w:t>
      </w:r>
      <w:r w:rsidR="00DC77F3">
        <w:rPr>
          <w:rFonts w:ascii="Museo 300" w:eastAsia="Times New Roman" w:hAnsi="Museo 300" w:cs="Times New Roman"/>
          <w:sz w:val="18"/>
          <w:szCs w:val="18"/>
          <w:lang w:val="es-ES" w:eastAsia="es-ES"/>
        </w:rPr>
        <w:t>XXXXXXXXXXXXXXXXXXXXXXXX</w:t>
      </w:r>
      <w:r w:rsidR="00D96673">
        <w:rPr>
          <w:rFonts w:ascii="Museo 300" w:eastAsia="Times New Roman" w:hAnsi="Museo 300" w:cs="Times New Roman"/>
          <w:sz w:val="18"/>
          <w:szCs w:val="18"/>
          <w:lang w:val="es-ES" w:eastAsia="es-ES"/>
        </w:rPr>
        <w:t xml:space="preserve"> </w:t>
      </w:r>
      <w:r w:rsidRPr="00031B9E">
        <w:rPr>
          <w:rFonts w:ascii="Museo 300" w:eastAsia="Times New Roman" w:hAnsi="Museo 300" w:cs="Times New Roman"/>
          <w:sz w:val="18"/>
          <w:szCs w:val="18"/>
          <w:lang w:val="es-ES" w:eastAsia="es-ES"/>
        </w:rPr>
        <w:t>tiene el derecho a que los usuarios paguen lo correspondiente a la energía eléctrica que efectivamente consumieron. […]</w:t>
      </w:r>
      <w:r w:rsidR="007D1833">
        <w:rPr>
          <w:rFonts w:ascii="Museo 300" w:eastAsia="Times New Roman" w:hAnsi="Museo 300" w:cs="Times New Roman"/>
          <w:sz w:val="18"/>
          <w:szCs w:val="18"/>
          <w:lang w:val="es-ES" w:eastAsia="es-ES"/>
        </w:rPr>
        <w:t>”.</w:t>
      </w:r>
    </w:p>
    <w:p w:rsidR="00031B9E" w:rsidRPr="00031B9E" w:rsidRDefault="00031B9E" w:rsidP="00031B9E">
      <w:pPr>
        <w:spacing w:after="0" w:line="240" w:lineRule="auto"/>
        <w:ind w:left="708"/>
        <w:rPr>
          <w:rFonts w:ascii="Museo Sans 300" w:eastAsia="Times New Roman" w:hAnsi="Museo Sans 300" w:cs="Times New Roman"/>
          <w:sz w:val="24"/>
          <w:szCs w:val="24"/>
          <w:lang w:val="es-ES" w:eastAsia="es-ES"/>
        </w:rPr>
      </w:pP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Respecto de lo anterior, esta superintendencia valora que en situaciones especiales </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condiciones de inseguridad</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 xml:space="preserve">, debe tomarse en cuenta el valor justicia y ponderar si la circunstancia técnica </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estimación y/o acumulación de consumos</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 xml:space="preserve"> y la consecuencia</w:t>
      </w:r>
      <w:r w:rsidR="007D1833">
        <w:rPr>
          <w:rFonts w:ascii="Museo Sans 300" w:eastAsia="Times New Roman" w:hAnsi="Museo Sans 300" w:cs="Times New Roman"/>
          <w:lang w:val="es-ES" w:eastAsia="es-ES"/>
        </w:rPr>
        <w:t xml:space="preserve"> —</w:t>
      </w:r>
      <w:r w:rsidRPr="00031B9E">
        <w:rPr>
          <w:rFonts w:ascii="Museo Sans 300" w:eastAsia="Times New Roman" w:hAnsi="Museo Sans 300" w:cs="Times New Roman"/>
          <w:lang w:val="es-ES" w:eastAsia="es-ES"/>
        </w:rPr>
        <w:t>reintegro de lo cobrado en concepto de consumo de energía eléctrica</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 xml:space="preserve">, guardan proporción con los fines perseguidos por la </w:t>
      </w:r>
      <w:r w:rsidR="007D1833">
        <w:rPr>
          <w:rFonts w:ascii="Museo Sans 300" w:eastAsia="Times New Roman" w:hAnsi="Museo Sans 300" w:cs="Times New Roman"/>
          <w:lang w:val="es-ES" w:eastAsia="es-ES"/>
        </w:rPr>
        <w:t>l</w:t>
      </w:r>
      <w:r w:rsidRPr="00031B9E">
        <w:rPr>
          <w:rFonts w:ascii="Museo Sans 300" w:eastAsia="Times New Roman" w:hAnsi="Museo Sans 300" w:cs="Times New Roman"/>
          <w:lang w:val="es-ES" w:eastAsia="es-ES"/>
        </w:rPr>
        <w:t>ey aplicable y la Constitución.</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p>
    <w:p w:rsidR="00031B9E" w:rsidRPr="00C020B8" w:rsidRDefault="00031B9E" w:rsidP="00031B9E">
      <w:pPr>
        <w:tabs>
          <w:tab w:val="left" w:pos="284"/>
        </w:tabs>
        <w:spacing w:after="0" w:line="0" w:lineRule="atLeast"/>
        <w:ind w:left="567"/>
        <w:jc w:val="both"/>
        <w:rPr>
          <w:rFonts w:ascii="Museo Sans 300" w:eastAsia="Calibri" w:hAnsi="Museo Sans 300" w:cs="Times New Roman"/>
        </w:rPr>
      </w:pPr>
      <w:r w:rsidRPr="00C020B8">
        <w:rPr>
          <w:rFonts w:ascii="Museo Sans 300" w:eastAsia="Calibri" w:hAnsi="Museo Sans 300" w:cs="Times New Roman"/>
        </w:rPr>
        <w:t>En el presente caso, debe tenerse en cuenta los hechos siguientes:</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p>
    <w:p w:rsidR="00031B9E" w:rsidRPr="00031B9E" w:rsidRDefault="00031B9E" w:rsidP="00031B9E">
      <w:pPr>
        <w:numPr>
          <w:ilvl w:val="0"/>
          <w:numId w:val="10"/>
        </w:numPr>
        <w:spacing w:after="0" w:line="240" w:lineRule="auto"/>
        <w:ind w:left="851" w:hanging="153"/>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A pesar </w:t>
      </w:r>
      <w:r w:rsidR="007D1833">
        <w:rPr>
          <w:rFonts w:ascii="Museo Sans 300" w:eastAsia="Times New Roman" w:hAnsi="Museo Sans 300" w:cs="Times New Roman"/>
          <w:lang w:val="es-ES" w:eastAsia="es-ES"/>
        </w:rPr>
        <w:t xml:space="preserve">de </w:t>
      </w:r>
      <w:r w:rsidRPr="00031B9E">
        <w:rPr>
          <w:rFonts w:ascii="Museo Sans 300" w:eastAsia="Times New Roman" w:hAnsi="Museo Sans 300" w:cs="Times New Roman"/>
          <w:lang w:val="es-ES" w:eastAsia="es-ES"/>
        </w:rPr>
        <w:t xml:space="preserve">que las pruebas presentadas por la sociedad </w:t>
      </w:r>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 no cumplieron los requisitos formales que exige la normativa para dotarla de excepcionalidad, existen evidencias de situaciones que pudieron atentar contra la integridad física de los trabajadores contratados por la distribuidora; y,</w:t>
      </w:r>
    </w:p>
    <w:p w:rsidR="00031B9E" w:rsidRPr="00031B9E" w:rsidRDefault="00031B9E" w:rsidP="00031B9E">
      <w:pPr>
        <w:spacing w:after="0" w:line="240" w:lineRule="auto"/>
        <w:ind w:left="708"/>
        <w:jc w:val="both"/>
        <w:rPr>
          <w:rFonts w:ascii="Museo Sans 300" w:eastAsia="Times New Roman" w:hAnsi="Museo Sans 300" w:cs="Times New Roman"/>
          <w:lang w:val="es-ES" w:eastAsia="es-ES"/>
        </w:rPr>
      </w:pPr>
    </w:p>
    <w:p w:rsidR="00031B9E" w:rsidRPr="00031B9E" w:rsidRDefault="00031B9E" w:rsidP="00031B9E">
      <w:pPr>
        <w:numPr>
          <w:ilvl w:val="0"/>
          <w:numId w:val="10"/>
        </w:numPr>
        <w:spacing w:after="0" w:line="240" w:lineRule="auto"/>
        <w:ind w:left="851" w:hanging="153"/>
        <w:contextualSpacing/>
        <w:jc w:val="both"/>
        <w:rPr>
          <w:rFonts w:ascii="Museo Sans 300" w:eastAsia="Times New Roman" w:hAnsi="Museo Sans 300" w:cs="Times New Roman"/>
          <w:sz w:val="24"/>
          <w:szCs w:val="24"/>
          <w:lang w:val="es-ES" w:eastAsia="es-ES"/>
        </w:rPr>
      </w:pPr>
      <w:r w:rsidRPr="00031B9E">
        <w:rPr>
          <w:rFonts w:ascii="Museo Sans 300" w:eastAsia="Times New Roman" w:hAnsi="Museo Sans 300" w:cs="Times New Roman"/>
          <w:lang w:val="es-ES" w:eastAsia="es-ES"/>
        </w:rPr>
        <w:t>El servicio de energía eléctrica no dejó de ser suministrado a los usuarios.</w:t>
      </w:r>
    </w:p>
    <w:p w:rsidR="00031B9E" w:rsidRPr="00031B9E" w:rsidRDefault="00031B9E" w:rsidP="00031B9E">
      <w:pPr>
        <w:spacing w:after="0" w:line="240" w:lineRule="auto"/>
        <w:ind w:left="708"/>
        <w:rPr>
          <w:rFonts w:ascii="Museo Sans 300" w:eastAsia="Times New Roman" w:hAnsi="Museo Sans 300" w:cs="Times New Roman"/>
          <w:sz w:val="24"/>
          <w:szCs w:val="24"/>
          <w:lang w:val="es-ES" w:eastAsia="es-ES"/>
        </w:rPr>
      </w:pP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r w:rsidRPr="00031B9E">
        <w:rPr>
          <w:rFonts w:ascii="Museo Sans 300" w:eastAsia="Calibri" w:hAnsi="Museo Sans 300" w:cs="Times New Roman"/>
        </w:rPr>
        <w:t xml:space="preserve">Sobre lo anterior, al aplicar el valor justicia a las situaciones descritas y al marco regulatorio, esta superintendencia considera que la sociedad </w:t>
      </w:r>
      <w:r w:rsidR="00DC77F3">
        <w:rPr>
          <w:rFonts w:ascii="Museo Sans 300" w:eastAsia="Calibri" w:hAnsi="Museo Sans 300" w:cs="Times New Roman"/>
        </w:rPr>
        <w:t>XXXXXXXXXXXXXXXXXXXXXXXX</w:t>
      </w:r>
      <w:r w:rsidRPr="00031B9E">
        <w:rPr>
          <w:rFonts w:ascii="Museo Sans 300" w:eastAsia="Calibri" w:hAnsi="Museo Sans 300" w:cs="Times New Roman"/>
        </w:rPr>
        <w:t xml:space="preserve">, tiene el derecho a que </w:t>
      </w:r>
      <w:r w:rsidRPr="00031B9E">
        <w:rPr>
          <w:rFonts w:ascii="Museo Sans 300" w:eastAsia="Calibri" w:hAnsi="Museo Sans 300" w:cs="Times New Roman"/>
          <w:bCs/>
        </w:rPr>
        <w:t>los usuarios que residen en la</w:t>
      </w:r>
      <w:r w:rsidR="002963C1">
        <w:rPr>
          <w:rFonts w:ascii="Museo Sans 300" w:eastAsia="Calibri" w:hAnsi="Museo Sans 300" w:cs="Times New Roman"/>
          <w:bCs/>
        </w:rPr>
        <w:t xml:space="preserve"> </w:t>
      </w:r>
      <w:r w:rsidR="00DC77F3">
        <w:rPr>
          <w:rFonts w:ascii="Museo Sans 300" w:hAnsi="Museo Sans 300"/>
          <w:lang w:val="es-ES_tradnl"/>
        </w:rPr>
        <w:t>XXXXXXXXXXXXXXXXXXXXXXXX</w:t>
      </w:r>
      <w:r w:rsidRPr="00031B9E">
        <w:rPr>
          <w:rFonts w:ascii="Museo Sans 300" w:eastAsia="Calibri" w:hAnsi="Museo Sans 300" w:cs="Times New Roman"/>
        </w:rPr>
        <w:t>, paguen lo correspondiente a la energía eléctrica que consumieron durante el período en que se acumularon los cobros. Debiendo esta Institución verificar que dicho cobro obedezca al consumo real de los usuarios.</w:t>
      </w:r>
      <w:r w:rsidR="00645052">
        <w:rPr>
          <w:rFonts w:ascii="Museo Sans 300" w:eastAsia="Calibri" w:hAnsi="Museo Sans 300" w:cs="Times New Roman"/>
        </w:rPr>
        <w:t xml:space="preserve"> </w:t>
      </w:r>
    </w:p>
    <w:p w:rsidR="00031B9E" w:rsidRPr="00031B9E" w:rsidRDefault="00031B9E" w:rsidP="00031B9E">
      <w:pPr>
        <w:tabs>
          <w:tab w:val="left" w:pos="284"/>
        </w:tabs>
        <w:spacing w:after="0" w:line="0" w:lineRule="atLeast"/>
        <w:ind w:left="567"/>
        <w:jc w:val="both"/>
        <w:rPr>
          <w:rFonts w:ascii="Museo Sans 300" w:eastAsia="Calibri" w:hAnsi="Museo Sans 300" w:cs="Times New Roman"/>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Basado en lo anterior, la </w:t>
      </w:r>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 xml:space="preserve"> S. en C. de C.V. en un plazo máximo de diez días hábiles contados a partir del día siguiente a la notificación de este acuerdo, debe remitir al C</w:t>
      </w:r>
      <w:r w:rsidR="007D1833">
        <w:rPr>
          <w:rFonts w:ascii="Museo Sans 300" w:eastAsia="Times New Roman" w:hAnsi="Museo Sans 300" w:cs="Times New Roman"/>
          <w:lang w:val="es-ES" w:eastAsia="es-ES"/>
        </w:rPr>
        <w:t xml:space="preserve">entro de </w:t>
      </w:r>
      <w:r w:rsidRPr="00031B9E">
        <w:rPr>
          <w:rFonts w:ascii="Museo Sans 300" w:eastAsia="Times New Roman" w:hAnsi="Museo Sans 300" w:cs="Times New Roman"/>
          <w:lang w:val="es-ES" w:eastAsia="es-ES"/>
        </w:rPr>
        <w:t>A</w:t>
      </w:r>
      <w:r w:rsidR="007D1833">
        <w:rPr>
          <w:rFonts w:ascii="Museo Sans 300" w:eastAsia="Times New Roman" w:hAnsi="Museo Sans 300" w:cs="Times New Roman"/>
          <w:lang w:val="es-ES" w:eastAsia="es-ES"/>
        </w:rPr>
        <w:t xml:space="preserve">tención al </w:t>
      </w:r>
      <w:r w:rsidRPr="00031B9E">
        <w:rPr>
          <w:rFonts w:ascii="Museo Sans 300" w:eastAsia="Times New Roman" w:hAnsi="Museo Sans 300" w:cs="Times New Roman"/>
          <w:lang w:val="es-ES" w:eastAsia="es-ES"/>
        </w:rPr>
        <w:t>U</w:t>
      </w:r>
      <w:r w:rsidR="007D1833">
        <w:rPr>
          <w:rFonts w:ascii="Museo Sans 300" w:eastAsia="Times New Roman" w:hAnsi="Museo Sans 300" w:cs="Times New Roman"/>
          <w:lang w:val="es-ES" w:eastAsia="es-ES"/>
        </w:rPr>
        <w:t>suario (CAU)</w:t>
      </w:r>
      <w:r w:rsidRPr="00031B9E">
        <w:rPr>
          <w:rFonts w:ascii="Museo Sans 300" w:eastAsia="Times New Roman" w:hAnsi="Museo Sans 300" w:cs="Times New Roman"/>
          <w:lang w:val="es-ES" w:eastAsia="es-ES"/>
        </w:rPr>
        <w:t xml:space="preserve"> de la SIGET los cálculos del consumo real </w:t>
      </w:r>
      <w:r w:rsidRPr="00031B9E">
        <w:rPr>
          <w:rFonts w:ascii="Museo Sans 300" w:eastAsia="Calibri" w:hAnsi="Museo Sans 300" w:cs="Times New Roman"/>
          <w:lang w:val="es-ES" w:eastAsia="es-ES"/>
        </w:rPr>
        <w:t>en</w:t>
      </w:r>
      <w:r w:rsidRPr="00031B9E">
        <w:rPr>
          <w:rFonts w:ascii="Museo Sans 300" w:eastAsia="Times New Roman" w:hAnsi="Museo Sans 300" w:cs="Times New Roman"/>
          <w:color w:val="000000"/>
          <w:lang w:val="es-ES" w:eastAsia="es-ES"/>
        </w:rPr>
        <w:t xml:space="preserve"> </w:t>
      </w:r>
      <w:r w:rsidRPr="00031B9E">
        <w:rPr>
          <w:rFonts w:ascii="Museo Sans 300" w:eastAsia="Times New Roman" w:hAnsi="Museo Sans 300" w:cs="Times New Roman"/>
          <w:lang w:val="es-ES" w:eastAsia="es-ES"/>
        </w:rPr>
        <w:t xml:space="preserve">los </w:t>
      </w:r>
      <w:r w:rsidRPr="00031B9E">
        <w:rPr>
          <w:rFonts w:ascii="Museo Sans 300" w:eastAsia="Times New Roman" w:hAnsi="Museo Sans 300" w:cs="Times New Roman"/>
          <w:color w:val="000000"/>
          <w:lang w:val="es-ES" w:eastAsia="es-ES"/>
        </w:rPr>
        <w:t xml:space="preserve">suministros </w:t>
      </w:r>
      <w:r w:rsidR="00645052">
        <w:rPr>
          <w:rFonts w:ascii="Museo Sans 300" w:eastAsia="Times New Roman" w:hAnsi="Museo Sans 300" w:cs="Times New Roman"/>
          <w:bCs/>
          <w:color w:val="000000"/>
          <w:lang w:eastAsia="es-ES"/>
        </w:rPr>
        <w:t>de la</w:t>
      </w:r>
      <w:r w:rsidRPr="00031B9E">
        <w:rPr>
          <w:rFonts w:ascii="Museo Sans 300" w:eastAsia="Times New Roman" w:hAnsi="Museo Sans 300" w:cs="Times New Roman"/>
          <w:bCs/>
          <w:color w:val="000000"/>
          <w:lang w:eastAsia="es-ES"/>
        </w:rPr>
        <w:t xml:space="preserve"> </w:t>
      </w:r>
      <w:r w:rsidR="00DC77F3">
        <w:rPr>
          <w:rFonts w:ascii="Museo Sans 300" w:hAnsi="Museo Sans 300"/>
          <w:lang w:val="es-ES_tradnl"/>
        </w:rPr>
        <w:t>XXXXXXXXXXXXXXXXXXXXXXXX</w:t>
      </w:r>
      <w:r w:rsidRPr="00031B9E">
        <w:rPr>
          <w:rFonts w:ascii="Museo Sans 300" w:eastAsia="Times New Roman" w:hAnsi="Museo Sans 300" w:cs="Times New Roman"/>
          <w:lang w:val="es-ES" w:eastAsia="es-ES"/>
        </w:rPr>
        <w:t xml:space="preserve">.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Una vez remitidos dichos datos, el </w:t>
      </w:r>
      <w:r w:rsidR="007D1833">
        <w:rPr>
          <w:rFonts w:ascii="Museo Sans 300" w:eastAsia="Times New Roman" w:hAnsi="Museo Sans 300" w:cs="Times New Roman"/>
          <w:lang w:val="es-ES" w:eastAsia="es-ES"/>
        </w:rPr>
        <w:t>CAU</w:t>
      </w:r>
      <w:r w:rsidRPr="00031B9E">
        <w:rPr>
          <w:rFonts w:ascii="Museo Sans 300" w:eastAsia="Times New Roman" w:hAnsi="Museo Sans 300" w:cs="Times New Roman"/>
          <w:lang w:val="es-ES" w:eastAsia="es-ES"/>
        </w:rPr>
        <w:t xml:space="preserve"> debe rendir en un plazo de diez días hábiles contados a partir del día siguiente al de la recepción de dicha información un informe técnico en el que corrija o ratifique los cobros respectivos. Si los usuarios ya han realizado el pago de lo cobrado retroactivamente, será preciso que verifique si lo cancelado se ajusta a su consumo real de energía eléctrica. Si han pagado cantidades mayores, la distribuidora deberá realizar el reintegro de lo cancelado en exceso; en caso contrario, si los usuarios no han cancelado cantidad alguna, se deberá otorgar un plan de pagos, lo suficientemente amplio, </w:t>
      </w:r>
      <w:r w:rsidR="007D1833">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inclusive superiores a los establecidos en los términos y condiciones</w:t>
      </w:r>
      <w:r w:rsidR="007D1833">
        <w:rPr>
          <w:rFonts w:ascii="Museo Sans 300" w:eastAsia="Times New Roman" w:hAnsi="Museo Sans 300" w:cs="Times New Roman"/>
          <w:lang w:val="es-ES" w:eastAsia="es-ES"/>
        </w:rPr>
        <w:t>—</w:t>
      </w:r>
      <w:r w:rsidR="007D1833" w:rsidRPr="00031B9E">
        <w:rPr>
          <w:rFonts w:ascii="Museo Sans 300" w:eastAsia="Times New Roman" w:hAnsi="Museo Sans 300" w:cs="Times New Roman"/>
          <w:lang w:val="es-ES" w:eastAsia="es-ES"/>
        </w:rPr>
        <w:t xml:space="preserve"> </w:t>
      </w:r>
      <w:r w:rsidRPr="00031B9E">
        <w:rPr>
          <w:rFonts w:ascii="Museo Sans 300" w:eastAsia="Times New Roman" w:hAnsi="Museo Sans 300" w:cs="Times New Roman"/>
          <w:lang w:val="es-ES" w:eastAsia="es-ES"/>
        </w:rPr>
        <w:t xml:space="preserve">considerando la excepción que incluye esta situación no regulada y así garantizar que no afecte la economía familiar.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En tal sentido la distribuidora deberá informar mensualmente mediante una calendarización revisada por esta superintendencia, los avances en el pago o devolución de los usuarios hasta que se pongan al día. Sobre dicho plan de pagos también deberá revisarse y pronunciarse. </w:t>
      </w:r>
    </w:p>
    <w:p w:rsidR="00031B9E" w:rsidRPr="00031B9E" w:rsidRDefault="00031B9E" w:rsidP="00031B9E">
      <w:pPr>
        <w:tabs>
          <w:tab w:val="left" w:pos="284"/>
        </w:tabs>
        <w:spacing w:after="0" w:line="0" w:lineRule="atLeast"/>
        <w:ind w:left="567"/>
        <w:jc w:val="both"/>
        <w:rPr>
          <w:rFonts w:ascii="Museo Sans 300" w:eastAsia="Times New Roman" w:hAnsi="Museo Sans 300" w:cs="Times New Roman"/>
          <w:b/>
          <w:lang w:val="es-ES" w:eastAsia="es-ES"/>
        </w:rPr>
      </w:pPr>
    </w:p>
    <w:p w:rsidR="00031B9E" w:rsidRPr="00DB523D" w:rsidRDefault="00031B9E" w:rsidP="00031B9E">
      <w:pPr>
        <w:tabs>
          <w:tab w:val="left" w:pos="993"/>
        </w:tabs>
        <w:spacing w:after="200" w:line="0" w:lineRule="atLeast"/>
        <w:ind w:left="567"/>
        <w:jc w:val="both"/>
        <w:rPr>
          <w:rFonts w:ascii="Museo Sans 500" w:eastAsia="Calibri" w:hAnsi="Museo Sans 500" w:cs="Times New Roman"/>
          <w:b/>
        </w:rPr>
      </w:pPr>
      <w:proofErr w:type="gramStart"/>
      <w:r w:rsidRPr="00DB523D">
        <w:rPr>
          <w:rFonts w:ascii="Museo Sans 500" w:eastAsia="Calibri" w:hAnsi="Museo Sans 500" w:cs="Times New Roman"/>
          <w:b/>
        </w:rPr>
        <w:t>2.C</w:t>
      </w:r>
      <w:proofErr w:type="gramEnd"/>
      <w:r w:rsidRPr="00DB523D">
        <w:rPr>
          <w:rFonts w:ascii="Museo Sans 500" w:eastAsia="Calibri" w:hAnsi="Museo Sans 500" w:cs="Times New Roman"/>
          <w:b/>
        </w:rPr>
        <w:t xml:space="preserve">. </w:t>
      </w:r>
      <w:r w:rsidR="00213E0C" w:rsidRPr="00DB523D">
        <w:rPr>
          <w:rFonts w:ascii="Museo Sans 500" w:eastAsia="Calibri" w:hAnsi="Museo Sans 500" w:cs="Times New Roman"/>
          <w:b/>
        </w:rPr>
        <w:t>Incumplimiento a la gestión comercial</w:t>
      </w: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Artículos 73 </w:t>
      </w:r>
      <w:proofErr w:type="gramStart"/>
      <w:r w:rsidRPr="00031B9E">
        <w:rPr>
          <w:rFonts w:ascii="Museo Sans 300" w:eastAsia="Times New Roman" w:hAnsi="Museo Sans 300" w:cs="Times New Roman"/>
          <w:lang w:val="es-ES" w:eastAsia="es-ES"/>
        </w:rPr>
        <w:t>denominado</w:t>
      </w:r>
      <w:proofErr w:type="gramEnd"/>
      <w:r w:rsidRPr="00031B9E">
        <w:rPr>
          <w:rFonts w:ascii="Museo Sans 300" w:eastAsia="Times New Roman" w:hAnsi="Museo Sans 300" w:cs="Times New Roman"/>
          <w:lang w:val="es-ES" w:eastAsia="es-ES"/>
        </w:rPr>
        <w:t>: Índices de Calidad del Servicio Comercial Garantizados a cada usuario y 80.c. denominado Compensación por Incumplimiento a los Niveles de la Calidad de Servicio Comercial Garantizado a Cada Cliente</w:t>
      </w:r>
      <w:r w:rsidRPr="00031B9E">
        <w:rPr>
          <w:rFonts w:ascii="Museo Sans 300" w:eastAsia="Times New Roman" w:hAnsi="Museo Sans 300" w:cs="Times New Roman"/>
          <w:color w:val="000000"/>
          <w:lang w:val="es-ES" w:eastAsia="es-ES"/>
        </w:rPr>
        <w:t>.</w:t>
      </w:r>
    </w:p>
    <w:p w:rsidR="00031B9E" w:rsidRPr="00031B9E" w:rsidRDefault="00031B9E" w:rsidP="00031B9E">
      <w:pPr>
        <w:tabs>
          <w:tab w:val="left" w:pos="284"/>
        </w:tabs>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En el caso concreto, se estableció que la distribuidora no realizó tomas de lecturas y estimó consumos de energía eléctrica en los suministros instalados en </w:t>
      </w:r>
      <w:r w:rsidR="00E81552">
        <w:rPr>
          <w:rFonts w:ascii="Museo Sans 300" w:eastAsia="Times New Roman" w:hAnsi="Museo Sans 300" w:cs="Times New Roman"/>
          <w:lang w:val="es-ES" w:eastAsia="es-ES"/>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bCs/>
          <w:lang w:eastAsia="es-SV"/>
        </w:rPr>
        <w:t>,</w:t>
      </w:r>
      <w:r w:rsidRPr="00031B9E">
        <w:rPr>
          <w:rFonts w:ascii="Museo Sans 300" w:eastAsia="Times New Roman" w:hAnsi="Museo Sans 300" w:cs="Times New Roman"/>
          <w:lang w:eastAsia="es-SV"/>
        </w:rPr>
        <w:t xml:space="preserve"> </w:t>
      </w:r>
      <w:r w:rsidRPr="00031B9E">
        <w:rPr>
          <w:rFonts w:ascii="Museo Sans 300" w:eastAsia="Times New Roman" w:hAnsi="Museo Sans 300" w:cs="Times New Roman"/>
          <w:lang w:val="es-ES" w:eastAsia="es-ES"/>
        </w:rPr>
        <w:t xml:space="preserve">por varios meses, por lo que existe un evidente incumplimiento a la calidad del servicio comercial. Como consecuencia de lo anterior, tiene la obligación de compensar a </w:t>
      </w:r>
      <w:r w:rsidR="007D1833">
        <w:rPr>
          <w:rFonts w:ascii="Museo Sans 300" w:eastAsia="Times New Roman" w:hAnsi="Museo Sans 300" w:cs="Times New Roman"/>
          <w:lang w:val="es-ES" w:eastAsia="es-ES"/>
        </w:rPr>
        <w:t>los usuarios</w:t>
      </w:r>
      <w:r w:rsidRPr="00031B9E">
        <w:rPr>
          <w:rFonts w:ascii="Museo Sans 300" w:eastAsia="Times New Roman" w:hAnsi="Museo Sans 300" w:cs="Times New Roman"/>
          <w:lang w:val="es-ES" w:eastAsia="es-ES"/>
        </w:rPr>
        <w:t xml:space="preserve"> con base en lo establecido en el artículo 80.c. de las Normas de Calidad del Servicio de los Sistemas de Distribución.</w:t>
      </w: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p>
    <w:p w:rsidR="00031B9E" w:rsidRPr="00031B9E" w:rsidRDefault="00031B9E" w:rsidP="00031B9E">
      <w:pPr>
        <w:spacing w:after="0" w:line="240" w:lineRule="auto"/>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A fin de verificar lo anterior, la sociedad </w:t>
      </w:r>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 xml:space="preserve">, en un plazo máximo de diez días hábiles contados a partir del día siguiente a la notificación de este acuerdo, debe remitir el cálculo de la devolución y/o compensación por incumplimiento a la gestión comercial </w:t>
      </w:r>
      <w:r w:rsidRPr="00031B9E">
        <w:rPr>
          <w:rFonts w:ascii="Museo Sans 300" w:eastAsia="Calibri" w:hAnsi="Museo Sans 300" w:cs="Times New Roman"/>
          <w:lang w:val="es-ES" w:eastAsia="es-ES"/>
        </w:rPr>
        <w:t>en</w:t>
      </w:r>
      <w:r w:rsidRPr="00031B9E">
        <w:rPr>
          <w:rFonts w:ascii="Museo Sans 300" w:eastAsia="Times New Roman" w:hAnsi="Museo Sans 300" w:cs="Times New Roman"/>
          <w:color w:val="000000"/>
          <w:lang w:val="es-ES" w:eastAsia="es-ES"/>
        </w:rPr>
        <w:t xml:space="preserve"> </w:t>
      </w:r>
      <w:r w:rsidRPr="00031B9E">
        <w:rPr>
          <w:rFonts w:ascii="Museo Sans 300" w:eastAsia="Times New Roman" w:hAnsi="Museo Sans 300" w:cs="Times New Roman"/>
          <w:lang w:eastAsia="es-ES"/>
        </w:rPr>
        <w:t xml:space="preserve">los suministros instalados en </w:t>
      </w:r>
      <w:r w:rsidR="00E81552">
        <w:rPr>
          <w:rFonts w:ascii="Museo Sans 300" w:eastAsia="Times New Roman" w:hAnsi="Museo Sans 300" w:cs="Times New Roman"/>
          <w:lang w:eastAsia="es-ES"/>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lang w:val="es-ES" w:eastAsia="es-ES"/>
        </w:rPr>
        <w:t>.</w:t>
      </w:r>
    </w:p>
    <w:p w:rsidR="00031B9E" w:rsidRPr="00031B9E" w:rsidRDefault="00031B9E" w:rsidP="00031B9E">
      <w:pPr>
        <w:spacing w:after="0" w:line="240" w:lineRule="auto"/>
        <w:ind w:left="567" w:firstLine="141"/>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La Gerencia de Electricidad, en un plazo de diez días hábiles contados a partir de la remisión de dicha información por parte de la distribuidora, deberá rendir un informe técnico en el cual corrija o ratifique el monto calculado en concepto de compensación por la sociedad </w:t>
      </w:r>
      <w:r w:rsidR="00DC77F3">
        <w:rPr>
          <w:rFonts w:ascii="Museo Sans 300" w:eastAsia="Times New Roman" w:hAnsi="Museo Sans 300" w:cs="Times New Roman"/>
          <w:lang w:val="es-ES" w:eastAsia="es-ES"/>
        </w:rPr>
        <w:t>XXXXXXXXXXXXXXXXXXXXXXXX</w:t>
      </w:r>
    </w:p>
    <w:p w:rsidR="00031B9E" w:rsidRPr="00031B9E" w:rsidRDefault="00031B9E" w:rsidP="00031B9E">
      <w:pPr>
        <w:tabs>
          <w:tab w:val="left" w:pos="709"/>
        </w:tabs>
        <w:spacing w:after="0" w:line="0" w:lineRule="atLeast"/>
        <w:ind w:left="720"/>
        <w:contextualSpacing/>
        <w:rPr>
          <w:rFonts w:ascii="Museo Sans 500" w:eastAsia="Times New Roman" w:hAnsi="Museo Sans 500" w:cs="Times New Roman"/>
          <w:b/>
          <w:lang w:val="es-ES" w:eastAsia="es-ES"/>
        </w:rPr>
      </w:pPr>
    </w:p>
    <w:p w:rsidR="00031B9E" w:rsidRPr="00DB523D" w:rsidRDefault="007D1833" w:rsidP="00031B9E">
      <w:pPr>
        <w:numPr>
          <w:ilvl w:val="0"/>
          <w:numId w:val="11"/>
        </w:numPr>
        <w:tabs>
          <w:tab w:val="left" w:pos="709"/>
        </w:tabs>
        <w:spacing w:after="0" w:line="0" w:lineRule="atLeast"/>
        <w:contextualSpacing/>
        <w:jc w:val="center"/>
        <w:rPr>
          <w:rFonts w:ascii="Museo Sans 500" w:eastAsia="Times New Roman" w:hAnsi="Museo Sans 500" w:cs="Times New Roman"/>
          <w:b/>
          <w:lang w:val="es-ES" w:eastAsia="es-ES"/>
        </w:rPr>
      </w:pPr>
      <w:r w:rsidRPr="00DB523D">
        <w:rPr>
          <w:rFonts w:ascii="Museo Sans 500" w:eastAsia="Times New Roman" w:hAnsi="Museo Sans 500" w:cs="Times New Roman"/>
          <w:b/>
          <w:lang w:val="es-ES" w:eastAsia="es-ES"/>
        </w:rPr>
        <w:t>ACCIONES QUE DEBE IMPLEMENTAR LA DISTRIBUIDORA</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De conformidad con el marco regulatorio, le corresponde asegurar a esta superintendencia que las finalidades de la Ley General de Electricidad y demás normas técnicas sean cumplidas, entre sus objetivos principales se encuentran, el fomento al acceso al suministro de energía eléctrica y la protección de los derechos de los usuarios y de todas las entidades que desarrollan actividades en el sector.</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En la Ley General de Electricidad y los Términos y Condiciones de los Pliegos Tarifarios,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Basado en lo anterior, debe establecerse que ante la prohibición expresa de cobrar sin tomar lecturas y la falta de presentación de pruebas pertinentes para demostrar los casos de fuerza mayor de conformidad a la normativa en materia de electricidad, </w:t>
      </w:r>
      <w:proofErr w:type="spellStart"/>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debe</w:t>
      </w:r>
      <w:proofErr w:type="spellEnd"/>
      <w:r w:rsidRPr="00031B9E">
        <w:rPr>
          <w:rFonts w:ascii="Museo Sans 300" w:eastAsia="Times New Roman" w:hAnsi="Museo Sans 300" w:cs="Times New Roman"/>
          <w:lang w:val="es-ES" w:eastAsia="es-ES"/>
        </w:rPr>
        <w:t xml:space="preserve"> desarrollar un mecanismo para no estimar y/o acumular la cantidad de facturación que cobró, debido a que al ser un cobro retroactivamente y acumulado afecta la economía familiar de los usuarios.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Default="00031B9E" w:rsidP="00031B9E">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Por ello, se hace necesario indicar a la distribuidora efect</w:t>
      </w:r>
      <w:r w:rsidR="007D1833">
        <w:rPr>
          <w:rFonts w:ascii="Museo Sans 300" w:eastAsia="Times New Roman" w:hAnsi="Museo Sans 300" w:cs="Times New Roman"/>
          <w:lang w:val="es-ES" w:eastAsia="es-ES"/>
        </w:rPr>
        <w:t>úe</w:t>
      </w:r>
      <w:r w:rsidRPr="00031B9E">
        <w:rPr>
          <w:rFonts w:ascii="Museo Sans 300" w:eastAsia="Times New Roman" w:hAnsi="Museo Sans 300" w:cs="Times New Roman"/>
          <w:lang w:val="es-ES" w:eastAsia="es-ES"/>
        </w:rPr>
        <w:t xml:space="preserve"> las gestiones oportunas y correspondientes a fin de evitar que en el futuro existan casos de estimaciones y/o acumulaciones.</w:t>
      </w:r>
    </w:p>
    <w:p w:rsidR="007D1833" w:rsidRDefault="007D1833" w:rsidP="00031B9E">
      <w:pPr>
        <w:spacing w:after="0" w:line="0" w:lineRule="atLeast"/>
        <w:ind w:left="567"/>
        <w:jc w:val="both"/>
        <w:rPr>
          <w:rFonts w:ascii="Museo Sans 300" w:eastAsia="Times New Roman" w:hAnsi="Museo Sans 300" w:cs="Times New Roman"/>
          <w:lang w:val="es-ES" w:eastAsia="es-ES"/>
        </w:rPr>
      </w:pPr>
    </w:p>
    <w:p w:rsidR="007D1833" w:rsidRDefault="007D1833" w:rsidP="00031B9E">
      <w:pPr>
        <w:spacing w:after="0" w:line="0" w:lineRule="atLeast"/>
        <w:ind w:left="567"/>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Debe precisarse que este requerimiento se ha efectuado ya en casos anteriores, y a pesar de ello, se continúan dando acumulaciones que, como en el presente caso, superan los doce meses lo que conlleva a advertir un grado de negligencia por parte de la distribuidora al permitir que se acumulen tantos meses de estimaciones que afectan la economía familiar de sectores vulnerables.</w:t>
      </w:r>
    </w:p>
    <w:p w:rsidR="007D1833" w:rsidRDefault="007D1833" w:rsidP="00031B9E">
      <w:pPr>
        <w:spacing w:after="0" w:line="0" w:lineRule="atLeast"/>
        <w:ind w:left="567"/>
        <w:jc w:val="both"/>
        <w:rPr>
          <w:rFonts w:ascii="Museo Sans 300" w:eastAsia="Times New Roman" w:hAnsi="Museo Sans 300" w:cs="Times New Roman"/>
          <w:lang w:val="es-ES" w:eastAsia="es-ES"/>
        </w:rPr>
      </w:pPr>
    </w:p>
    <w:p w:rsidR="007D1833" w:rsidRPr="00031B9E" w:rsidRDefault="007D1833" w:rsidP="00031B9E">
      <w:pPr>
        <w:spacing w:after="0" w:line="0" w:lineRule="atLeast"/>
        <w:ind w:left="567"/>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DB523D" w:rsidRDefault="00031B9E" w:rsidP="00A63A2D">
      <w:pPr>
        <w:pStyle w:val="Prrafodelista"/>
        <w:numPr>
          <w:ilvl w:val="0"/>
          <w:numId w:val="11"/>
        </w:numPr>
        <w:tabs>
          <w:tab w:val="left" w:pos="709"/>
        </w:tabs>
        <w:spacing w:after="0" w:line="0" w:lineRule="atLeast"/>
        <w:jc w:val="center"/>
        <w:rPr>
          <w:rFonts w:ascii="Museo Sans 300" w:eastAsia="Times New Roman" w:hAnsi="Museo Sans 300" w:cs="Times New Roman"/>
          <w:b/>
          <w:lang w:val="es-ES" w:eastAsia="es-ES"/>
        </w:rPr>
      </w:pPr>
      <w:r w:rsidRPr="00DB523D">
        <w:rPr>
          <w:rFonts w:ascii="Museo Sans 500" w:eastAsia="Times New Roman" w:hAnsi="Museo Sans 500" w:cs="Times New Roman"/>
          <w:b/>
          <w:lang w:val="es-ES" w:eastAsia="es-ES"/>
        </w:rPr>
        <w:t>RECURSOS</w:t>
      </w:r>
    </w:p>
    <w:p w:rsidR="00031B9E" w:rsidRPr="00031B9E" w:rsidRDefault="00031B9E" w:rsidP="00031B9E">
      <w:pPr>
        <w:spacing w:after="0" w:line="0" w:lineRule="atLeast"/>
        <w:ind w:left="786"/>
        <w:jc w:val="both"/>
        <w:rPr>
          <w:rFonts w:ascii="Museo Sans 300" w:eastAsia="Times New Roman" w:hAnsi="Museo Sans 300" w:cs="Times New Roman"/>
          <w:lang w:val="es-ES" w:eastAsia="es-ES"/>
        </w:rPr>
      </w:pPr>
    </w:p>
    <w:p w:rsidR="00031B9E" w:rsidRPr="00031B9E" w:rsidRDefault="00031B9E" w:rsidP="00031B9E">
      <w:pPr>
        <w:tabs>
          <w:tab w:val="left" w:pos="284"/>
        </w:tabs>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31B9E" w:rsidRPr="00031B9E" w:rsidRDefault="00031B9E" w:rsidP="00031B9E">
      <w:pPr>
        <w:autoSpaceDE w:val="0"/>
        <w:autoSpaceDN w:val="0"/>
        <w:adjustRightInd w:val="0"/>
        <w:spacing w:after="0" w:line="0" w:lineRule="atLeast"/>
        <w:contextualSpacing/>
        <w:jc w:val="both"/>
        <w:rPr>
          <w:rFonts w:ascii="Museo Sans 300" w:eastAsia="Times New Roman" w:hAnsi="Museo Sans 300" w:cs="Times New Roman"/>
          <w:lang w:eastAsia="es-ES"/>
        </w:rPr>
      </w:pPr>
    </w:p>
    <w:p w:rsidR="00031B9E" w:rsidRPr="00031B9E" w:rsidRDefault="00031B9E" w:rsidP="00031B9E">
      <w:pPr>
        <w:spacing w:after="0" w:line="0" w:lineRule="atLeast"/>
        <w:jc w:val="both"/>
        <w:rPr>
          <w:rFonts w:ascii="Museo Sans 300" w:eastAsia="Arial Unicode MS" w:hAnsi="Museo Sans 300" w:cs="Times New Roman"/>
        </w:rPr>
      </w:pPr>
      <w:r w:rsidRPr="00031B9E">
        <w:rPr>
          <w:rFonts w:ascii="Museo Sans 300" w:eastAsia="Arial Unicode MS" w:hAnsi="Museo Sans 300" w:cs="Times New Roman"/>
        </w:rPr>
        <w:t xml:space="preserve">POR TANTO, en uso de sus facultades legales, de conformidad con el marco regulatorio expuesto y el informe técnico </w:t>
      </w:r>
      <w:r w:rsidR="001E20BB" w:rsidRPr="00171B75">
        <w:rPr>
          <w:rFonts w:ascii="Museo Sans 300" w:eastAsia="Calibri" w:hAnsi="Museo Sans 300" w:cs="Times New Roman"/>
          <w:lang w:val="es-ES_tradnl"/>
        </w:rPr>
        <w:t>N.° IT-NT-2019-10-053</w:t>
      </w:r>
      <w:r w:rsidRPr="00031B9E">
        <w:rPr>
          <w:rFonts w:ascii="Museo Sans 300" w:eastAsia="Calibri" w:hAnsi="Museo Sans 300" w:cs="Times New Roman"/>
          <w:lang w:val="es-ES"/>
        </w:rPr>
        <w:t>,</w:t>
      </w:r>
      <w:r w:rsidRPr="00031B9E">
        <w:rPr>
          <w:rFonts w:ascii="Museo Sans 300" w:eastAsia="Arial Unicode MS" w:hAnsi="Museo Sans 300" w:cs="Times New Roman"/>
        </w:rPr>
        <w:t xml:space="preserve"> rendido por la Gerencia de Electricidad, esta superintendencia ACUERDA:</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031B9E" w:rsidRPr="00031B9E" w:rsidRDefault="00031B9E" w:rsidP="00031B9E">
      <w:pPr>
        <w:numPr>
          <w:ilvl w:val="0"/>
          <w:numId w:val="6"/>
        </w:numPr>
        <w:spacing w:after="0" w:line="0" w:lineRule="atLeast"/>
        <w:ind w:left="567" w:hanging="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Determinar que la sociedad </w:t>
      </w:r>
      <w:r w:rsidR="00DC77F3">
        <w:rPr>
          <w:rFonts w:ascii="Museo Sans 300" w:eastAsia="Times New Roman" w:hAnsi="Museo Sans 300" w:cs="Times New Roman"/>
          <w:lang w:eastAsia="es-ES"/>
        </w:rPr>
        <w:t>XXXXXXXXXXXXXXXXXXXXXXXX</w:t>
      </w:r>
      <w:r w:rsidRPr="00031B9E">
        <w:rPr>
          <w:rFonts w:ascii="Museo Sans 300" w:eastAsia="Times New Roman" w:hAnsi="Museo Sans 300" w:cs="Times New Roman"/>
          <w:lang w:eastAsia="es-ES"/>
        </w:rPr>
        <w:t>,</w:t>
      </w:r>
      <w:r w:rsidRPr="00031B9E">
        <w:rPr>
          <w:rFonts w:ascii="Museo Sans 300" w:eastAsia="Calibri" w:hAnsi="Museo Sans 300" w:cs="Times New Roman"/>
          <w:lang w:val="es-ES" w:eastAsia="es-ES"/>
        </w:rPr>
        <w:t xml:space="preserve"> </w:t>
      </w:r>
      <w:r w:rsidRPr="00031B9E">
        <w:rPr>
          <w:rFonts w:ascii="Museo Sans 300" w:eastAsia="Times New Roman" w:hAnsi="Museo Sans 300" w:cs="Times New Roman"/>
          <w:color w:val="000000"/>
          <w:lang w:val="es-ES" w:eastAsia="es-ES"/>
        </w:rPr>
        <w:t xml:space="preserve">no demostró mediante </w:t>
      </w:r>
      <w:r w:rsidRPr="00031B9E">
        <w:rPr>
          <w:rFonts w:ascii="Museo Sans 300" w:eastAsia="Times New Roman" w:hAnsi="Museo Sans 300" w:cs="Times New Roman"/>
          <w:color w:val="111111"/>
          <w:shd w:val="clear" w:color="auto" w:fill="FFFFFF"/>
          <w:lang w:val="es-ES" w:eastAsia="es-ES"/>
        </w:rPr>
        <w:t xml:space="preserve">pruebas que haya existido causales constitutivas de fuerza mayor para no realizar las </w:t>
      </w:r>
      <w:r w:rsidRPr="00031B9E">
        <w:rPr>
          <w:rFonts w:ascii="Museo Sans 300" w:eastAsia="Times New Roman" w:hAnsi="Museo Sans 300" w:cs="Times New Roman"/>
          <w:lang w:val="es-ES" w:eastAsia="es-ES"/>
        </w:rPr>
        <w:t xml:space="preserve">lecturas de los suministros de energía eléctrica </w:t>
      </w:r>
      <w:r w:rsidRPr="00031B9E">
        <w:rPr>
          <w:rFonts w:ascii="Museo Sans 300" w:eastAsia="Times New Roman" w:hAnsi="Museo Sans 300" w:cs="Times New Roman"/>
          <w:bCs/>
          <w:lang w:val="es-ES" w:eastAsia="es-ES"/>
        </w:rPr>
        <w:t xml:space="preserve">ubicados </w:t>
      </w:r>
      <w:r w:rsidRPr="00031B9E">
        <w:rPr>
          <w:rFonts w:ascii="Museo Sans 300" w:eastAsia="Times New Roman" w:hAnsi="Museo Sans 300" w:cs="Times New Roman"/>
          <w:lang w:val="es-ES" w:eastAsia="es-ES"/>
        </w:rPr>
        <w:t>en</w:t>
      </w:r>
      <w:r w:rsidRPr="00031B9E">
        <w:rPr>
          <w:rFonts w:ascii="Museo Sans 300" w:eastAsia="Times New Roman" w:hAnsi="Museo Sans 300" w:cs="Times New Roman"/>
          <w:lang w:eastAsia="es-SV"/>
        </w:rPr>
        <w:t xml:space="preserve"> </w:t>
      </w:r>
      <w:r w:rsidR="00495CCF">
        <w:rPr>
          <w:rFonts w:ascii="Museo Sans 300" w:eastAsia="Times New Roman" w:hAnsi="Museo Sans 300" w:cs="Times New Roman"/>
          <w:lang w:eastAsia="es-SV"/>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bCs/>
          <w:lang w:val="es-ES" w:eastAsia="es-ES"/>
        </w:rPr>
        <w:t>,</w:t>
      </w:r>
      <w:r w:rsidRPr="00031B9E">
        <w:rPr>
          <w:rFonts w:ascii="Museo Sans 300" w:eastAsia="Times New Roman" w:hAnsi="Museo Sans 300" w:cs="Times New Roman"/>
          <w:color w:val="111111"/>
          <w:shd w:val="clear" w:color="auto" w:fill="FFFFFF"/>
          <w:lang w:val="es-ES" w:eastAsia="es-ES"/>
        </w:rPr>
        <w:t xml:space="preserve"> de conformidad con el Procedimiento para la Determinación de Causales de Fuerza Mayor o Caso Fortuito</w:t>
      </w:r>
      <w:r w:rsidR="00AC6B31">
        <w:rPr>
          <w:rFonts w:ascii="Museo Sans 300" w:eastAsia="Times New Roman" w:hAnsi="Museo Sans 300" w:cs="Times New Roman"/>
          <w:color w:val="111111"/>
          <w:shd w:val="clear" w:color="auto" w:fill="FFFFFF"/>
          <w:lang w:val="es-ES" w:eastAsia="es-ES"/>
        </w:rPr>
        <w:t xml:space="preserve"> </w:t>
      </w:r>
      <w:r w:rsidRPr="00031B9E">
        <w:rPr>
          <w:rFonts w:ascii="Museo Sans 300" w:eastAsia="Times New Roman" w:hAnsi="Museo Sans 300" w:cs="Times New Roman"/>
          <w:color w:val="111111"/>
          <w:shd w:val="clear" w:color="auto" w:fill="FFFFFF"/>
          <w:lang w:val="es-ES" w:eastAsia="es-ES"/>
        </w:rPr>
        <w:t xml:space="preserve">el artículo 29 de los Términos y Condiciones del Pliego Tarifario aplicable, y </w:t>
      </w:r>
      <w:r w:rsidRPr="00031B9E">
        <w:rPr>
          <w:rFonts w:ascii="Museo Sans 300" w:eastAsia="Times New Roman" w:hAnsi="Museo Sans 300" w:cs="Times New Roman"/>
          <w:lang w:val="es-ES" w:eastAsia="es-ES"/>
        </w:rPr>
        <w:t xml:space="preserve">el </w:t>
      </w:r>
      <w:r w:rsidRPr="00031B9E">
        <w:rPr>
          <w:rFonts w:ascii="Museo Sans 300" w:eastAsia="Times New Roman" w:hAnsi="Museo Sans 300" w:cs="Times New Roman"/>
          <w:lang w:val="es-ES_tradnl" w:eastAsia="es-ES"/>
        </w:rPr>
        <w:t xml:space="preserve">Anexo A de la Metodología Para el Control de la Calidad del Servicio Comercial de las Normas de </w:t>
      </w:r>
      <w:r w:rsidRPr="00031B9E">
        <w:rPr>
          <w:rFonts w:ascii="Museo Sans 300" w:eastAsia="Times New Roman" w:hAnsi="Museo Sans 300" w:cs="Times New Roman"/>
          <w:lang w:val="es-ES" w:eastAsia="es-ES"/>
        </w:rPr>
        <w:t>Calidad del Servicio de los Sistemas de Distribución.</w:t>
      </w:r>
    </w:p>
    <w:p w:rsidR="00031B9E" w:rsidRPr="00031B9E" w:rsidRDefault="00031B9E" w:rsidP="00031B9E">
      <w:pPr>
        <w:spacing w:after="0" w:line="0" w:lineRule="atLeast"/>
        <w:ind w:left="567"/>
        <w:contextualSpacing/>
        <w:jc w:val="both"/>
        <w:rPr>
          <w:rFonts w:ascii="Museo Sans 300" w:eastAsia="Times New Roman" w:hAnsi="Museo Sans 300" w:cs="Times New Roman"/>
          <w:lang w:val="es-ES" w:eastAsia="es-ES"/>
        </w:rPr>
      </w:pPr>
    </w:p>
    <w:p w:rsidR="00031B9E" w:rsidRPr="00031B9E" w:rsidRDefault="00031B9E" w:rsidP="00031B9E">
      <w:pPr>
        <w:numPr>
          <w:ilvl w:val="0"/>
          <w:numId w:val="6"/>
        </w:numPr>
        <w:spacing w:after="0" w:line="0" w:lineRule="atLeast"/>
        <w:ind w:left="567" w:hanging="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Establecer conforme al valor justicia indicado en el acuerdo N.</w:t>
      </w:r>
      <w:r w:rsidR="00AC6B31">
        <w:rPr>
          <w:rFonts w:ascii="Museo Sans 300" w:eastAsia="Times New Roman" w:hAnsi="Museo Sans 300" w:cs="Times New Roman"/>
          <w:lang w:val="es-ES" w:eastAsia="es-ES"/>
        </w:rPr>
        <w:t>°</w:t>
      </w:r>
      <w:r w:rsidRPr="00031B9E">
        <w:rPr>
          <w:rFonts w:ascii="Museo Sans 300" w:eastAsia="Times New Roman" w:hAnsi="Museo Sans 300" w:cs="Times New Roman"/>
          <w:lang w:val="es-ES" w:eastAsia="es-ES"/>
        </w:rPr>
        <w:t xml:space="preserve"> 055-E-2017, que aunque la sociedad </w:t>
      </w:r>
      <w:r w:rsidR="00DC77F3">
        <w:rPr>
          <w:rFonts w:ascii="Museo Sans 300" w:eastAsia="Times New Roman" w:hAnsi="Museo Sans 300" w:cs="Times New Roman"/>
          <w:lang w:eastAsia="es-ES"/>
        </w:rPr>
        <w:t>XXXXXXXXXXXXXXXXXXXXXXXX</w:t>
      </w:r>
      <w:r w:rsidRPr="00031B9E">
        <w:rPr>
          <w:rFonts w:ascii="Museo Sans 300" w:eastAsia="Times New Roman" w:hAnsi="Museo Sans 300" w:cs="Times New Roman"/>
          <w:lang w:eastAsia="es-ES"/>
        </w:rPr>
        <w:t xml:space="preserve"> </w:t>
      </w:r>
      <w:r w:rsidRPr="00031B9E">
        <w:rPr>
          <w:rFonts w:ascii="Museo Sans 300" w:eastAsia="Times New Roman" w:hAnsi="Museo Sans 300" w:cs="Times New Roman"/>
          <w:lang w:val="es-ES" w:eastAsia="es-ES"/>
        </w:rPr>
        <w:t xml:space="preserve">no demostró las causales de fuerza mayor invocadas, tiene el derecho al pago de lo correspondiente a la energía eléctrica que consumieron los usuarios de </w:t>
      </w:r>
      <w:r w:rsidR="00495CCF">
        <w:rPr>
          <w:rFonts w:ascii="Museo Sans 300" w:eastAsia="Times New Roman" w:hAnsi="Museo Sans 300" w:cs="Times New Roman"/>
          <w:lang w:val="es-ES" w:eastAsia="es-ES"/>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bCs/>
          <w:lang w:eastAsia="es-ES"/>
        </w:rPr>
        <w:t xml:space="preserve">, </w:t>
      </w:r>
      <w:r w:rsidRPr="00031B9E">
        <w:rPr>
          <w:rFonts w:ascii="Museo Sans 300" w:eastAsia="Times New Roman" w:hAnsi="Museo Sans 300" w:cs="Times New Roman"/>
          <w:lang w:val="es-ES" w:eastAsia="es-ES"/>
        </w:rPr>
        <w:t xml:space="preserve">respecto de aquellos montos que hayan sido debidamente calculados y revisados por esta superintendencia. </w:t>
      </w:r>
    </w:p>
    <w:p w:rsidR="00031B9E" w:rsidRPr="00031B9E" w:rsidRDefault="00031B9E" w:rsidP="00031B9E">
      <w:pPr>
        <w:spacing w:after="0" w:line="0" w:lineRule="atLeast"/>
        <w:ind w:left="502"/>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w:t>
      </w:r>
    </w:p>
    <w:p w:rsidR="00031B9E" w:rsidRPr="00031B9E" w:rsidRDefault="00031B9E" w:rsidP="00DB523D">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Para tal efecto, se requiere a la </w:t>
      </w:r>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 xml:space="preserve"> S. en C. de C.V. que en un plazo máximo de diez días hábiles contados a partir del día siguiente a la notificación de este acuerdo, remita al CAU de la SIGET los cálculos del consumo real </w:t>
      </w:r>
      <w:r w:rsidRPr="00031B9E">
        <w:rPr>
          <w:rFonts w:ascii="Museo Sans 300" w:eastAsia="Calibri" w:hAnsi="Museo Sans 300" w:cs="Times New Roman"/>
          <w:lang w:val="es-ES" w:eastAsia="es-ES"/>
        </w:rPr>
        <w:t>en</w:t>
      </w:r>
      <w:r w:rsidRPr="00031B9E">
        <w:rPr>
          <w:rFonts w:ascii="Museo Sans 300" w:eastAsia="Times New Roman" w:hAnsi="Museo Sans 300" w:cs="Times New Roman"/>
          <w:color w:val="000000"/>
          <w:lang w:val="es-ES" w:eastAsia="es-ES"/>
        </w:rPr>
        <w:t xml:space="preserve"> </w:t>
      </w:r>
      <w:r w:rsidRPr="00031B9E">
        <w:rPr>
          <w:rFonts w:ascii="Museo Sans 300" w:eastAsia="Times New Roman" w:hAnsi="Museo Sans 300" w:cs="Times New Roman"/>
          <w:lang w:val="es-ES" w:eastAsia="es-ES"/>
        </w:rPr>
        <w:t xml:space="preserve">los </w:t>
      </w:r>
      <w:r w:rsidRPr="00031B9E">
        <w:rPr>
          <w:rFonts w:ascii="Museo Sans 300" w:eastAsia="Times New Roman" w:hAnsi="Museo Sans 300" w:cs="Times New Roman"/>
          <w:color w:val="000000"/>
          <w:lang w:val="es-ES" w:eastAsia="es-ES"/>
        </w:rPr>
        <w:t xml:space="preserve">suministros instalados en </w:t>
      </w:r>
      <w:r w:rsidR="004F1039">
        <w:rPr>
          <w:rFonts w:ascii="Museo Sans 300" w:eastAsia="Times New Roman" w:hAnsi="Museo Sans 300" w:cs="Times New Roman"/>
          <w:color w:val="000000"/>
          <w:lang w:val="es-ES" w:eastAsia="es-ES"/>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lang w:val="es-ES" w:eastAsia="es-ES"/>
        </w:rPr>
        <w:t xml:space="preserve">. </w:t>
      </w:r>
    </w:p>
    <w:p w:rsidR="00031B9E" w:rsidRPr="00031B9E" w:rsidRDefault="00031B9E" w:rsidP="00031B9E">
      <w:pPr>
        <w:spacing w:after="0" w:line="0" w:lineRule="atLeast"/>
        <w:ind w:left="502"/>
        <w:jc w:val="both"/>
        <w:rPr>
          <w:rFonts w:ascii="Museo Sans 300" w:eastAsia="Times New Roman" w:hAnsi="Museo Sans 300" w:cs="Times New Roman"/>
          <w:lang w:val="es-ES" w:eastAsia="es-ES"/>
        </w:rPr>
      </w:pPr>
    </w:p>
    <w:p w:rsidR="00031B9E" w:rsidRPr="00031B9E" w:rsidRDefault="00031B9E" w:rsidP="00DB523D">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w:t>
      </w:r>
    </w:p>
    <w:p w:rsidR="00031B9E" w:rsidRPr="00031B9E" w:rsidRDefault="00031B9E" w:rsidP="00DB523D">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DB523D">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Si los usuarios ya han realizado el pago de lo cobrado retroactivamente, será preciso que verifiquen si lo cancelado se ajusta a su consumo real de energía eléctrica. Si han pagado cantidades mayores, la distribuidora deberá realizar el reintegro de lo cancelado en exceso; en caso contrario, si los usuarios no han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DB523D">
      <w:pPr>
        <w:spacing w:after="0" w:line="0" w:lineRule="atLeast"/>
        <w:ind w:left="567"/>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En tal sentido la distribuidora deberá informar mensualmente mediante una calendarización revisada por esta superintendencia, los avanc</w:t>
      </w:r>
      <w:r w:rsidR="00822538">
        <w:rPr>
          <w:rFonts w:ascii="Museo Sans 300" w:eastAsia="Times New Roman" w:hAnsi="Museo Sans 300" w:cs="Times New Roman"/>
          <w:lang w:val="es-ES" w:eastAsia="es-ES"/>
        </w:rPr>
        <w:t>es en el pago o devolución de los usuarios</w:t>
      </w:r>
      <w:r w:rsidRPr="00031B9E">
        <w:rPr>
          <w:rFonts w:ascii="Museo Sans 300" w:eastAsia="Times New Roman" w:hAnsi="Museo Sans 300" w:cs="Times New Roman"/>
          <w:lang w:val="es-ES" w:eastAsia="es-ES"/>
        </w:rPr>
        <w:t xml:space="preserve"> debidamente actualizada. </w:t>
      </w:r>
    </w:p>
    <w:p w:rsidR="00031B9E" w:rsidRPr="00031B9E" w:rsidRDefault="00031B9E" w:rsidP="00031B9E">
      <w:pPr>
        <w:spacing w:after="0" w:line="240" w:lineRule="auto"/>
        <w:ind w:left="708"/>
        <w:rPr>
          <w:rFonts w:ascii="Museo Sans 300" w:eastAsia="Times New Roman" w:hAnsi="Museo Sans 300" w:cs="Times New Roman"/>
          <w:lang w:val="es-ES" w:eastAsia="es-ES"/>
        </w:rPr>
      </w:pPr>
    </w:p>
    <w:p w:rsidR="00031B9E" w:rsidRDefault="00031B9E" w:rsidP="00A63A2D">
      <w:pPr>
        <w:numPr>
          <w:ilvl w:val="0"/>
          <w:numId w:val="6"/>
        </w:numPr>
        <w:spacing w:after="0" w:line="0" w:lineRule="atLeast"/>
        <w:ind w:left="567" w:hanging="709"/>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La sociedad </w:t>
      </w:r>
      <w:r w:rsidR="00DC77F3">
        <w:rPr>
          <w:rFonts w:ascii="Museo Sans 300" w:eastAsia="Times New Roman" w:hAnsi="Museo Sans 300" w:cs="Times New Roman"/>
          <w:lang w:val="es-ES" w:eastAsia="es-ES"/>
        </w:rPr>
        <w:t>XXXXXXXXXXXXXXXXXXXXXXXX</w:t>
      </w:r>
      <w:r w:rsidRPr="00031B9E">
        <w:rPr>
          <w:rFonts w:ascii="Museo Sans 300" w:eastAsia="Times New Roman" w:hAnsi="Museo Sans 300" w:cs="Times New Roman"/>
          <w:lang w:val="es-ES" w:eastAsia="es-ES"/>
        </w:rPr>
        <w:t xml:space="preserve">, incumplió los índices de gestión comercial establecidos en las Normas de Calidad del Servicio de los Sistemas de Distribución, por lo que en un plazo máximo de diez días hábiles contados a partir del día siguiente a la notificación de este acuerdo, deberá remitir el cálculo de la devolución y/o compensación por incumplimiento a la gestión comercial </w:t>
      </w:r>
      <w:r w:rsidRPr="00031B9E">
        <w:rPr>
          <w:rFonts w:ascii="Museo Sans 300" w:eastAsia="Calibri" w:hAnsi="Museo Sans 300" w:cs="Times New Roman"/>
          <w:lang w:val="es-ES" w:eastAsia="es-ES"/>
        </w:rPr>
        <w:t>en</w:t>
      </w:r>
      <w:r w:rsidRPr="00031B9E">
        <w:rPr>
          <w:rFonts w:ascii="Museo Sans 300" w:eastAsia="Times New Roman" w:hAnsi="Museo Sans 300" w:cs="Times New Roman"/>
          <w:color w:val="000000"/>
          <w:lang w:val="es-ES" w:eastAsia="es-ES"/>
        </w:rPr>
        <w:t xml:space="preserve"> </w:t>
      </w:r>
      <w:r w:rsidRPr="00031B9E">
        <w:rPr>
          <w:rFonts w:ascii="Museo Sans 300" w:eastAsia="Times New Roman" w:hAnsi="Museo Sans 300" w:cs="Times New Roman"/>
          <w:lang w:val="es-ES" w:eastAsia="es-ES"/>
        </w:rPr>
        <w:t xml:space="preserve">los </w:t>
      </w:r>
      <w:r w:rsidRPr="00031B9E">
        <w:rPr>
          <w:rFonts w:ascii="Museo Sans 300" w:eastAsia="Times New Roman" w:hAnsi="Museo Sans 300" w:cs="Times New Roman"/>
          <w:color w:val="000000"/>
          <w:lang w:val="es-ES" w:eastAsia="es-ES"/>
        </w:rPr>
        <w:t xml:space="preserve">suministros instalados en </w:t>
      </w:r>
      <w:r w:rsidR="00822538">
        <w:rPr>
          <w:rFonts w:ascii="Museo Sans 300" w:eastAsia="Times New Roman" w:hAnsi="Museo Sans 300" w:cs="Times New Roman"/>
          <w:color w:val="000000"/>
          <w:lang w:val="es-ES" w:eastAsia="es-ES"/>
        </w:rPr>
        <w:t xml:space="preserve">la </w:t>
      </w:r>
      <w:r w:rsidR="00DC77F3">
        <w:rPr>
          <w:rFonts w:ascii="Museo Sans 300" w:hAnsi="Museo Sans 300"/>
          <w:lang w:val="es-ES_tradnl"/>
        </w:rPr>
        <w:t>XXXXXXXXXXXXXXXXXXXXXXXX</w:t>
      </w:r>
      <w:r w:rsidRPr="00031B9E">
        <w:rPr>
          <w:rFonts w:ascii="Museo Sans 300" w:eastAsia="Times New Roman" w:hAnsi="Museo Sans 300" w:cs="Times New Roman"/>
          <w:lang w:val="es-ES" w:eastAsia="es-ES"/>
        </w:rPr>
        <w:t>.</w:t>
      </w:r>
    </w:p>
    <w:p w:rsidR="007D1833" w:rsidRPr="00031B9E" w:rsidRDefault="007D1833" w:rsidP="00427568">
      <w:pPr>
        <w:spacing w:after="0" w:line="0" w:lineRule="atLeast"/>
        <w:ind w:left="567"/>
        <w:contextualSpacing/>
        <w:jc w:val="both"/>
        <w:rPr>
          <w:rFonts w:ascii="Museo Sans 300" w:eastAsia="Times New Roman" w:hAnsi="Museo Sans 300" w:cs="Times New Roman"/>
          <w:lang w:val="es-ES" w:eastAsia="es-ES"/>
        </w:rPr>
      </w:pPr>
    </w:p>
    <w:p w:rsidR="00031B9E" w:rsidRPr="00031B9E" w:rsidRDefault="00031B9E" w:rsidP="00A63A2D">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Requerir a la Gerencia de Electricidad, que en un plazo de diez días hábiles contados a partir de la remisión de dicha información por parte de la distribuidora, deberá rendir un informe técnico en el cual corrija o ratifique el monto calculado en concepto de compensación por la sociedad </w:t>
      </w:r>
      <w:r w:rsidR="00DC77F3">
        <w:rPr>
          <w:rFonts w:ascii="Museo Sans 300" w:eastAsia="Times New Roman" w:hAnsi="Museo Sans 300" w:cs="Times New Roman"/>
          <w:lang w:val="es-ES" w:eastAsia="es-ES"/>
        </w:rPr>
        <w:t>XXXXXXXXXXXXXXXXXXXXXXXX</w:t>
      </w:r>
    </w:p>
    <w:p w:rsidR="00031B9E" w:rsidRPr="00031B9E" w:rsidRDefault="00031B9E" w:rsidP="00031B9E">
      <w:pPr>
        <w:spacing w:after="0" w:line="240" w:lineRule="auto"/>
        <w:ind w:left="502"/>
        <w:jc w:val="both"/>
        <w:rPr>
          <w:rFonts w:ascii="Museo Sans 300" w:eastAsia="Times New Roman" w:hAnsi="Museo Sans 300" w:cs="Times New Roman"/>
          <w:lang w:val="es-ES" w:eastAsia="es-ES"/>
        </w:rPr>
      </w:pPr>
    </w:p>
    <w:p w:rsidR="007D1833" w:rsidRDefault="00031B9E" w:rsidP="00031B9E">
      <w:pPr>
        <w:numPr>
          <w:ilvl w:val="0"/>
          <w:numId w:val="6"/>
        </w:numPr>
        <w:spacing w:after="0" w:line="240" w:lineRule="auto"/>
        <w:ind w:left="567" w:hanging="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Indicar a la distribuidora que, además de cumplir con la normativa correspondiente, debe evitar que en el futuro existan casos de estimaciones y/o acumulaciones, que superen lo establecido en los términos y condiciones vigentes o por un número de meses tan</w:t>
      </w:r>
      <w:r w:rsidR="00DB523D">
        <w:rPr>
          <w:rFonts w:ascii="Museo Sans 300" w:eastAsia="Times New Roman" w:hAnsi="Museo Sans 300" w:cs="Times New Roman"/>
          <w:lang w:val="es-ES" w:eastAsia="es-ES"/>
        </w:rPr>
        <w:t xml:space="preserve"> amplio</w:t>
      </w:r>
      <w:r w:rsidR="007D1833">
        <w:rPr>
          <w:rFonts w:ascii="Museo Sans 300" w:eastAsia="Times New Roman" w:hAnsi="Museo Sans 300" w:cs="Times New Roman"/>
          <w:lang w:val="es-ES" w:eastAsia="es-ES"/>
        </w:rPr>
        <w:t xml:space="preserve">. </w:t>
      </w:r>
    </w:p>
    <w:p w:rsidR="007D1833" w:rsidRDefault="007D1833" w:rsidP="00427568">
      <w:pPr>
        <w:spacing w:after="0" w:line="240" w:lineRule="auto"/>
        <w:contextualSpacing/>
        <w:jc w:val="both"/>
        <w:rPr>
          <w:rFonts w:ascii="Museo Sans 300" w:eastAsia="Times New Roman" w:hAnsi="Museo Sans 300" w:cs="Times New Roman"/>
          <w:lang w:val="es-ES" w:eastAsia="es-ES"/>
        </w:rPr>
      </w:pPr>
    </w:p>
    <w:p w:rsidR="00031B9E" w:rsidRPr="00031B9E" w:rsidRDefault="007D1833" w:rsidP="00427568">
      <w:pPr>
        <w:spacing w:after="0" w:line="240" w:lineRule="auto"/>
        <w:ind w:left="567"/>
        <w:contextualSpacing/>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rsidR="00031B9E" w:rsidRPr="00031B9E" w:rsidRDefault="00031B9E" w:rsidP="00031B9E">
      <w:pPr>
        <w:spacing w:after="0" w:line="0" w:lineRule="atLeast"/>
        <w:ind w:left="567"/>
        <w:jc w:val="both"/>
        <w:rPr>
          <w:rFonts w:ascii="Museo Sans 300" w:eastAsia="Times New Roman" w:hAnsi="Museo Sans 300" w:cs="Times New Roman"/>
          <w:lang w:val="es-ES" w:eastAsia="es-ES"/>
        </w:rPr>
      </w:pPr>
    </w:p>
    <w:p w:rsidR="00031B9E" w:rsidRPr="00031B9E" w:rsidRDefault="00031B9E" w:rsidP="00DB523D">
      <w:pPr>
        <w:numPr>
          <w:ilvl w:val="0"/>
          <w:numId w:val="6"/>
        </w:numPr>
        <w:spacing w:after="0" w:line="240" w:lineRule="auto"/>
        <w:ind w:left="567" w:hanging="567"/>
        <w:contextualSpacing/>
        <w:jc w:val="both"/>
        <w:rPr>
          <w:rFonts w:ascii="Museo Sans 300" w:eastAsia="Times New Roman" w:hAnsi="Museo Sans 300" w:cs="Times New Roman"/>
          <w:lang w:val="es-ES_tradnl" w:eastAsia="es-ES"/>
        </w:rPr>
      </w:pPr>
      <w:r w:rsidRPr="00031B9E">
        <w:rPr>
          <w:rFonts w:ascii="Museo Sans 300" w:eastAsia="Times New Roman" w:hAnsi="Museo Sans 300" w:cs="Times New Roman"/>
          <w:lang w:val="es-ES_tradnl" w:eastAsia="es-ES"/>
        </w:rPr>
        <w:t xml:space="preserve">Notificar este acuerdo </w:t>
      </w:r>
      <w:r w:rsidR="00EC38CD">
        <w:rPr>
          <w:rFonts w:ascii="Museo Sans 300" w:eastAsia="Times New Roman" w:hAnsi="Museo Sans 300" w:cs="Times New Roman"/>
          <w:lang w:val="es-ES_tradnl" w:eastAsia="es-ES"/>
        </w:rPr>
        <w:t xml:space="preserve">al señor </w:t>
      </w:r>
      <w:r w:rsidR="00D96673">
        <w:rPr>
          <w:rFonts w:ascii="Museo Sans 300" w:eastAsia="Times New Roman" w:hAnsi="Museo Sans 300" w:cs="Times New Roman"/>
          <w:lang w:val="es-ES_tradnl" w:eastAsia="es-ES"/>
        </w:rPr>
        <w:t>XXXXXXXXXXX</w:t>
      </w:r>
      <w:r w:rsidR="00EC38CD">
        <w:rPr>
          <w:rFonts w:ascii="Museo Sans 300" w:eastAsia="Times New Roman" w:hAnsi="Museo Sans 300" w:cs="Times New Roman"/>
          <w:lang w:val="es-ES_tradnl" w:eastAsia="es-ES"/>
        </w:rPr>
        <w:t xml:space="preserve">, representante de los usuarios de la </w:t>
      </w:r>
      <w:r w:rsidR="00DC77F3">
        <w:rPr>
          <w:rFonts w:ascii="Museo Sans 300" w:hAnsi="Museo Sans 300"/>
          <w:lang w:val="es-ES_tradnl"/>
        </w:rPr>
        <w:t>XXXXXXXXXXXXXXXXXXXXXXXX</w:t>
      </w:r>
      <w:r w:rsidR="00EC38CD">
        <w:rPr>
          <w:rFonts w:ascii="Museo Sans 300" w:eastAsia="Times New Roman" w:hAnsi="Museo Sans 300" w:cs="Times New Roman"/>
          <w:lang w:val="es-ES_tradnl" w:eastAsia="es-ES"/>
        </w:rPr>
        <w:t xml:space="preserve"> y </w:t>
      </w:r>
      <w:r w:rsidRPr="00031B9E">
        <w:rPr>
          <w:rFonts w:ascii="Museo Sans 300" w:eastAsia="Times New Roman" w:hAnsi="Museo Sans 300" w:cs="Times New Roman"/>
          <w:bCs/>
          <w:lang w:eastAsia="es-ES"/>
        </w:rPr>
        <w:t xml:space="preserve">a la sociedad </w:t>
      </w:r>
      <w:r w:rsidR="00DC77F3">
        <w:rPr>
          <w:rFonts w:ascii="Museo Sans 300" w:eastAsia="Times New Roman" w:hAnsi="Museo Sans 300" w:cs="Times New Roman"/>
          <w:bCs/>
          <w:lang w:eastAsia="es-ES"/>
        </w:rPr>
        <w:t>XXXXXXXXXXXXXXXXXXXXXXXX</w:t>
      </w:r>
      <w:r w:rsidR="00EC38CD">
        <w:rPr>
          <w:rFonts w:ascii="Museo Sans 300" w:eastAsia="Times New Roman" w:hAnsi="Museo Sans 300" w:cs="Times New Roman"/>
          <w:bCs/>
          <w:lang w:eastAsia="es-ES"/>
        </w:rPr>
        <w:t>,</w:t>
      </w:r>
      <w:r w:rsidRPr="00031B9E">
        <w:rPr>
          <w:rFonts w:ascii="Museo Sans 300" w:eastAsia="Times New Roman" w:hAnsi="Museo Sans 300" w:cs="Times New Roman"/>
          <w:lang w:val="es-ES_tradnl" w:eastAsia="es-ES"/>
        </w:rPr>
        <w:t xml:space="preserve"> para los efectos legales pertinentes</w:t>
      </w:r>
      <w:r w:rsidR="00EC38CD">
        <w:rPr>
          <w:rFonts w:ascii="Museo Sans 300" w:eastAsia="Times New Roman" w:hAnsi="Museo Sans 300" w:cs="Times New Roman"/>
          <w:lang w:val="es-ES" w:eastAsia="es-ES"/>
        </w:rPr>
        <w:t>.</w:t>
      </w:r>
    </w:p>
    <w:p w:rsidR="00031B9E" w:rsidRDefault="00031B9E" w:rsidP="00031B9E">
      <w:pPr>
        <w:spacing w:after="0" w:line="0" w:lineRule="atLeast"/>
        <w:jc w:val="center"/>
        <w:rPr>
          <w:rFonts w:ascii="Museo Sans 300" w:eastAsia="Times New Roman" w:hAnsi="Museo Sans 300" w:cs="Times New Roman"/>
          <w:lang w:val="es-ES_tradnl" w:eastAsia="es-ES"/>
        </w:rPr>
      </w:pPr>
    </w:p>
    <w:p w:rsidR="006E21F0" w:rsidRDefault="006E21F0" w:rsidP="00031B9E">
      <w:pPr>
        <w:spacing w:after="0" w:line="0" w:lineRule="atLeast"/>
        <w:jc w:val="center"/>
        <w:rPr>
          <w:rFonts w:ascii="Museo Sans 300" w:eastAsia="Times New Roman" w:hAnsi="Museo Sans 300" w:cs="Times New Roman"/>
          <w:lang w:val="es-ES_tradnl" w:eastAsia="es-ES"/>
        </w:rPr>
      </w:pPr>
    </w:p>
    <w:p w:rsidR="006E21F0" w:rsidRDefault="006E21F0" w:rsidP="00031B9E">
      <w:pPr>
        <w:spacing w:after="0" w:line="0" w:lineRule="atLeast"/>
        <w:jc w:val="center"/>
        <w:rPr>
          <w:rFonts w:ascii="Museo Sans 300" w:eastAsia="Times New Roman" w:hAnsi="Museo Sans 300" w:cs="Times New Roman"/>
          <w:lang w:val="es-ES_tradnl" w:eastAsia="es-ES"/>
        </w:rPr>
      </w:pPr>
    </w:p>
    <w:p w:rsidR="006E21F0" w:rsidRPr="00031B9E" w:rsidRDefault="006E21F0" w:rsidP="00031B9E">
      <w:pPr>
        <w:spacing w:after="0" w:line="0" w:lineRule="atLeast"/>
        <w:jc w:val="center"/>
        <w:rPr>
          <w:rFonts w:ascii="Museo Sans 300" w:eastAsia="Times New Roman" w:hAnsi="Museo Sans 300" w:cs="Times New Roman"/>
          <w:lang w:val="es-ES_tradnl" w:eastAsia="es-ES"/>
        </w:rPr>
      </w:pPr>
    </w:p>
    <w:p w:rsidR="00031B9E" w:rsidRPr="00031B9E" w:rsidRDefault="00031B9E" w:rsidP="00031B9E">
      <w:pPr>
        <w:spacing w:after="0" w:line="240" w:lineRule="auto"/>
        <w:ind w:left="4260" w:firstLine="696"/>
        <w:jc w:val="both"/>
        <w:rPr>
          <w:rFonts w:ascii="Museo Sans 300" w:eastAsia="Arial" w:hAnsi="Museo Sans 300" w:cs="Arial"/>
          <w:lang w:eastAsia="es-SV"/>
        </w:rPr>
      </w:pPr>
      <w:r w:rsidRPr="00031B9E">
        <w:rPr>
          <w:rFonts w:ascii="Museo Sans 300" w:eastAsia="Arial" w:hAnsi="Museo Sans 300" w:cs="Arial"/>
          <w:lang w:eastAsia="es-SV"/>
        </w:rPr>
        <w:t>Manuel Ernesto Aguilar Flores</w:t>
      </w:r>
    </w:p>
    <w:p w:rsidR="00031B9E" w:rsidRPr="00031B9E" w:rsidRDefault="00031B9E" w:rsidP="00031B9E">
      <w:pPr>
        <w:spacing w:after="0" w:line="240" w:lineRule="auto"/>
        <w:ind w:left="4260" w:firstLine="696"/>
        <w:jc w:val="both"/>
        <w:rPr>
          <w:rFonts w:ascii="Museo Sans 300" w:eastAsia="Arial" w:hAnsi="Museo Sans 300" w:cs="Arial"/>
          <w:lang w:eastAsia="es-SV"/>
        </w:rPr>
      </w:pPr>
      <w:r w:rsidRPr="00031B9E">
        <w:rPr>
          <w:rFonts w:ascii="Museo Sans 300" w:eastAsia="Arial" w:hAnsi="Museo Sans 300" w:cs="Arial"/>
          <w:lang w:eastAsia="es-SV"/>
        </w:rPr>
        <w:t>Superintendente</w:t>
      </w:r>
    </w:p>
    <w:p w:rsidR="00031B9E" w:rsidRPr="00031B9E" w:rsidRDefault="00031B9E" w:rsidP="00031B9E">
      <w:pPr>
        <w:tabs>
          <w:tab w:val="left" w:pos="567"/>
        </w:tabs>
        <w:spacing w:after="0" w:line="240" w:lineRule="auto"/>
        <w:ind w:left="567"/>
        <w:contextualSpacing/>
        <w:jc w:val="both"/>
        <w:rPr>
          <w:rFonts w:ascii="Museo Sans 300" w:eastAsia="Calibri" w:hAnsi="Museo Sans 300" w:cs="Times New Roman"/>
          <w:b/>
          <w:bCs/>
          <w:lang w:val="es-ES_tradnl"/>
        </w:rPr>
      </w:pPr>
    </w:p>
    <w:p w:rsidR="00031B9E" w:rsidRPr="00031B9E" w:rsidRDefault="00031B9E" w:rsidP="00031B9E">
      <w:pPr>
        <w:spacing w:after="200" w:line="276" w:lineRule="auto"/>
        <w:rPr>
          <w:rFonts w:ascii="Calibri" w:eastAsia="Calibri" w:hAnsi="Calibri" w:cs="Times New Roman"/>
        </w:rPr>
      </w:pPr>
    </w:p>
    <w:p w:rsidR="00445523" w:rsidRDefault="00445523"/>
    <w:sectPr w:rsidR="00445523" w:rsidSect="00F92F02">
      <w:headerReference w:type="even" r:id="rId7"/>
      <w:headerReference w:type="default" r:id="rId8"/>
      <w:footerReference w:type="even" r:id="rId9"/>
      <w:headerReference w:type="first" r:id="rId10"/>
      <w:footerReference w:type="first" r:id="rId11"/>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CA" w:rsidRDefault="007169CA">
      <w:pPr>
        <w:spacing w:after="0" w:line="240" w:lineRule="auto"/>
      </w:pPr>
      <w:r>
        <w:separator/>
      </w:r>
    </w:p>
  </w:endnote>
  <w:endnote w:type="continuationSeparator" w:id="0">
    <w:p w:rsidR="007169CA" w:rsidRDefault="0071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500">
    <w:altName w:val="Arial"/>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ans 300">
    <w:altName w:val="Arial"/>
    <w:panose1 w:val="02000000000000000000"/>
    <w:charset w:val="00"/>
    <w:family w:val="modern"/>
    <w:notTrueType/>
    <w:pitch w:val="variable"/>
    <w:sig w:usb0="A00000AF" w:usb1="4000004A" w:usb2="00000000" w:usb3="00000000" w:csb0="00000093" w:csb1="00000000"/>
  </w:font>
  <w:font w:name="Museo Sans 900">
    <w:altName w:val="Arial"/>
    <w:panose1 w:val="02000000000000000000"/>
    <w:charset w:val="00"/>
    <w:family w:val="modern"/>
    <w:notTrueType/>
    <w:pitch w:val="variable"/>
    <w:sig w:usb0="A00000AF" w:usb1="40000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02" w:rsidRDefault="00F92F02">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73D0">
      <w:rPr>
        <w:b/>
        <w:bCs/>
        <w:noProof/>
      </w:rPr>
      <w:t>16</w:t>
    </w:r>
    <w:r>
      <w:rPr>
        <w:b/>
        <w:bCs/>
        <w:sz w:val="24"/>
        <w:szCs w:val="24"/>
      </w:rPr>
      <w:fldChar w:fldCharType="end"/>
    </w:r>
  </w:p>
  <w:p w:rsidR="00F92F02" w:rsidRDefault="00F92F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02" w:rsidRPr="00682631" w:rsidRDefault="00F92F02" w:rsidP="00F92F0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rsidR="00F92F02" w:rsidRPr="00682631" w:rsidRDefault="00F92F02" w:rsidP="00F92F0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CA" w:rsidRDefault="007169CA">
      <w:pPr>
        <w:spacing w:after="0" w:line="240" w:lineRule="auto"/>
      </w:pPr>
      <w:r>
        <w:separator/>
      </w:r>
    </w:p>
  </w:footnote>
  <w:footnote w:type="continuationSeparator" w:id="0">
    <w:p w:rsidR="007169CA" w:rsidRDefault="0071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02" w:rsidRDefault="00F92F02">
    <w:pPr>
      <w:pStyle w:val="Encabezado"/>
    </w:pPr>
    <w:r>
      <w:rPr>
        <w:noProof/>
        <w:lang w:eastAsia="es-SV"/>
      </w:rPr>
      <w:drawing>
        <wp:anchor distT="36576" distB="36576" distL="36576" distR="36576" simplePos="0" relativeHeight="251660288" behindDoc="0" locked="0" layoutInCell="1" allowOverlap="1" wp14:anchorId="25DB6450" wp14:editId="6CA428BA">
          <wp:simplePos x="0" y="0"/>
          <wp:positionH relativeFrom="page">
            <wp:align>right</wp:align>
          </wp:positionH>
          <wp:positionV relativeFrom="paragraph">
            <wp:posOffset>984885</wp:posOffset>
          </wp:positionV>
          <wp:extent cx="7736840" cy="671893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430" cy="6517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02" w:rsidRDefault="00F92F02" w:rsidP="00F92F02">
    <w:pPr>
      <w:outlineLvl w:val="1"/>
    </w:pPr>
    <w:r w:rsidRPr="00682631">
      <w:rPr>
        <w:noProof/>
        <w:lang w:eastAsia="es-SV"/>
      </w:rPr>
      <w:drawing>
        <wp:inline distT="0" distB="0" distL="0" distR="0" wp14:anchorId="70BB5556" wp14:editId="5DC5C87D">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07A9542E" wp14:editId="060F2A5A">
          <wp:simplePos x="0" y="0"/>
          <wp:positionH relativeFrom="page">
            <wp:align>right</wp:align>
          </wp:positionH>
          <wp:positionV relativeFrom="paragraph">
            <wp:posOffset>1507490</wp:posOffset>
          </wp:positionV>
          <wp:extent cx="7736840" cy="671893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4430" cy="6517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F02" w:rsidRPr="00754E7A" w:rsidRDefault="00F92F02" w:rsidP="00F92F02">
    <w:pPr>
      <w:pStyle w:val="Encabezado"/>
      <w:jc w:val="center"/>
    </w:pPr>
    <w:r>
      <w:rPr>
        <w:noProof/>
        <w:lang w:eastAsia="es-SV"/>
      </w:rPr>
      <w:drawing>
        <wp:anchor distT="0" distB="0" distL="114300" distR="114300" simplePos="0" relativeHeight="251662336" behindDoc="1" locked="0" layoutInCell="1" allowOverlap="1" wp14:anchorId="0ED876AC" wp14:editId="214D4BE6">
          <wp:simplePos x="0" y="0"/>
          <wp:positionH relativeFrom="page">
            <wp:posOffset>10795</wp:posOffset>
          </wp:positionH>
          <wp:positionV relativeFrom="line">
            <wp:posOffset>-369570</wp:posOffset>
          </wp:positionV>
          <wp:extent cx="7772400" cy="100577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2060" cy="653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2D657EDD" wp14:editId="29C0A2A1">
          <wp:simplePos x="0" y="0"/>
          <wp:positionH relativeFrom="page">
            <wp:align>right</wp:align>
          </wp:positionH>
          <wp:positionV relativeFrom="paragraph">
            <wp:posOffset>1489075</wp:posOffset>
          </wp:positionV>
          <wp:extent cx="7762875" cy="7355205"/>
          <wp:effectExtent l="0" t="0" r="635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0" cy="6545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5">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nsid w:val="40AC3E60"/>
    <w:multiLevelType w:val="hybridMultilevel"/>
    <w:tmpl w:val="75FA96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1902B6"/>
    <w:multiLevelType w:val="hybridMultilevel"/>
    <w:tmpl w:val="B380E4F2"/>
    <w:lvl w:ilvl="0" w:tplc="9516EE40">
      <w:start w:val="1"/>
      <w:numFmt w:val="lowerLetter"/>
      <w:lvlText w:val="%1)"/>
      <w:lvlJc w:val="left"/>
      <w:pPr>
        <w:ind w:left="786" w:hanging="360"/>
      </w:pPr>
      <w:rPr>
        <w:rFonts w:ascii="Museo Sans 500" w:hAnsi="Museo Sans 500" w:hint="default"/>
        <w:b/>
        <w:i w:val="0"/>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nsid w:val="43474699"/>
    <w:multiLevelType w:val="hybridMultilevel"/>
    <w:tmpl w:val="EAC658A6"/>
    <w:lvl w:ilvl="0" w:tplc="B0B46E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A4213D6"/>
    <w:multiLevelType w:val="hybridMultilevel"/>
    <w:tmpl w:val="2E46C136"/>
    <w:lvl w:ilvl="0" w:tplc="A5F4F5DE">
      <w:start w:val="1"/>
      <w:numFmt w:val="lowerLetter"/>
      <w:lvlText w:val="%1)"/>
      <w:lvlJc w:val="left"/>
      <w:pPr>
        <w:ind w:left="72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365BC"/>
    <w:multiLevelType w:val="hybridMultilevel"/>
    <w:tmpl w:val="C41AD5F6"/>
    <w:lvl w:ilvl="0" w:tplc="B58E7B1E">
      <w:start w:val="2"/>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7">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18">
    <w:nsid w:val="6DFF19DC"/>
    <w:multiLevelType w:val="multilevel"/>
    <w:tmpl w:val="EBDE32A4"/>
    <w:lvl w:ilvl="0">
      <w:start w:val="1"/>
      <w:numFmt w:val="lowerLetter"/>
      <w:lvlText w:val="%1)"/>
      <w:lvlJc w:val="left"/>
      <w:pPr>
        <w:tabs>
          <w:tab w:val="num" w:pos="900"/>
        </w:tabs>
        <w:ind w:left="900" w:hanging="360"/>
      </w:pPr>
      <w:rPr>
        <w:rFonts w:hint="default"/>
        <w:b w:val="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start w:val="3"/>
      <w:numFmt w:val="lowerLetter"/>
      <w:lvlText w:val="%6."/>
      <w:lvlJc w:val="left"/>
      <w:pPr>
        <w:ind w:left="4668" w:hanging="360"/>
      </w:pPr>
      <w:rPr>
        <w:rFonts w:hint="default"/>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7AC64B90"/>
    <w:multiLevelType w:val="hybridMultilevel"/>
    <w:tmpl w:val="E6FA8818"/>
    <w:lvl w:ilvl="0" w:tplc="60C6FE72">
      <w:start w:val="1"/>
      <w:numFmt w:val="upperRoman"/>
      <w:lvlText w:val="%1."/>
      <w:lvlJc w:val="left"/>
      <w:pPr>
        <w:ind w:left="1080" w:hanging="720"/>
      </w:pPr>
      <w:rPr>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3"/>
  </w:num>
  <w:num w:numId="2">
    <w:abstractNumId w:val="18"/>
  </w:num>
  <w:num w:numId="3">
    <w:abstractNumId w:val="2"/>
  </w:num>
  <w:num w:numId="4">
    <w:abstractNumId w:val="14"/>
  </w:num>
  <w:num w:numId="5">
    <w:abstractNumId w:val="10"/>
  </w:num>
  <w:num w:numId="6">
    <w:abstractNumId w:val="5"/>
  </w:num>
  <w:num w:numId="7">
    <w:abstractNumId w:val="9"/>
  </w:num>
  <w:num w:numId="8">
    <w:abstractNumId w:val="3"/>
  </w:num>
  <w:num w:numId="9">
    <w:abstractNumId w:val="12"/>
  </w:num>
  <w:num w:numId="10">
    <w:abstractNumId w:val="19"/>
  </w:num>
  <w:num w:numId="11">
    <w:abstractNumId w:val="1"/>
  </w:num>
  <w:num w:numId="12">
    <w:abstractNumId w:val="0"/>
  </w:num>
  <w:num w:numId="13">
    <w:abstractNumId w:val="17"/>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4"/>
  </w:num>
  <w:num w:numId="19">
    <w:abstractNumId w:val="11"/>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9E"/>
    <w:rsid w:val="000163C5"/>
    <w:rsid w:val="00031B9E"/>
    <w:rsid w:val="00082CA4"/>
    <w:rsid w:val="001260BF"/>
    <w:rsid w:val="00155874"/>
    <w:rsid w:val="00171B75"/>
    <w:rsid w:val="001A027E"/>
    <w:rsid w:val="001B121A"/>
    <w:rsid w:val="001E20BB"/>
    <w:rsid w:val="00200865"/>
    <w:rsid w:val="00213E0C"/>
    <w:rsid w:val="0024558F"/>
    <w:rsid w:val="00273E86"/>
    <w:rsid w:val="00291F64"/>
    <w:rsid w:val="002963C1"/>
    <w:rsid w:val="002B5770"/>
    <w:rsid w:val="002F7207"/>
    <w:rsid w:val="0030227F"/>
    <w:rsid w:val="0031341F"/>
    <w:rsid w:val="003514A2"/>
    <w:rsid w:val="003D367D"/>
    <w:rsid w:val="003E3A6C"/>
    <w:rsid w:val="003F28EC"/>
    <w:rsid w:val="003F7128"/>
    <w:rsid w:val="004129A9"/>
    <w:rsid w:val="004238D6"/>
    <w:rsid w:val="00427568"/>
    <w:rsid w:val="00427673"/>
    <w:rsid w:val="00445523"/>
    <w:rsid w:val="00456E4D"/>
    <w:rsid w:val="00470D81"/>
    <w:rsid w:val="00494BC2"/>
    <w:rsid w:val="0049592D"/>
    <w:rsid w:val="00495CCF"/>
    <w:rsid w:val="004B4E03"/>
    <w:rsid w:val="004F1039"/>
    <w:rsid w:val="00513917"/>
    <w:rsid w:val="00522174"/>
    <w:rsid w:val="005222FE"/>
    <w:rsid w:val="0054472C"/>
    <w:rsid w:val="005B0504"/>
    <w:rsid w:val="005B5AE1"/>
    <w:rsid w:val="005F1865"/>
    <w:rsid w:val="00610674"/>
    <w:rsid w:val="0061191E"/>
    <w:rsid w:val="00637493"/>
    <w:rsid w:val="00637F58"/>
    <w:rsid w:val="00645052"/>
    <w:rsid w:val="006665B5"/>
    <w:rsid w:val="006E21F0"/>
    <w:rsid w:val="006F40B9"/>
    <w:rsid w:val="0070487C"/>
    <w:rsid w:val="007169CA"/>
    <w:rsid w:val="007A0645"/>
    <w:rsid w:val="007B05CC"/>
    <w:rsid w:val="007B33BE"/>
    <w:rsid w:val="007D1833"/>
    <w:rsid w:val="007F009D"/>
    <w:rsid w:val="00822538"/>
    <w:rsid w:val="00874713"/>
    <w:rsid w:val="008C6E31"/>
    <w:rsid w:val="008D4F9B"/>
    <w:rsid w:val="008F787F"/>
    <w:rsid w:val="00937248"/>
    <w:rsid w:val="0096632D"/>
    <w:rsid w:val="009700E5"/>
    <w:rsid w:val="009825DE"/>
    <w:rsid w:val="009C42F2"/>
    <w:rsid w:val="009D42F8"/>
    <w:rsid w:val="009F0DF5"/>
    <w:rsid w:val="009F6427"/>
    <w:rsid w:val="00A63A2D"/>
    <w:rsid w:val="00A90301"/>
    <w:rsid w:val="00AA1A18"/>
    <w:rsid w:val="00AC6B31"/>
    <w:rsid w:val="00B267CD"/>
    <w:rsid w:val="00B32E31"/>
    <w:rsid w:val="00B75141"/>
    <w:rsid w:val="00B8707D"/>
    <w:rsid w:val="00C020B8"/>
    <w:rsid w:val="00C0301C"/>
    <w:rsid w:val="00D02D8E"/>
    <w:rsid w:val="00D036BC"/>
    <w:rsid w:val="00D245C3"/>
    <w:rsid w:val="00D96673"/>
    <w:rsid w:val="00DB523D"/>
    <w:rsid w:val="00DC73D0"/>
    <w:rsid w:val="00DC77F3"/>
    <w:rsid w:val="00DE2CC1"/>
    <w:rsid w:val="00E600E1"/>
    <w:rsid w:val="00E81552"/>
    <w:rsid w:val="00EC38CD"/>
    <w:rsid w:val="00F1789A"/>
    <w:rsid w:val="00F21A1E"/>
    <w:rsid w:val="00F24EA4"/>
    <w:rsid w:val="00F61376"/>
    <w:rsid w:val="00F92F02"/>
    <w:rsid w:val="00F95754"/>
    <w:rsid w:val="00FD5D25"/>
    <w:rsid w:val="00FE09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1B9C93-9FD0-4252-B299-A77F2EF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1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31B9E"/>
  </w:style>
  <w:style w:type="paragraph" w:styleId="Piedepgina">
    <w:name w:val="footer"/>
    <w:basedOn w:val="Normal"/>
    <w:link w:val="PiedepginaCar"/>
    <w:uiPriority w:val="99"/>
    <w:semiHidden/>
    <w:unhideWhenUsed/>
    <w:rsid w:val="00031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31B9E"/>
  </w:style>
  <w:style w:type="paragraph" w:styleId="Prrafodelista">
    <w:name w:val="List Paragraph"/>
    <w:basedOn w:val="Normal"/>
    <w:link w:val="PrrafodelistaCar"/>
    <w:uiPriority w:val="34"/>
    <w:qFormat/>
    <w:rsid w:val="00637493"/>
    <w:pPr>
      <w:ind w:left="720"/>
      <w:contextualSpacing/>
    </w:pPr>
  </w:style>
  <w:style w:type="paragraph" w:styleId="Textodeglobo">
    <w:name w:val="Balloon Text"/>
    <w:basedOn w:val="Normal"/>
    <w:link w:val="TextodegloboCar"/>
    <w:uiPriority w:val="99"/>
    <w:semiHidden/>
    <w:unhideWhenUsed/>
    <w:rsid w:val="00291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F64"/>
    <w:rPr>
      <w:rFonts w:ascii="Segoe UI" w:hAnsi="Segoe UI" w:cs="Segoe UI"/>
      <w:sz w:val="18"/>
      <w:szCs w:val="18"/>
    </w:rPr>
  </w:style>
  <w:style w:type="character" w:customStyle="1" w:styleId="PrrafodelistaCar">
    <w:name w:val="Párrafo de lista Car"/>
    <w:basedOn w:val="Fuentedeprrafopredeter"/>
    <w:link w:val="Prrafodelista"/>
    <w:uiPriority w:val="34"/>
    <w:rsid w:val="00291F64"/>
  </w:style>
  <w:style w:type="character" w:styleId="Refdecomentario">
    <w:name w:val="annotation reference"/>
    <w:basedOn w:val="Fuentedeprrafopredeter"/>
    <w:uiPriority w:val="99"/>
    <w:semiHidden/>
    <w:unhideWhenUsed/>
    <w:rsid w:val="00B267CD"/>
    <w:rPr>
      <w:sz w:val="16"/>
      <w:szCs w:val="16"/>
    </w:rPr>
  </w:style>
  <w:style w:type="paragraph" w:styleId="Textocomentario">
    <w:name w:val="annotation text"/>
    <w:basedOn w:val="Normal"/>
    <w:link w:val="TextocomentarioCar"/>
    <w:uiPriority w:val="99"/>
    <w:semiHidden/>
    <w:unhideWhenUsed/>
    <w:rsid w:val="00B267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67CD"/>
    <w:rPr>
      <w:sz w:val="20"/>
      <w:szCs w:val="20"/>
    </w:rPr>
  </w:style>
  <w:style w:type="paragraph" w:styleId="Asuntodelcomentario">
    <w:name w:val="annotation subject"/>
    <w:basedOn w:val="Textocomentario"/>
    <w:next w:val="Textocomentario"/>
    <w:link w:val="AsuntodelcomentarioCar"/>
    <w:uiPriority w:val="99"/>
    <w:semiHidden/>
    <w:unhideWhenUsed/>
    <w:rsid w:val="00B267CD"/>
    <w:rPr>
      <w:b/>
      <w:bCs/>
    </w:rPr>
  </w:style>
  <w:style w:type="character" w:customStyle="1" w:styleId="AsuntodelcomentarioCar">
    <w:name w:val="Asunto del comentario Car"/>
    <w:basedOn w:val="TextocomentarioCar"/>
    <w:link w:val="Asuntodelcomentario"/>
    <w:uiPriority w:val="99"/>
    <w:semiHidden/>
    <w:rsid w:val="00B267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4601">
      <w:bodyDiv w:val="1"/>
      <w:marLeft w:val="0"/>
      <w:marRight w:val="0"/>
      <w:marTop w:val="0"/>
      <w:marBottom w:val="0"/>
      <w:divBdr>
        <w:top w:val="none" w:sz="0" w:space="0" w:color="auto"/>
        <w:left w:val="none" w:sz="0" w:space="0" w:color="auto"/>
        <w:bottom w:val="none" w:sz="0" w:space="0" w:color="auto"/>
        <w:right w:val="none" w:sz="0" w:space="0" w:color="auto"/>
      </w:divBdr>
    </w:div>
    <w:div w:id="188036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6705</Words>
  <Characters>36883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4</cp:revision>
  <cp:lastPrinted>2019-11-27T20:12:00Z</cp:lastPrinted>
  <dcterms:created xsi:type="dcterms:W3CDTF">2020-02-12T15:01:00Z</dcterms:created>
  <dcterms:modified xsi:type="dcterms:W3CDTF">2020-02-12T15:16:00Z</dcterms:modified>
</cp:coreProperties>
</file>