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09" w:rsidRPr="00DE1809" w:rsidRDefault="00DE1809" w:rsidP="00DE1809">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DE1809" w:rsidRPr="00DE1809" w:rsidRDefault="00DE1809" w:rsidP="00DE1809">
      <w:pPr>
        <w:spacing w:after="0" w:line="240" w:lineRule="auto"/>
        <w:jc w:val="both"/>
        <w:rPr>
          <w:rFonts w:ascii="Museo Sans 300" w:eastAsia="Arial" w:hAnsi="Museo Sans 300" w:cs="Arial"/>
          <w:b/>
          <w:bCs/>
          <w:sz w:val="24"/>
          <w:szCs w:val="24"/>
          <w:lang w:val="es-ES_tradnl" w:eastAsia="es-SV"/>
        </w:rPr>
      </w:pPr>
    </w:p>
    <w:p w:rsidR="00DE1809" w:rsidRPr="00DE1809" w:rsidRDefault="00DE1809" w:rsidP="00DE1809">
      <w:pPr>
        <w:spacing w:after="0" w:line="240" w:lineRule="auto"/>
        <w:jc w:val="both"/>
        <w:rPr>
          <w:rFonts w:ascii="Museo Sans 300" w:eastAsia="Arial" w:hAnsi="Museo Sans 300" w:cs="Arial"/>
          <w:lang w:val="es-ES_tradnl" w:eastAsia="es-SV"/>
        </w:rPr>
      </w:pPr>
      <w:r w:rsidRPr="00DE1809">
        <w:rPr>
          <w:rFonts w:ascii="Museo Sans 900" w:eastAsia="Arial" w:hAnsi="Museo Sans 900" w:cs="Arial"/>
          <w:b/>
          <w:bCs/>
          <w:lang w:val="es-ES_tradnl" w:eastAsia="es-SV"/>
        </w:rPr>
        <w:t>ACUERDO N.° E-511-2019-CAU.</w:t>
      </w:r>
      <w:r w:rsidRPr="00DE1809">
        <w:rPr>
          <w:rFonts w:ascii="Museo Sans 500" w:eastAsia="Arial" w:hAnsi="Museo Sans 500" w:cs="Arial"/>
          <w:lang w:val="es-ES_tradnl" w:eastAsia="es-SV"/>
        </w:rPr>
        <w:t xml:space="preserve"> </w:t>
      </w:r>
      <w:r w:rsidRPr="00DE1809">
        <w:rPr>
          <w:rFonts w:ascii="Museo Sans 300" w:eastAsia="Arial" w:hAnsi="Museo Sans 300" w:cs="Arial"/>
          <w:lang w:val="es-ES_tradnl" w:eastAsia="es-SV"/>
        </w:rPr>
        <w:t>SUPERINTENDENCIA GENERAL DE ELECTRICIDAD Y TELECOMUNICACIONES. San Salvador, a las diez horas del día veintiocho de octubre de dos mil diecinueve.</w:t>
      </w:r>
    </w:p>
    <w:p w:rsidR="00DE1809" w:rsidRPr="00DE1809" w:rsidRDefault="00DE1809" w:rsidP="00DE1809">
      <w:pPr>
        <w:spacing w:after="0" w:line="240" w:lineRule="auto"/>
        <w:jc w:val="both"/>
        <w:rPr>
          <w:rFonts w:ascii="Museo Sans 300" w:eastAsia="Arial" w:hAnsi="Museo Sans 300" w:cs="Arial"/>
          <w:lang w:val="es-ES_tradnl" w:eastAsia="es-SV"/>
        </w:rPr>
      </w:pPr>
    </w:p>
    <w:p w:rsidR="00DE1809" w:rsidRPr="00DE1809" w:rsidRDefault="00DE1809" w:rsidP="00DE1809">
      <w:pPr>
        <w:spacing w:after="0" w:line="240" w:lineRule="auto"/>
        <w:jc w:val="both"/>
        <w:rPr>
          <w:rFonts w:ascii="Museo Sans 300" w:eastAsia="Arial" w:hAnsi="Museo Sans 300" w:cs="Arial"/>
          <w:lang w:val="es-ES_tradnl" w:eastAsia="es-SV"/>
        </w:rPr>
      </w:pPr>
      <w:r w:rsidRPr="00DE1809">
        <w:rPr>
          <w:rFonts w:ascii="Museo Sans 300" w:eastAsia="Arial" w:hAnsi="Museo Sans 300" w:cs="Arial"/>
          <w:lang w:val="es-ES_tradnl" w:eastAsia="es-SV"/>
        </w:rPr>
        <w:t>Esta Superintendencia, CONSIDERANDO QUE:</w:t>
      </w:r>
    </w:p>
    <w:p w:rsidR="00DE1809" w:rsidRPr="00DE1809" w:rsidRDefault="00DE1809" w:rsidP="00DE1809">
      <w:pPr>
        <w:spacing w:after="0" w:line="240" w:lineRule="auto"/>
        <w:jc w:val="both"/>
        <w:rPr>
          <w:rFonts w:ascii="Museo Sans 300" w:eastAsia="Arial" w:hAnsi="Museo Sans 300" w:cs="Arial"/>
          <w:lang w:val="es-ES_tradnl" w:eastAsia="es-SV"/>
        </w:rPr>
      </w:pPr>
    </w:p>
    <w:p w:rsidR="00DE1809" w:rsidRPr="00DE1809" w:rsidRDefault="00DE1809" w:rsidP="00DE1809">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DE1809">
        <w:rPr>
          <w:rFonts w:ascii="Museo Sans 300" w:eastAsia="Arial" w:hAnsi="Museo Sans 300" w:cs="Arial"/>
          <w:lang w:val="es-ES_tradnl" w:eastAsia="es-SV"/>
        </w:rPr>
        <w:t>Por medio del acuerdo N.° E-361-2019-CAU, esta Superintendencia estableció lo siguiente:</w:t>
      </w:r>
    </w:p>
    <w:p w:rsidR="00DE1809" w:rsidRPr="00DE1809" w:rsidRDefault="00DE1809" w:rsidP="00DE1809">
      <w:pPr>
        <w:spacing w:after="0" w:line="240" w:lineRule="auto"/>
        <w:ind w:left="567"/>
        <w:jc w:val="both"/>
        <w:rPr>
          <w:rFonts w:ascii="Museo Sans 300" w:eastAsia="Arial" w:hAnsi="Museo Sans 300" w:cs="Arial"/>
          <w:lang w:val="es-ES_tradnl" w:eastAsia="es-SV"/>
        </w:rPr>
      </w:pPr>
    </w:p>
    <w:p w:rsidR="00DE1809" w:rsidRPr="00DE1809" w:rsidRDefault="00DE1809" w:rsidP="00DE1809">
      <w:pPr>
        <w:spacing w:after="0" w:line="240" w:lineRule="auto"/>
        <w:ind w:left="851" w:right="283"/>
        <w:jc w:val="both"/>
        <w:rPr>
          <w:rFonts w:ascii="Museo Sans 300" w:eastAsia="Arial" w:hAnsi="Museo Sans 300" w:cs="Arial"/>
          <w:sz w:val="18"/>
          <w:szCs w:val="18"/>
          <w:lang w:val="es-ES_tradnl" w:eastAsia="es-SV"/>
        </w:rPr>
      </w:pPr>
      <w:r w:rsidRPr="00DE1809">
        <w:rPr>
          <w:rFonts w:ascii="Museo Sans 300" w:eastAsia="Arial" w:hAnsi="Museo Sans 300" w:cs="Arial"/>
          <w:sz w:val="18"/>
          <w:szCs w:val="18"/>
          <w:lang w:val="es-ES_tradnl" w:eastAsia="es-SV"/>
        </w:rPr>
        <w:t xml:space="preserve">“““(…) a) </w:t>
      </w:r>
      <w:r w:rsidRPr="00DE1809">
        <w:rPr>
          <w:rFonts w:ascii="Museo Sans 300" w:eastAsia="Arial" w:hAnsi="Museo Sans 300" w:cs="Arial"/>
          <w:sz w:val="18"/>
          <w:szCs w:val="18"/>
          <w:lang w:eastAsia="es-SV"/>
        </w:rPr>
        <w:t xml:space="preserve">Determinar que el corte del suministro de energía eléctrica identificado con el NIC 2216609 realizado por la sociedad </w:t>
      </w:r>
      <w:r w:rsidR="00DF4E2F">
        <w:rPr>
          <w:rFonts w:ascii="Museo Sans 300" w:eastAsia="Arial" w:hAnsi="Museo Sans 300" w:cs="Arial"/>
          <w:sz w:val="18"/>
          <w:szCs w:val="18"/>
          <w:lang w:eastAsia="es-SV"/>
        </w:rPr>
        <w:t>XXXXXXXXXXXXX</w:t>
      </w:r>
      <w:r w:rsidRPr="00DE1809">
        <w:rPr>
          <w:rFonts w:ascii="Museo Sans 300" w:eastAsia="Arial" w:hAnsi="Museo Sans 300" w:cs="Arial"/>
          <w:sz w:val="18"/>
          <w:szCs w:val="18"/>
          <w:lang w:eastAsia="es-SV"/>
        </w:rPr>
        <w:t xml:space="preserve">, S.A. de C.V. a solicitud del señor </w:t>
      </w:r>
      <w:r w:rsidR="00DF4E2F">
        <w:rPr>
          <w:rFonts w:ascii="Museo Sans 300" w:eastAsia="Arial" w:hAnsi="Museo Sans 300" w:cs="Arial"/>
          <w:sz w:val="18"/>
          <w:szCs w:val="18"/>
          <w:lang w:eastAsia="es-SV"/>
        </w:rPr>
        <w:t>Xxxxxxxxxxxxx</w:t>
      </w:r>
      <w:r w:rsidRPr="00DE1809">
        <w:rPr>
          <w:rFonts w:ascii="Museo Sans 300" w:eastAsia="Arial" w:hAnsi="Museo Sans 300" w:cs="Arial"/>
          <w:sz w:val="18"/>
          <w:szCs w:val="18"/>
          <w:lang w:eastAsia="es-SV"/>
        </w:rPr>
        <w:t>, se encuentra debidamente justificado de conformidad con los Términos y Condiciones Generales al Consumidor Final de los Pliegos Tarifarios vigentes.</w:t>
      </w:r>
    </w:p>
    <w:p w:rsidR="00DE1809" w:rsidRPr="00DE1809" w:rsidRDefault="00DE1809" w:rsidP="00DE1809">
      <w:pPr>
        <w:spacing w:after="0" w:line="240" w:lineRule="auto"/>
        <w:ind w:left="938"/>
        <w:jc w:val="both"/>
        <w:rPr>
          <w:rFonts w:ascii="Museo Sans 300" w:eastAsia="Arial" w:hAnsi="Museo Sans 300" w:cs="Arial"/>
          <w:sz w:val="18"/>
          <w:szCs w:val="18"/>
          <w:lang w:val="es-ES_tradnl" w:eastAsia="es-SV"/>
        </w:rPr>
      </w:pPr>
    </w:p>
    <w:p w:rsidR="00DE1809" w:rsidRPr="00DE1809" w:rsidRDefault="00DE1809" w:rsidP="00DE1809">
      <w:pPr>
        <w:numPr>
          <w:ilvl w:val="0"/>
          <w:numId w:val="2"/>
        </w:numPr>
        <w:tabs>
          <w:tab w:val="left" w:pos="567"/>
          <w:tab w:val="left" w:pos="993"/>
          <w:tab w:val="left" w:pos="1134"/>
        </w:tabs>
        <w:spacing w:after="0" w:line="240" w:lineRule="auto"/>
        <w:ind w:left="851" w:right="283"/>
        <w:jc w:val="both"/>
        <w:rPr>
          <w:rFonts w:ascii="Museo Sans 300" w:eastAsia="Arial" w:hAnsi="Museo Sans 300" w:cs="Times New Roman"/>
          <w:sz w:val="18"/>
          <w:szCs w:val="18"/>
          <w:lang w:val="es-ES_tradnl" w:eastAsia="es-ES"/>
        </w:rPr>
      </w:pPr>
      <w:r w:rsidRPr="00DE1809">
        <w:rPr>
          <w:rFonts w:ascii="Museo Sans 300" w:eastAsia="Arial" w:hAnsi="Museo Sans 300" w:cs="Times New Roman"/>
          <w:sz w:val="18"/>
          <w:szCs w:val="18"/>
          <w:lang w:val="es-ES_tradnl" w:eastAsia="es-ES"/>
        </w:rPr>
        <w:t xml:space="preserve">Establecer que </w:t>
      </w:r>
      <w:r w:rsidRPr="00DE1809">
        <w:rPr>
          <w:rFonts w:ascii="Museo Sans 300" w:eastAsia="Times New Roman" w:hAnsi="Museo Sans 300" w:cs="Times New Roman"/>
          <w:sz w:val="18"/>
          <w:szCs w:val="18"/>
          <w:lang w:val="es-ES" w:eastAsia="es-ES"/>
        </w:rPr>
        <w:t xml:space="preserve">la señora </w:t>
      </w:r>
      <w:r w:rsidR="00DF4E2F">
        <w:rPr>
          <w:rFonts w:ascii="Museo Sans 300" w:eastAsia="Arial" w:hAnsi="Museo Sans 300" w:cs="Times New Roman"/>
          <w:sz w:val="18"/>
          <w:szCs w:val="18"/>
          <w:lang w:val="es-ES_tradnl" w:eastAsia="es-ES"/>
        </w:rPr>
        <w:t>Xxxxxxxxxxxxx</w:t>
      </w:r>
      <w:r w:rsidRPr="00DE1809">
        <w:rPr>
          <w:rFonts w:ascii="Museo Sans 300" w:eastAsia="Arial" w:hAnsi="Museo Sans 300" w:cs="Times New Roman"/>
          <w:sz w:val="18"/>
          <w:szCs w:val="18"/>
          <w:lang w:val="es-ES_tradnl" w:eastAsia="es-ES"/>
        </w:rPr>
        <w:t xml:space="preserve"> de Campos y el señor Ismael Vásquez pueden solicitar la conexión del servicio de energía eléctrica una vez cumplan </w:t>
      </w:r>
      <w:r w:rsidRPr="00DE1809">
        <w:rPr>
          <w:rFonts w:ascii="Museo Sans 300" w:eastAsia="Times New Roman" w:hAnsi="Museo Sans 300" w:cs="Times New Roman"/>
          <w:sz w:val="18"/>
          <w:szCs w:val="18"/>
          <w:lang w:val="es-ES" w:eastAsia="es-ES"/>
        </w:rPr>
        <w:t xml:space="preserve">con los requisitos estipulados en la Norma Técnica de Conexiones y Reconexiones en Redes de Distribución de Baja y Media Tensión. (…)””” </w:t>
      </w:r>
    </w:p>
    <w:p w:rsidR="00DE1809" w:rsidRPr="00DE1809" w:rsidRDefault="00DE1809" w:rsidP="00DE1809">
      <w:pPr>
        <w:spacing w:after="0" w:line="240" w:lineRule="auto"/>
        <w:ind w:left="567"/>
        <w:jc w:val="both"/>
        <w:rPr>
          <w:rFonts w:ascii="Museo Sans 300" w:eastAsia="Arial" w:hAnsi="Museo Sans 300" w:cs="Arial"/>
          <w:lang w:val="es-ES_tradnl" w:eastAsia="es-SV"/>
        </w:rPr>
      </w:pPr>
    </w:p>
    <w:p w:rsidR="00DE1809" w:rsidRPr="00DE1809" w:rsidRDefault="00DE1809" w:rsidP="00DE1809">
      <w:pPr>
        <w:numPr>
          <w:ilvl w:val="0"/>
          <w:numId w:val="1"/>
        </w:numPr>
        <w:tabs>
          <w:tab w:val="num" w:pos="567"/>
        </w:tabs>
        <w:spacing w:after="0" w:line="240" w:lineRule="auto"/>
        <w:ind w:left="567" w:hanging="567"/>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El día veinticuatro de septiembre del presente año, la</w:t>
      </w:r>
      <w:r w:rsidRPr="00DE1809">
        <w:rPr>
          <w:rFonts w:ascii="Museo Sans 300" w:eastAsia="Times New Roman" w:hAnsi="Museo Sans 300" w:cs="Times New Roman"/>
          <w:lang w:val="es-ES" w:eastAsia="es-ES"/>
        </w:rPr>
        <w:t xml:space="preserve"> señora </w:t>
      </w:r>
      <w:r w:rsidR="00DF4E2F">
        <w:rPr>
          <w:rFonts w:ascii="Museo Sans 300" w:eastAsia="Times New Roman" w:hAnsi="Museo Sans 300" w:cs="Times New Roman"/>
          <w:lang w:val="es-ES_tradnl" w:eastAsia="es-ES"/>
        </w:rPr>
        <w:t>Xxxxxxxxxxxxx</w:t>
      </w:r>
      <w:r w:rsidRPr="00DE1809">
        <w:rPr>
          <w:rFonts w:ascii="Museo Sans 300" w:eastAsia="Times New Roman" w:hAnsi="Museo Sans 300" w:cs="Times New Roman"/>
          <w:lang w:val="es-ES_tradnl" w:eastAsia="es-ES"/>
        </w:rPr>
        <w:t xml:space="preserve"> </w:t>
      </w:r>
      <w:r w:rsidR="00DF4E2F">
        <w:rPr>
          <w:rFonts w:ascii="Museo Sans 300" w:eastAsia="Times New Roman" w:hAnsi="Museo Sans 300" w:cs="Times New Roman"/>
          <w:lang w:val="es-ES_tradnl" w:eastAsia="es-ES"/>
        </w:rPr>
        <w:t>xxxxxxxxx</w:t>
      </w:r>
      <w:r w:rsidRPr="00DE1809">
        <w:rPr>
          <w:rFonts w:ascii="Museo Sans 300" w:eastAsia="Times New Roman" w:hAnsi="Museo Sans 300" w:cs="Times New Roman"/>
          <w:lang w:val="es-ES_tradnl" w:eastAsia="es-ES"/>
        </w:rPr>
        <w:t xml:space="preserve"> y el señor </w:t>
      </w:r>
      <w:r w:rsidR="00DF4E2F">
        <w:rPr>
          <w:rFonts w:ascii="Museo Sans 300" w:eastAsia="Times New Roman" w:hAnsi="Museo Sans 300" w:cs="Times New Roman"/>
          <w:lang w:val="es-ES_tradnl" w:eastAsia="es-ES"/>
        </w:rPr>
        <w:t>xxxxxxx</w:t>
      </w:r>
      <w:r w:rsidRPr="00DE1809">
        <w:rPr>
          <w:rFonts w:ascii="Museo Sans 300" w:eastAsia="Times New Roman" w:hAnsi="Museo Sans 300" w:cs="Times New Roman"/>
          <w:lang w:val="es-ES_tradnl" w:eastAsia="es-ES"/>
        </w:rPr>
        <w:t xml:space="preserve"> presentaron recurso de reconsideración en contra del acuerdo N.° E-361-2019-CAU, por las razones siguientes:</w:t>
      </w:r>
    </w:p>
    <w:p w:rsidR="00DE1809" w:rsidRPr="00DE1809" w:rsidRDefault="00DE1809" w:rsidP="00DE1809">
      <w:pPr>
        <w:spacing w:after="0" w:line="240" w:lineRule="auto"/>
        <w:ind w:left="720"/>
        <w:jc w:val="both"/>
        <w:rPr>
          <w:rFonts w:ascii="Museo Sans 300" w:eastAsia="Times New Roman" w:hAnsi="Museo Sans 300" w:cs="Times New Roman"/>
          <w:lang w:val="es-ES_tradnl" w:eastAsia="es-ES"/>
        </w:rPr>
      </w:pPr>
    </w:p>
    <w:p w:rsidR="00DE1809" w:rsidRPr="00DE1809" w:rsidRDefault="00DE1809" w:rsidP="00DE1809">
      <w:pPr>
        <w:numPr>
          <w:ilvl w:val="0"/>
          <w:numId w:val="3"/>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 xml:space="preserve">La sociedad </w:t>
      </w:r>
      <w:r w:rsidR="00DF4E2F">
        <w:rPr>
          <w:rFonts w:ascii="Museo Sans 300" w:eastAsia="Times New Roman" w:hAnsi="Museo Sans 300" w:cs="Times New Roman"/>
          <w:lang w:val="es-ES_tradnl" w:eastAsia="es-ES"/>
        </w:rPr>
        <w:t>XXXXXXXXXXXXX</w:t>
      </w:r>
      <w:r w:rsidRPr="00DE1809">
        <w:rPr>
          <w:rFonts w:ascii="Museo Sans 300" w:eastAsia="Times New Roman" w:hAnsi="Museo Sans 300" w:cs="Times New Roman"/>
          <w:lang w:val="es-ES_tradnl" w:eastAsia="es-ES"/>
        </w:rPr>
        <w:t>, S.A. de C.V. no les notificó anticipadamente el corte del servicio de energía eléctrica.</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numPr>
          <w:ilvl w:val="0"/>
          <w:numId w:val="3"/>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 xml:space="preserve">La señora </w:t>
      </w:r>
      <w:r w:rsidR="00DF4E2F">
        <w:rPr>
          <w:rFonts w:ascii="Museo Sans 300" w:eastAsia="Times New Roman" w:hAnsi="Museo Sans 300" w:cs="Times New Roman"/>
          <w:lang w:val="es-ES_tradnl" w:eastAsia="es-ES"/>
        </w:rPr>
        <w:t>Xxxxxxxxxxxxx</w:t>
      </w:r>
      <w:r w:rsidRPr="00DE1809">
        <w:rPr>
          <w:rFonts w:ascii="Museo Sans 300" w:eastAsia="Times New Roman" w:hAnsi="Museo Sans 300" w:cs="Times New Roman"/>
          <w:lang w:val="es-ES_tradnl" w:eastAsia="es-ES"/>
        </w:rPr>
        <w:t xml:space="preserve"> es la que tiene una relación contractual con la empresa distribuidora y no el señor </w:t>
      </w:r>
      <w:r w:rsidR="00DF4E2F">
        <w:rPr>
          <w:rFonts w:ascii="Museo Sans 300" w:eastAsia="Times New Roman" w:hAnsi="Museo Sans 300" w:cs="Times New Roman"/>
          <w:lang w:val="es-ES_tradnl" w:eastAsia="es-ES"/>
        </w:rPr>
        <w:t>Xxxxxxxxxxxxx</w:t>
      </w:r>
      <w:r w:rsidRPr="00DE1809">
        <w:rPr>
          <w:rFonts w:ascii="Museo Sans 300" w:eastAsia="Times New Roman" w:hAnsi="Museo Sans 300" w:cs="Times New Roman"/>
          <w:lang w:val="es-ES_tradnl" w:eastAsia="es-ES"/>
        </w:rPr>
        <w:t>.</w:t>
      </w:r>
    </w:p>
    <w:p w:rsidR="00DE1809" w:rsidRPr="00DE1809" w:rsidRDefault="00DE1809" w:rsidP="00DE1809">
      <w:pPr>
        <w:spacing w:after="0" w:line="240" w:lineRule="auto"/>
        <w:ind w:left="708"/>
        <w:rPr>
          <w:rFonts w:ascii="Museo Sans 300" w:eastAsia="Times New Roman" w:hAnsi="Museo Sans 300" w:cs="Times New Roman"/>
          <w:lang w:val="es-ES_tradnl" w:eastAsia="es-ES"/>
        </w:rPr>
      </w:pPr>
    </w:p>
    <w:p w:rsidR="00DE1809" w:rsidRPr="00DE1809" w:rsidRDefault="00DE1809" w:rsidP="00DE1809">
      <w:pPr>
        <w:numPr>
          <w:ilvl w:val="0"/>
          <w:numId w:val="3"/>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 xml:space="preserve">La Ley General de Electricidad no establece que el propietario de un inmueble puede solicitar la desconexión del servicio de energía eléctrica. </w:t>
      </w:r>
    </w:p>
    <w:p w:rsidR="00DE1809" w:rsidRPr="00DE1809" w:rsidRDefault="00DE1809" w:rsidP="00DE1809">
      <w:pPr>
        <w:spacing w:after="0" w:line="240" w:lineRule="auto"/>
        <w:ind w:left="708"/>
        <w:rPr>
          <w:rFonts w:ascii="Museo Sans 300" w:eastAsia="Times New Roman" w:hAnsi="Museo Sans 300" w:cs="Times New Roman"/>
          <w:lang w:val="es-ES_tradnl" w:eastAsia="es-ES"/>
        </w:rPr>
      </w:pPr>
    </w:p>
    <w:p w:rsidR="00DE1809" w:rsidRPr="00DE1809" w:rsidRDefault="00DE1809" w:rsidP="00DE1809">
      <w:pPr>
        <w:numPr>
          <w:ilvl w:val="0"/>
          <w:numId w:val="3"/>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Se encuentra tramitando un proceso de prescripción adquisitiva extraordinaria como mecanismo que protege el derecho de posesión.</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numPr>
          <w:ilvl w:val="0"/>
          <w:numId w:val="1"/>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 xml:space="preserve">Respecto del recurso de reconsideración interpuesto, esta Superintendencia emitió el acuerdo N.° E-421-2019-CAU, por medio del cual concedió al señor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y a la sociedad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S.A. de C.V., en sus calidades de </w:t>
      </w:r>
      <w:r w:rsidRPr="00DE1809">
        <w:rPr>
          <w:rFonts w:ascii="Museo Sans 300" w:eastAsia="Times New Roman" w:hAnsi="Museo Sans 300" w:cs="Times New Roman"/>
          <w:lang w:val="es-ES_tradnl" w:eastAsia="es-ES"/>
        </w:rPr>
        <w:t>terceros con un interés legítimo</w:t>
      </w:r>
      <w:r w:rsidRPr="00DE1809">
        <w:rPr>
          <w:rFonts w:ascii="Museo Sans 300" w:eastAsia="Times New Roman" w:hAnsi="Museo Sans 300" w:cs="Times New Roman"/>
          <w:lang w:val="es-ES" w:eastAsia="es-ES"/>
        </w:rPr>
        <w:t xml:space="preserve">, un plazo de diez días hábiles contados a partir del día siguiente a la notificación de dicho acuerdo, para que </w:t>
      </w:r>
      <w:r w:rsidRPr="00DE1809">
        <w:rPr>
          <w:rFonts w:ascii="Museo Sans 300" w:eastAsia="Times New Roman" w:hAnsi="Museo Sans 300" w:cs="Times New Roman"/>
          <w:lang w:val="es-ES_tradnl" w:eastAsia="es-ES"/>
        </w:rPr>
        <w:t>alegaran cuanto estimen procedente en defensa de sus derechos o intereses.</w:t>
      </w:r>
    </w:p>
    <w:p w:rsidR="00DE1809" w:rsidRPr="00DE1809" w:rsidRDefault="00DE1809" w:rsidP="00DE1809">
      <w:pPr>
        <w:spacing w:after="0" w:line="240" w:lineRule="auto"/>
        <w:ind w:left="567"/>
        <w:jc w:val="both"/>
        <w:rPr>
          <w:rFonts w:ascii="Museo Sans 300" w:eastAsia="Arial" w:hAnsi="Museo Sans 300" w:cs="Arial"/>
          <w:lang w:val="es-ES_tradnl" w:eastAsia="es-SV"/>
        </w:rPr>
      </w:pPr>
    </w:p>
    <w:p w:rsidR="00DE1809" w:rsidRPr="00DE1809" w:rsidRDefault="00DE1809" w:rsidP="00DE1809">
      <w:pPr>
        <w:spacing w:after="0" w:line="240" w:lineRule="auto"/>
        <w:ind w:left="708"/>
        <w:jc w:val="both"/>
        <w:rPr>
          <w:rFonts w:ascii="Museo Sans 300" w:eastAsia="Arial" w:hAnsi="Museo Sans 300" w:cs="Arial"/>
          <w:lang w:val="es-ES_tradnl" w:eastAsia="es-SV"/>
        </w:rPr>
      </w:pPr>
      <w:r w:rsidRPr="00DE1809">
        <w:rPr>
          <w:rFonts w:ascii="Museo Sans 300" w:eastAsia="Arial" w:hAnsi="Museo Sans 300" w:cs="Arial"/>
          <w:lang w:val="es-ES_tradnl" w:eastAsia="es-SV"/>
        </w:rPr>
        <w:t xml:space="preserve">Consta en el expediente administrativo de mérito, que dicho acuerdo fue notificado al señor </w:t>
      </w:r>
      <w:r w:rsidR="00DF4E2F">
        <w:rPr>
          <w:rFonts w:ascii="Museo Sans 300" w:eastAsia="Arial" w:hAnsi="Museo Sans 300" w:cs="Arial"/>
          <w:lang w:val="es-ES_tradnl" w:eastAsia="es-SV"/>
        </w:rPr>
        <w:t>xxxxx</w:t>
      </w:r>
      <w:r w:rsidRPr="00DE1809">
        <w:rPr>
          <w:rFonts w:ascii="Museo Sans 300" w:eastAsia="Arial" w:hAnsi="Museo Sans 300" w:cs="Arial"/>
          <w:lang w:val="es-ES_tradnl" w:eastAsia="es-SV"/>
        </w:rPr>
        <w:t xml:space="preserve"> y a la empresa distribuidora, los días tres y siete de octubre del presente año, respectivamente.</w:t>
      </w:r>
    </w:p>
    <w:p w:rsidR="00DE1809" w:rsidRPr="00DE1809" w:rsidRDefault="00DE1809" w:rsidP="00DE1809">
      <w:pPr>
        <w:spacing w:after="0" w:line="240" w:lineRule="auto"/>
        <w:ind w:left="567"/>
        <w:jc w:val="both"/>
        <w:rPr>
          <w:rFonts w:ascii="Museo Sans 300" w:eastAsia="Arial" w:hAnsi="Museo Sans 300" w:cs="Arial"/>
          <w:lang w:val="es-ES_tradnl" w:eastAsia="es-SV"/>
        </w:rPr>
      </w:pPr>
    </w:p>
    <w:p w:rsidR="00DE1809" w:rsidRPr="00DE1809" w:rsidRDefault="00DE1809" w:rsidP="00DE1809">
      <w:pPr>
        <w:numPr>
          <w:ilvl w:val="0"/>
          <w:numId w:val="1"/>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 xml:space="preserve">La sociedad </w:t>
      </w:r>
      <w:r w:rsidR="00DF4E2F">
        <w:rPr>
          <w:rFonts w:ascii="Museo Sans 300" w:eastAsia="Times New Roman" w:hAnsi="Museo Sans 300" w:cs="Times New Roman"/>
          <w:lang w:val="es-ES_tradnl" w:eastAsia="es-ES"/>
        </w:rPr>
        <w:t>XXXXXXXXXXXXX</w:t>
      </w:r>
      <w:r w:rsidRPr="00DE1809">
        <w:rPr>
          <w:rFonts w:ascii="Museo Sans 300" w:eastAsia="Times New Roman" w:hAnsi="Museo Sans 300" w:cs="Times New Roman"/>
          <w:lang w:val="es-ES_tradnl" w:eastAsia="es-ES"/>
        </w:rPr>
        <w:t>, S.A. de C.V. manifestó que su actuación es conforme a la regulación vigente, evidenciándose en el razonamiento técnico y jurídico resuelto por la SIGET mediante el acuerdo N.° E-361-2019-CAU.</w:t>
      </w:r>
    </w:p>
    <w:p w:rsidR="00DE1809" w:rsidRPr="00DE1809" w:rsidRDefault="00DE1809" w:rsidP="00DE1809">
      <w:pPr>
        <w:spacing w:after="0" w:line="240" w:lineRule="auto"/>
        <w:ind w:left="720"/>
        <w:jc w:val="both"/>
        <w:rPr>
          <w:rFonts w:ascii="Museo Sans 300" w:eastAsia="Times New Roman" w:hAnsi="Museo Sans 300" w:cs="Times New Roman"/>
          <w:lang w:val="es-ES_tradnl" w:eastAsia="es-ES"/>
        </w:rPr>
      </w:pPr>
    </w:p>
    <w:p w:rsidR="00DE1809" w:rsidRPr="00DE1809" w:rsidRDefault="00DE1809" w:rsidP="00DE1809">
      <w:pPr>
        <w:spacing w:after="0" w:line="240" w:lineRule="auto"/>
        <w:ind w:left="720"/>
        <w:jc w:val="both"/>
        <w:rPr>
          <w:rFonts w:ascii="Museo Sans 300" w:eastAsia="Times New Roman" w:hAnsi="Museo Sans 300" w:cs="Times New Roman"/>
          <w:lang w:val="es-ES" w:eastAsia="es-ES"/>
        </w:rPr>
      </w:pPr>
      <w:r w:rsidRPr="00DE1809">
        <w:rPr>
          <w:rFonts w:ascii="Museo Sans 300" w:eastAsia="Times New Roman" w:hAnsi="Museo Sans 300" w:cs="Times New Roman"/>
          <w:lang w:val="es-ES_tradnl" w:eastAsia="es-ES"/>
        </w:rPr>
        <w:t xml:space="preserve">Por su parte, el señor </w:t>
      </w:r>
      <w:r w:rsidR="00DF4E2F">
        <w:rPr>
          <w:rFonts w:ascii="Museo Sans 300" w:eastAsia="Times New Roman" w:hAnsi="Museo Sans 300" w:cs="Times New Roman"/>
          <w:lang w:val="es-ES" w:eastAsia="es-ES"/>
        </w:rPr>
        <w:t>xxxx</w:t>
      </w:r>
      <w:r w:rsidRPr="00DE1809">
        <w:rPr>
          <w:rFonts w:ascii="Museo Sans 300" w:eastAsia="Times New Roman" w:hAnsi="Museo Sans 300" w:cs="Times New Roman"/>
          <w:lang w:val="es-ES" w:eastAsia="es-ES"/>
        </w:rPr>
        <w:t xml:space="preserve"> solicitó que esta Superintendencia confirme lo establecido en el </w:t>
      </w:r>
      <w:r w:rsidRPr="00DE1809">
        <w:rPr>
          <w:rFonts w:ascii="Museo Sans 300" w:eastAsia="Times New Roman" w:hAnsi="Museo Sans 300" w:cs="Times New Roman"/>
          <w:lang w:val="es-ES_tradnl" w:eastAsia="es-ES"/>
        </w:rPr>
        <w:t>acuerdo N.° E-361-2019-CAU.</w:t>
      </w:r>
    </w:p>
    <w:p w:rsidR="00DE1809" w:rsidRPr="00DE1809" w:rsidRDefault="00DE1809" w:rsidP="00DE1809">
      <w:pPr>
        <w:spacing w:after="0" w:line="240" w:lineRule="auto"/>
        <w:ind w:left="720"/>
        <w:jc w:val="both"/>
        <w:rPr>
          <w:rFonts w:ascii="Museo Sans 300" w:eastAsia="Times New Roman" w:hAnsi="Museo Sans 300" w:cs="Times New Roman"/>
          <w:lang w:val="es-ES" w:eastAsia="es-ES"/>
        </w:rPr>
      </w:pPr>
    </w:p>
    <w:p w:rsidR="00DE1809" w:rsidRPr="00DE1809" w:rsidRDefault="00DE1809" w:rsidP="00DE1809">
      <w:pPr>
        <w:numPr>
          <w:ilvl w:val="0"/>
          <w:numId w:val="1"/>
        </w:numPr>
        <w:spacing w:after="0" w:line="240" w:lineRule="auto"/>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Encontrándose el presente recurso en estado de dictar sentencia, es procedente realizar las valoraciones siguientes:</w:t>
      </w:r>
    </w:p>
    <w:p w:rsidR="00DE1809" w:rsidRPr="00DE1809" w:rsidRDefault="00DE1809" w:rsidP="00DE1809">
      <w:pPr>
        <w:spacing w:after="0" w:line="240" w:lineRule="auto"/>
        <w:ind w:left="720"/>
        <w:jc w:val="both"/>
        <w:rPr>
          <w:rFonts w:ascii="Museo Sans 300" w:eastAsia="Times New Roman" w:hAnsi="Museo Sans 300" w:cs="Times New Roman"/>
          <w:lang w:val="es-ES_tradnl" w:eastAsia="es-ES"/>
        </w:rPr>
      </w:pPr>
    </w:p>
    <w:p w:rsidR="00DE1809" w:rsidRPr="00DE1809" w:rsidRDefault="00DE1809" w:rsidP="00DE1809">
      <w:pPr>
        <w:numPr>
          <w:ilvl w:val="0"/>
          <w:numId w:val="4"/>
        </w:numPr>
        <w:spacing w:after="0" w:line="240" w:lineRule="auto"/>
        <w:jc w:val="center"/>
        <w:rPr>
          <w:rFonts w:ascii="Museo Sans 500" w:eastAsia="Times New Roman" w:hAnsi="Museo Sans 500" w:cs="Times New Roman"/>
          <w:b/>
          <w:lang w:val="es-ES_tradnl" w:eastAsia="es-ES"/>
        </w:rPr>
      </w:pPr>
      <w:r w:rsidRPr="00DE1809">
        <w:rPr>
          <w:rFonts w:ascii="Museo Sans 500" w:eastAsia="Times New Roman" w:hAnsi="Museo Sans 500" w:cs="Times New Roman"/>
          <w:b/>
          <w:lang w:val="es-ES_tradnl" w:eastAsia="es-ES"/>
        </w:rPr>
        <w:t>MARCO NORMATIVO</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tabs>
          <w:tab w:val="left" w:pos="709"/>
        </w:tabs>
        <w:autoSpaceDE w:val="0"/>
        <w:autoSpaceDN w:val="0"/>
        <w:adjustRightInd w:val="0"/>
        <w:spacing w:after="0" w:line="240" w:lineRule="auto"/>
        <w:ind w:left="180"/>
        <w:jc w:val="both"/>
        <w:rPr>
          <w:rFonts w:ascii="Museo Sans 300" w:eastAsia="Arial" w:hAnsi="Museo Sans 300" w:cs="Arial"/>
          <w:b/>
          <w:lang w:eastAsia="es-SV"/>
        </w:rPr>
      </w:pPr>
      <w:r w:rsidRPr="00DE1809">
        <w:rPr>
          <w:rFonts w:ascii="Museo Sans 300" w:eastAsia="Arial" w:hAnsi="Museo Sans 300" w:cs="Arial"/>
          <w:lang w:eastAsia="es-SV"/>
        </w:rPr>
        <w:tab/>
      </w:r>
      <w:r w:rsidRPr="00DE1809">
        <w:rPr>
          <w:rFonts w:ascii="Museo Sans 300" w:eastAsia="Arial" w:hAnsi="Museo Sans 300" w:cs="Arial"/>
          <w:b/>
          <w:lang w:eastAsia="es-SV"/>
        </w:rPr>
        <w:t>1.A Ley de Creación de SIGET</w:t>
      </w:r>
    </w:p>
    <w:p w:rsidR="00DE1809" w:rsidRPr="00DE1809" w:rsidRDefault="00DE1809" w:rsidP="00DE1809">
      <w:pPr>
        <w:tabs>
          <w:tab w:val="left" w:pos="993"/>
        </w:tabs>
        <w:autoSpaceDE w:val="0"/>
        <w:autoSpaceDN w:val="0"/>
        <w:adjustRightInd w:val="0"/>
        <w:spacing w:after="0" w:line="240" w:lineRule="auto"/>
        <w:ind w:left="540"/>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En el artículo 4 de la Ley de Creación de la SIGET determina que esta Institución es la entidad competente para aplicar las normas de los tratados internacionales sobre electricidad vigentes en El Salvador, en las leyes que rigen el sector de electricidad y sus reglamentos, así como para conocer del incumplimiento de las mismas. </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tabs>
          <w:tab w:val="left" w:pos="993"/>
        </w:tabs>
        <w:autoSpaceDE w:val="0"/>
        <w:autoSpaceDN w:val="0"/>
        <w:adjustRightInd w:val="0"/>
        <w:spacing w:after="0" w:line="240" w:lineRule="auto"/>
        <w:ind w:left="540"/>
        <w:jc w:val="both"/>
        <w:rPr>
          <w:rFonts w:ascii="Museo Sans 300" w:eastAsia="Arial" w:hAnsi="Museo Sans 300" w:cs="Arial"/>
          <w:b/>
          <w:lang w:eastAsia="es-SV"/>
        </w:rPr>
      </w:pPr>
      <w:r w:rsidRPr="00DE1809">
        <w:rPr>
          <w:rFonts w:ascii="Museo Sans 300" w:eastAsia="Arial" w:hAnsi="Museo Sans 300" w:cs="Arial"/>
          <w:b/>
          <w:lang w:eastAsia="es-SV"/>
        </w:rPr>
        <w:t xml:space="preserve">   1.B Ley General de Electricidad </w:t>
      </w:r>
    </w:p>
    <w:p w:rsidR="00DE1809" w:rsidRPr="00DE1809" w:rsidRDefault="00DE1809" w:rsidP="00DE1809">
      <w:pPr>
        <w:tabs>
          <w:tab w:val="left" w:pos="993"/>
        </w:tabs>
        <w:autoSpaceDE w:val="0"/>
        <w:autoSpaceDN w:val="0"/>
        <w:adjustRightInd w:val="0"/>
        <w:spacing w:after="0" w:line="240" w:lineRule="auto"/>
        <w:ind w:left="540"/>
        <w:jc w:val="both"/>
        <w:rPr>
          <w:rFonts w:ascii="Museo Sans 300" w:eastAsia="Arial" w:hAnsi="Museo Sans 300" w:cs="Arial"/>
          <w:b/>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Los artículos 1 y 3 de la Ley establecen que la SIGET, es la entidad responsable de velar por el cumplimiento de las disposiciones estipuladas en la citada Ley y su Reglamento, aplicando las sanciones correspondientes contenidas en dicha Ley, las cuales norman las actividades de generación, transmisión, distribución y comercialización de energía eléctrica.</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ind w:left="708"/>
        <w:jc w:val="both"/>
        <w:rPr>
          <w:rFonts w:ascii="Museo Sans 300" w:eastAsia="Arial" w:hAnsi="Museo Sans 300" w:cs="Arial"/>
          <w:b/>
          <w:lang w:eastAsia="es-SV"/>
        </w:rPr>
      </w:pPr>
      <w:r w:rsidRPr="00DE1809">
        <w:rPr>
          <w:rFonts w:ascii="Museo Sans 300" w:eastAsia="Arial" w:hAnsi="Museo Sans 300" w:cs="Arial"/>
          <w:b/>
          <w:lang w:eastAsia="es-SV"/>
        </w:rPr>
        <w:t>1.C Términos y Condiciones Generales al Consumidor Final de los Pliegos Tarifarios vigentes para este año</w:t>
      </w:r>
    </w:p>
    <w:p w:rsidR="00DE1809" w:rsidRPr="00DE1809" w:rsidRDefault="00DE1809" w:rsidP="00DE1809">
      <w:pPr>
        <w:ind w:left="708"/>
        <w:jc w:val="both"/>
        <w:rPr>
          <w:rFonts w:ascii="Museo Sans 300" w:eastAsia="Arial" w:hAnsi="Museo Sans 300" w:cs="Arial"/>
          <w:lang w:eastAsia="es-SV"/>
        </w:rPr>
      </w:pPr>
      <w:r w:rsidRPr="00DE1809">
        <w:rPr>
          <w:rFonts w:ascii="Museo Sans 300" w:eastAsia="Arial" w:hAnsi="Museo Sans 300" w:cs="Arial"/>
          <w:lang w:eastAsia="es-SV"/>
        </w:rPr>
        <w:t>En los artículos 22 y 23, se establece lo siguiente:</w:t>
      </w:r>
    </w:p>
    <w:p w:rsidR="00DE1809" w:rsidRPr="00DE1809" w:rsidRDefault="00DE1809" w:rsidP="00DE1809">
      <w:pPr>
        <w:ind w:left="993" w:right="425"/>
        <w:jc w:val="both"/>
        <w:rPr>
          <w:rFonts w:ascii="Museo Sans 300" w:eastAsia="Arial" w:hAnsi="Museo Sans 300" w:cs="Arial"/>
          <w:sz w:val="18"/>
          <w:szCs w:val="18"/>
          <w:lang w:eastAsia="es-SV"/>
        </w:rPr>
      </w:pPr>
      <w:r w:rsidRPr="00DE1809">
        <w:rPr>
          <w:rFonts w:ascii="Museo Sans 300" w:eastAsia="Arial" w:hAnsi="Museo Sans 300" w:cs="Arial"/>
          <w:sz w:val="20"/>
          <w:szCs w:val="20"/>
          <w:lang w:eastAsia="es-SV"/>
        </w:rPr>
        <w:t>“</w:t>
      </w:r>
      <w:r w:rsidRPr="00DE1809">
        <w:rPr>
          <w:rFonts w:ascii="Museo Sans 300" w:eastAsia="Arial" w:hAnsi="Museo Sans 300" w:cs="Arial"/>
          <w:i/>
          <w:sz w:val="18"/>
          <w:szCs w:val="18"/>
          <w:lang w:eastAsia="es-SV"/>
        </w:rPr>
        <w:t>Art. 22.- Un corte definitivo del suministro implicará el retiro de la acometida y del equipo de medición, y podrá realizarse en los siguientes casos:</w:t>
      </w:r>
    </w:p>
    <w:p w:rsidR="00DE1809" w:rsidRPr="00DE1809" w:rsidRDefault="00DE1809" w:rsidP="00DE1809">
      <w:pPr>
        <w:numPr>
          <w:ilvl w:val="0"/>
          <w:numId w:val="5"/>
        </w:numPr>
        <w:tabs>
          <w:tab w:val="left" w:pos="851"/>
        </w:tabs>
        <w:spacing w:after="0" w:line="240" w:lineRule="auto"/>
        <w:ind w:left="1134" w:hanging="141"/>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A solicitud del usuario final;</w:t>
      </w:r>
    </w:p>
    <w:p w:rsidR="00DE1809" w:rsidRPr="00DE1809" w:rsidRDefault="00DE1809" w:rsidP="00DE1809">
      <w:pPr>
        <w:tabs>
          <w:tab w:val="left" w:pos="851"/>
        </w:tabs>
        <w:spacing w:after="0" w:line="240" w:lineRule="auto"/>
        <w:ind w:left="1134"/>
        <w:contextualSpacing/>
        <w:jc w:val="both"/>
        <w:rPr>
          <w:rFonts w:ascii="Museo Sans 300" w:eastAsia="Times New Roman" w:hAnsi="Museo Sans 300" w:cs="Times New Roman"/>
          <w:i/>
          <w:sz w:val="18"/>
          <w:szCs w:val="18"/>
          <w:lang w:val="es-ES" w:eastAsia="es-ES"/>
        </w:rPr>
      </w:pPr>
    </w:p>
    <w:p w:rsidR="00DE1809" w:rsidRPr="00DE1809" w:rsidRDefault="00DE1809" w:rsidP="00DE1809">
      <w:pPr>
        <w:numPr>
          <w:ilvl w:val="0"/>
          <w:numId w:val="5"/>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A solicitud del propietario del inmueble, sin perjuicio de lo establecido en el artículo   11 de la Ley de Inquilinato;</w:t>
      </w:r>
    </w:p>
    <w:p w:rsidR="00DE1809" w:rsidRPr="00DE1809" w:rsidRDefault="00DE1809" w:rsidP="00DE1809">
      <w:pPr>
        <w:spacing w:after="0" w:line="240" w:lineRule="auto"/>
        <w:ind w:left="708"/>
        <w:rPr>
          <w:rFonts w:ascii="Museo Sans 300" w:eastAsia="Times New Roman" w:hAnsi="Museo Sans 300" w:cs="Times New Roman"/>
          <w:i/>
          <w:sz w:val="18"/>
          <w:szCs w:val="18"/>
          <w:lang w:val="es-ES" w:eastAsia="es-ES"/>
        </w:rPr>
      </w:pPr>
    </w:p>
    <w:p w:rsidR="00DE1809" w:rsidRPr="00DE1809" w:rsidRDefault="00DE1809" w:rsidP="00DE1809">
      <w:pPr>
        <w:numPr>
          <w:ilvl w:val="0"/>
          <w:numId w:val="5"/>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si transcurridos seis meses desde la fecha de la suspensión, el usuario final no hubiere solicitado la reconexión del mismo; y,</w:t>
      </w:r>
    </w:p>
    <w:p w:rsidR="00DE1809" w:rsidRPr="00DE1809" w:rsidRDefault="00DE1809" w:rsidP="00DE1809">
      <w:pPr>
        <w:spacing w:after="0" w:line="240" w:lineRule="auto"/>
        <w:ind w:left="708"/>
        <w:rPr>
          <w:rFonts w:ascii="Museo Sans 300" w:eastAsia="Times New Roman" w:hAnsi="Museo Sans 300" w:cs="Times New Roman"/>
          <w:i/>
          <w:sz w:val="18"/>
          <w:szCs w:val="18"/>
          <w:lang w:val="es-ES" w:eastAsia="es-ES"/>
        </w:rPr>
      </w:pPr>
    </w:p>
    <w:p w:rsidR="00DE1809" w:rsidRPr="00DE1809" w:rsidRDefault="00DE1809" w:rsidP="00DE1809">
      <w:pPr>
        <w:numPr>
          <w:ilvl w:val="0"/>
          <w:numId w:val="5"/>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el usuario final se conecta nuevamente, sin autorización, y sin haber solventado las causas que motivaron la suspensión.</w:t>
      </w:r>
    </w:p>
    <w:p w:rsidR="00DE1809" w:rsidRPr="00DE1809" w:rsidRDefault="00DE1809" w:rsidP="00DE1809">
      <w:pPr>
        <w:tabs>
          <w:tab w:val="left" w:pos="851"/>
        </w:tabs>
        <w:spacing w:after="0" w:line="240" w:lineRule="auto"/>
        <w:ind w:left="1134"/>
        <w:contextualSpacing/>
        <w:jc w:val="both"/>
        <w:rPr>
          <w:rFonts w:ascii="Museo Sans 300" w:eastAsia="Times New Roman" w:hAnsi="Museo Sans 300" w:cs="Times New Roman"/>
          <w:i/>
          <w:sz w:val="18"/>
          <w:szCs w:val="18"/>
          <w:lang w:val="es-ES" w:eastAsia="es-ES"/>
        </w:rPr>
      </w:pPr>
    </w:p>
    <w:p w:rsidR="00DE1809" w:rsidRPr="00DE1809" w:rsidRDefault="00DE1809" w:rsidP="00DE1809">
      <w:pPr>
        <w:ind w:left="993" w:right="425"/>
        <w:jc w:val="both"/>
        <w:rPr>
          <w:rFonts w:ascii="Museo Sans 300" w:eastAsia="Arial" w:hAnsi="Museo Sans 300" w:cs="Arial"/>
          <w:i/>
          <w:sz w:val="18"/>
          <w:szCs w:val="18"/>
          <w:lang w:eastAsia="es-SV"/>
        </w:rPr>
      </w:pPr>
      <w:r w:rsidRPr="00DE1809">
        <w:rPr>
          <w:rFonts w:ascii="Museo Sans 300" w:eastAsia="Arial" w:hAnsi="Museo Sans 300" w:cs="Arial"/>
          <w:i/>
          <w:sz w:val="18"/>
          <w:szCs w:val="18"/>
          <w:lang w:eastAsia="es-SV"/>
        </w:rPr>
        <w:t>Art. 23.- En caso que el usuario final solicite al distribuidor una desconexión temporal del servicio o un corte definitivo del mismo, deberá hacerlo por escrito y comprobar la titularidad del derecho que lo habilite. El distribuidor registrará dicha solicitud, entregará la constancia impresa de ésta y luego de verificar la legalidad de la documentación que prueba la titularidad, deberá proceder a la desconexión o corte, a más tardar ocho días hábiles después de recibida la misma. “</w:t>
      </w:r>
    </w:p>
    <w:p w:rsidR="00DE1809" w:rsidRPr="00DE1809" w:rsidRDefault="00DE1809" w:rsidP="00DE1809">
      <w:pPr>
        <w:spacing w:after="0" w:line="240" w:lineRule="auto"/>
        <w:ind w:left="709"/>
        <w:jc w:val="both"/>
        <w:rPr>
          <w:rFonts w:ascii="Museo Sans 300" w:eastAsia="Times New Roman" w:hAnsi="Museo Sans 300" w:cs="Times New Roman"/>
          <w:b/>
          <w:lang w:val="es-ES_tradnl" w:eastAsia="es-ES"/>
        </w:rPr>
      </w:pPr>
    </w:p>
    <w:p w:rsidR="00DE1809" w:rsidRPr="00DE1809" w:rsidRDefault="00DE1809" w:rsidP="00DE1809">
      <w:pPr>
        <w:spacing w:after="0" w:line="240" w:lineRule="auto"/>
        <w:ind w:left="709"/>
        <w:jc w:val="both"/>
        <w:rPr>
          <w:rFonts w:ascii="Museo Sans 300" w:eastAsia="Times New Roman" w:hAnsi="Museo Sans 300" w:cs="Times New Roman"/>
          <w:b/>
          <w:lang w:val="es-ES_tradnl" w:eastAsia="es-ES"/>
        </w:rPr>
      </w:pPr>
      <w:r w:rsidRPr="00DE1809">
        <w:rPr>
          <w:rFonts w:ascii="Museo Sans 300" w:eastAsia="Times New Roman" w:hAnsi="Museo Sans 300" w:cs="Times New Roman"/>
          <w:b/>
          <w:lang w:val="es-ES_tradnl" w:eastAsia="es-ES"/>
        </w:rPr>
        <w:t>1.D Ley de Procedimientos Administrativos</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spacing w:after="0" w:line="240" w:lineRule="auto"/>
        <w:ind w:left="708"/>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 xml:space="preserve">El artículo 129 dispone que la resolución del recurso deberá contener una respuesta a las peticiones formuladas por el recurrente, pudiendo confirmar, modificar o revocar el acto impugnado, así como ordenar la reposición en caso de vicios de procedimiento, sin perjuicio de la facultad de la </w:t>
      </w:r>
      <w:r w:rsidRPr="00DE1809">
        <w:rPr>
          <w:rFonts w:ascii="Museo Sans 300" w:eastAsia="Times New Roman" w:hAnsi="Museo Sans 300" w:cs="Times New Roman"/>
          <w:lang w:val="es-ES_tradnl" w:eastAsia="es-ES"/>
        </w:rPr>
        <w:lastRenderedPageBreak/>
        <w:t>Administración Pública, para convalidar los actos que adolecen de nulidad relativa. En ningún caso, la resolución podrá agravar o perjudicar la situación inicial del recurrente.</w:t>
      </w:r>
    </w:p>
    <w:p w:rsidR="00DE1809" w:rsidRPr="00DE1809" w:rsidRDefault="00DE1809" w:rsidP="00DE1809">
      <w:pPr>
        <w:spacing w:after="0" w:line="240" w:lineRule="auto"/>
        <w:ind w:left="720"/>
        <w:jc w:val="both"/>
        <w:rPr>
          <w:rFonts w:ascii="Museo Sans 300" w:eastAsia="Times New Roman" w:hAnsi="Museo Sans 300" w:cs="Times New Roman"/>
          <w:lang w:val="es-ES_tradnl" w:eastAsia="es-ES"/>
        </w:rPr>
      </w:pPr>
    </w:p>
    <w:p w:rsidR="00DE1809" w:rsidRPr="00DE1809" w:rsidRDefault="00DE1809" w:rsidP="00DE1809">
      <w:pPr>
        <w:spacing w:after="0" w:line="240" w:lineRule="auto"/>
        <w:ind w:left="709"/>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El artículo 132 establece que podrá interponerse recurso de reconsideración contra los actos definitivos el cual se interpondrá ante el mismo órgano que los hubiera dictado.</w:t>
      </w:r>
    </w:p>
    <w:p w:rsidR="00DE1809" w:rsidRPr="00DE1809" w:rsidRDefault="00DE1809" w:rsidP="00DE1809">
      <w:pPr>
        <w:spacing w:after="0" w:line="240" w:lineRule="auto"/>
        <w:ind w:left="709"/>
        <w:jc w:val="both"/>
        <w:rPr>
          <w:rFonts w:ascii="Museo Sans 300" w:eastAsia="Times New Roman" w:hAnsi="Museo Sans 300" w:cs="Times New Roman"/>
          <w:lang w:val="es-ES_tradnl" w:eastAsia="es-ES"/>
        </w:rPr>
      </w:pPr>
    </w:p>
    <w:p w:rsidR="00DE1809" w:rsidRPr="00DE1809" w:rsidRDefault="00DE1809" w:rsidP="00DE1809">
      <w:pPr>
        <w:numPr>
          <w:ilvl w:val="0"/>
          <w:numId w:val="4"/>
        </w:numPr>
        <w:spacing w:after="0" w:line="240" w:lineRule="auto"/>
        <w:jc w:val="center"/>
        <w:rPr>
          <w:rFonts w:ascii="Museo Sans 500" w:eastAsia="Times New Roman" w:hAnsi="Museo Sans 500" w:cs="Times New Roman"/>
          <w:b/>
          <w:lang w:val="es-ES_tradnl" w:eastAsia="es-ES"/>
        </w:rPr>
      </w:pPr>
      <w:r w:rsidRPr="00DE1809">
        <w:rPr>
          <w:rFonts w:ascii="Museo Sans 500" w:eastAsia="Times New Roman" w:hAnsi="Museo Sans 500" w:cs="Times New Roman"/>
          <w:b/>
          <w:lang w:val="es-ES_tradnl" w:eastAsia="es-ES"/>
        </w:rPr>
        <w:t>ARGUMENTOS DE LAS PARTES</w:t>
      </w:r>
    </w:p>
    <w:p w:rsidR="00DE1809" w:rsidRPr="00DE1809" w:rsidRDefault="00DE1809" w:rsidP="00DE1809">
      <w:pPr>
        <w:spacing w:after="0" w:line="240" w:lineRule="auto"/>
        <w:ind w:left="1080"/>
        <w:rPr>
          <w:rFonts w:ascii="Museo Sans 500" w:eastAsia="Times New Roman" w:hAnsi="Museo Sans 500" w:cs="Times New Roman"/>
          <w:b/>
          <w:lang w:val="es-ES_tradnl" w:eastAsia="es-ES"/>
        </w:rPr>
      </w:pPr>
    </w:p>
    <w:p w:rsidR="00DE1809" w:rsidRPr="00DE1809" w:rsidRDefault="00DE1809" w:rsidP="00DE1809">
      <w:pPr>
        <w:spacing w:after="0" w:line="240" w:lineRule="auto"/>
        <w:ind w:left="709"/>
        <w:jc w:val="both"/>
        <w:rPr>
          <w:rFonts w:ascii="Museo Sans 300" w:eastAsia="Times New Roman" w:hAnsi="Museo Sans 300" w:cs="Times New Roman"/>
          <w:lang w:val="es-ES_tradnl" w:eastAsia="es-ES"/>
        </w:rPr>
      </w:pPr>
      <w:r w:rsidRPr="00DE1809">
        <w:rPr>
          <w:rFonts w:ascii="Museo Sans 300" w:eastAsia="Times New Roman" w:hAnsi="Museo Sans 300" w:cs="Times New Roman"/>
          <w:lang w:val="es-ES_tradnl" w:eastAsia="es-ES"/>
        </w:rPr>
        <w:t>Los argumentos planteados por la</w:t>
      </w:r>
      <w:r w:rsidRPr="00DE1809">
        <w:rPr>
          <w:rFonts w:ascii="Museo Sans 300" w:eastAsia="Times New Roman" w:hAnsi="Museo Sans 300" w:cs="Times New Roman"/>
          <w:lang w:val="es-ES" w:eastAsia="es-ES"/>
        </w:rPr>
        <w:t xml:space="preserve"> señora </w:t>
      </w:r>
      <w:r w:rsidR="00DF4E2F">
        <w:rPr>
          <w:rFonts w:ascii="Museo Sans 300" w:eastAsia="Times New Roman" w:hAnsi="Museo Sans 300" w:cs="Times New Roman"/>
          <w:lang w:val="es-ES_tradnl" w:eastAsia="es-ES"/>
        </w:rPr>
        <w:t>Xxxxxxxxxxxxx</w:t>
      </w:r>
      <w:r w:rsidRPr="00DE1809">
        <w:rPr>
          <w:rFonts w:ascii="Museo Sans 300" w:eastAsia="Times New Roman" w:hAnsi="Museo Sans 300" w:cs="Times New Roman"/>
          <w:lang w:val="es-ES_tradnl" w:eastAsia="es-ES"/>
        </w:rPr>
        <w:t xml:space="preserve"> </w:t>
      </w:r>
      <w:r w:rsidR="00DF4E2F">
        <w:rPr>
          <w:rFonts w:ascii="Museo Sans 300" w:eastAsia="Times New Roman" w:hAnsi="Museo Sans 300" w:cs="Times New Roman"/>
          <w:lang w:val="es-ES_tradnl" w:eastAsia="es-ES"/>
        </w:rPr>
        <w:t>xxx</w:t>
      </w:r>
      <w:r w:rsidRPr="00DE1809">
        <w:rPr>
          <w:rFonts w:ascii="Museo Sans 300" w:eastAsia="Times New Roman" w:hAnsi="Museo Sans 300" w:cs="Times New Roman"/>
          <w:lang w:val="es-ES_tradnl" w:eastAsia="es-ES"/>
        </w:rPr>
        <w:t xml:space="preserve"> y del señor </w:t>
      </w:r>
      <w:r w:rsidR="00DF4E2F">
        <w:rPr>
          <w:rFonts w:ascii="Museo Sans 300" w:eastAsia="Times New Roman" w:hAnsi="Museo Sans 300" w:cs="Times New Roman"/>
          <w:lang w:val="es-ES_tradnl" w:eastAsia="es-ES"/>
        </w:rPr>
        <w:t>xxx</w:t>
      </w:r>
      <w:r w:rsidRPr="00DE1809">
        <w:rPr>
          <w:rFonts w:ascii="Museo Sans 300" w:eastAsia="Times New Roman" w:hAnsi="Museo Sans 300" w:cs="Times New Roman"/>
          <w:lang w:val="es-ES_tradnl" w:eastAsia="es-ES"/>
        </w:rPr>
        <w:t xml:space="preserve">, son que el artículo 83 de la Ley General de Electricidad, no establece que el propietario del inmueble pueda solicitar el corte definitivo, por lo que la decisión adoptada vulnera los principios de legalidad y seguridad jurídica; y, que se encuentran en un proceso judicial de prescripción adquisitiva extraordinaria en contra del señor </w:t>
      </w:r>
      <w:r w:rsidR="00DF4E2F">
        <w:rPr>
          <w:rFonts w:ascii="Museo Sans 300" w:eastAsia="Times New Roman" w:hAnsi="Museo Sans 300" w:cs="Times New Roman"/>
          <w:lang w:val="es-ES_tradnl" w:eastAsia="es-ES"/>
        </w:rPr>
        <w:t>xxxxxx</w:t>
      </w:r>
      <w:r w:rsidRPr="00DE1809">
        <w:rPr>
          <w:rFonts w:ascii="Museo Sans 300" w:eastAsia="Times New Roman" w:hAnsi="Museo Sans 300" w:cs="Times New Roman"/>
          <w:lang w:val="es-ES_tradnl" w:eastAsia="es-ES"/>
        </w:rPr>
        <w:t>.</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spacing w:line="240" w:lineRule="auto"/>
        <w:ind w:left="708"/>
        <w:jc w:val="both"/>
        <w:rPr>
          <w:rFonts w:ascii="Museo Sans 300" w:eastAsia="Arial" w:hAnsi="Museo Sans 300" w:cs="Arial"/>
          <w:lang w:val="es-ES_tradnl" w:eastAsia="es-SV"/>
        </w:rPr>
      </w:pPr>
      <w:r w:rsidRPr="00DE1809">
        <w:rPr>
          <w:rFonts w:ascii="Museo Sans 300" w:eastAsia="Arial" w:hAnsi="Museo Sans 300" w:cs="Arial"/>
          <w:lang w:val="es-ES_tradnl" w:eastAsia="es-SV"/>
        </w:rPr>
        <w:t xml:space="preserve">Por su parte, la sociedad </w:t>
      </w:r>
      <w:r w:rsidR="00DF4E2F">
        <w:rPr>
          <w:rFonts w:ascii="Museo Sans 300" w:eastAsia="Arial" w:hAnsi="Museo Sans 300" w:cs="Arial"/>
          <w:lang w:val="es-ES_tradnl" w:eastAsia="es-SV"/>
        </w:rPr>
        <w:t>XXXXXXXXXXXXX</w:t>
      </w:r>
      <w:r w:rsidRPr="00DE1809">
        <w:rPr>
          <w:rFonts w:ascii="Museo Sans 300" w:eastAsia="Arial" w:hAnsi="Museo Sans 300" w:cs="Arial"/>
          <w:lang w:val="es-ES_tradnl" w:eastAsia="es-SV"/>
        </w:rPr>
        <w:t xml:space="preserve">, S.A. de C.V. y el señor </w:t>
      </w:r>
      <w:r w:rsidRPr="00DE1809">
        <w:rPr>
          <w:rFonts w:ascii="Museo Sans 300" w:eastAsia="Arial" w:hAnsi="Museo Sans 300" w:cs="Arial"/>
          <w:lang w:eastAsia="es-SV"/>
        </w:rPr>
        <w:t>Elías Chavarría expusieron su conformidad con lo resuelto en el acuerdo N.°</w:t>
      </w:r>
      <w:r w:rsidRPr="00DE1809">
        <w:rPr>
          <w:rFonts w:ascii="Museo Sans 300" w:eastAsia="Arial" w:hAnsi="Museo Sans 300" w:cs="Arial"/>
          <w:lang w:val="es-ES_tradnl" w:eastAsia="es-SV"/>
        </w:rPr>
        <w:t xml:space="preserve"> E-361-2019-CAU. </w:t>
      </w:r>
    </w:p>
    <w:p w:rsidR="00DE1809" w:rsidRPr="00DE1809" w:rsidRDefault="00DE1809" w:rsidP="00DE1809">
      <w:pPr>
        <w:spacing w:after="0" w:line="240" w:lineRule="auto"/>
        <w:ind w:left="1080"/>
        <w:rPr>
          <w:rFonts w:ascii="Museo Sans 500" w:eastAsia="Times New Roman" w:hAnsi="Museo Sans 500" w:cs="Times New Roman"/>
          <w:b/>
          <w:lang w:val="es-ES_tradnl" w:eastAsia="es-ES"/>
        </w:rPr>
      </w:pPr>
    </w:p>
    <w:p w:rsidR="00DE1809" w:rsidRPr="00DE1809" w:rsidRDefault="00DE1809" w:rsidP="00DE1809">
      <w:pPr>
        <w:numPr>
          <w:ilvl w:val="0"/>
          <w:numId w:val="4"/>
        </w:numPr>
        <w:spacing w:after="0" w:line="240" w:lineRule="auto"/>
        <w:jc w:val="center"/>
        <w:rPr>
          <w:rFonts w:ascii="Museo Sans 500" w:eastAsia="Times New Roman" w:hAnsi="Museo Sans 500" w:cs="Times New Roman"/>
          <w:b/>
          <w:lang w:val="es-ES_tradnl" w:eastAsia="es-ES"/>
        </w:rPr>
      </w:pPr>
      <w:r w:rsidRPr="00DE1809">
        <w:rPr>
          <w:rFonts w:ascii="Museo Sans 500" w:eastAsia="Times New Roman" w:hAnsi="Museo Sans 500" w:cs="Times New Roman"/>
          <w:b/>
          <w:lang w:val="es-ES_tradnl" w:eastAsia="es-ES"/>
        </w:rPr>
        <w:t>ANÁLISIS</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numPr>
          <w:ilvl w:val="1"/>
          <w:numId w:val="4"/>
        </w:numPr>
        <w:spacing w:after="0" w:line="240" w:lineRule="auto"/>
        <w:ind w:left="709"/>
        <w:jc w:val="both"/>
        <w:rPr>
          <w:rFonts w:ascii="Museo Sans 500" w:eastAsia="Times New Roman" w:hAnsi="Museo Sans 500" w:cs="Times New Roman"/>
          <w:lang w:val="es-ES_tradnl" w:eastAsia="es-ES"/>
        </w:rPr>
      </w:pPr>
      <w:r w:rsidRPr="00DE1809">
        <w:rPr>
          <w:rFonts w:ascii="Museo Sans 500" w:eastAsia="Times New Roman" w:hAnsi="Museo Sans 500" w:cs="Times New Roman"/>
          <w:lang w:val="es-ES_tradnl" w:eastAsia="es-ES"/>
        </w:rPr>
        <w:t>Respecto de la supuesta vulneración a los principios de legalidad y seguridad jurídica debido a que el artículo 83 de la Ley General de Electricidad no establece que el propietario del inmueble pueda solicitar el corte definitivo</w:t>
      </w:r>
    </w:p>
    <w:p w:rsidR="00DE1809" w:rsidRPr="00DE1809" w:rsidRDefault="00DE1809" w:rsidP="00DE1809">
      <w:pPr>
        <w:spacing w:after="0" w:line="240" w:lineRule="auto"/>
        <w:ind w:left="709"/>
        <w:jc w:val="both"/>
        <w:rPr>
          <w:rFonts w:ascii="Museo Sans 500" w:eastAsia="Times New Roman" w:hAnsi="Museo Sans 500" w:cs="Times New Roman"/>
          <w:lang w:val="es-ES_tradnl" w:eastAsia="es-ES"/>
        </w:rPr>
      </w:pPr>
    </w:p>
    <w:p w:rsidR="00DE1809" w:rsidRPr="00DE1809" w:rsidRDefault="00DE1809" w:rsidP="00DE1809">
      <w:pPr>
        <w:spacing w:line="240" w:lineRule="auto"/>
        <w:ind w:left="720"/>
        <w:jc w:val="both"/>
        <w:rPr>
          <w:rFonts w:ascii="Museo Sans 500" w:eastAsia="Arial" w:hAnsi="Museo Sans 500" w:cs="Arial"/>
          <w:lang w:val="es-ES_tradnl" w:eastAsia="es-SV"/>
        </w:rPr>
      </w:pPr>
      <w:r w:rsidRPr="00DE1809">
        <w:rPr>
          <w:rFonts w:ascii="Museo Sans 300" w:eastAsia="Arial" w:hAnsi="Museo Sans 300" w:cs="Arial"/>
          <w:lang w:val="es-ES_tradnl" w:eastAsia="es-SV"/>
        </w:rPr>
        <w:t>Para iniciar el presente análisis, corresponde exponer</w:t>
      </w:r>
      <w:r w:rsidRPr="00DE1809">
        <w:rPr>
          <w:rFonts w:ascii="Museo Sans 300" w:eastAsia="Calibri" w:hAnsi="Museo Sans 300" w:cs="Arial"/>
          <w:lang w:eastAsia="es-SV"/>
        </w:rPr>
        <w:t xml:space="preserve"> l</w:t>
      </w:r>
      <w:r w:rsidRPr="00DE1809">
        <w:rPr>
          <w:rFonts w:ascii="Museo Sans 300" w:eastAsia="Calibri" w:hAnsi="Museo Sans 300" w:cs="Arial"/>
          <w:lang w:val="es-MX" w:eastAsia="es-SV"/>
        </w:rPr>
        <w:t xml:space="preserve">a SIGET tiene las funciones de regulación y control sobre la distribución y comercialización de energía eléctrica, debiendo supervisar </w:t>
      </w:r>
      <w:r w:rsidRPr="00DE1809">
        <w:rPr>
          <w:rFonts w:ascii="Museo Sans 300" w:eastAsia="Calibri" w:hAnsi="Museo Sans 300" w:cs="Arial"/>
          <w:lang w:eastAsia="es-SV"/>
        </w:rPr>
        <w:t>que el servicio público de energía eléctrica se preste en las condiciones que se establece en las distintas normativas</w:t>
      </w:r>
      <w:r w:rsidRPr="00DE1809">
        <w:rPr>
          <w:rFonts w:ascii="Museo Sans 300" w:eastAsia="Calibri" w:hAnsi="Museo Sans 300" w:cs="Arial"/>
          <w:lang w:val="es-MX" w:eastAsia="es-SV"/>
        </w:rPr>
        <w:t xml:space="preserve"> aplicables y </w:t>
      </w:r>
      <w:r w:rsidRPr="00DE1809">
        <w:rPr>
          <w:rFonts w:ascii="Museo Sans 300" w:eastAsia="Calibri" w:hAnsi="Museo Sans 300" w:cs="Arial"/>
          <w:lang w:eastAsia="es-SV"/>
        </w:rPr>
        <w:t xml:space="preserve">que </w:t>
      </w:r>
      <w:r w:rsidRPr="00DE1809">
        <w:rPr>
          <w:rFonts w:ascii="Museo Sans 300" w:eastAsia="Calibri" w:hAnsi="Museo Sans 300" w:cs="Arial"/>
          <w:lang w:val="es-MX" w:eastAsia="es-SV"/>
        </w:rPr>
        <w:t xml:space="preserve">exista </w:t>
      </w:r>
      <w:r w:rsidRPr="00DE1809">
        <w:rPr>
          <w:rFonts w:ascii="Museo Sans 300" w:eastAsia="Calibri" w:hAnsi="Museo Sans 300" w:cs="Arial"/>
          <w:lang w:eastAsia="es-SV"/>
        </w:rPr>
        <w:t>un marco técnico y jurídico de principios y reglas que guían el actuar de las empresas distribuidoras</w:t>
      </w:r>
      <w:r w:rsidRPr="00DE1809">
        <w:rPr>
          <w:rFonts w:ascii="Museo Sans 300" w:eastAsia="Calibri" w:hAnsi="Museo Sans 300" w:cs="Arial"/>
          <w:lang w:val="es-MX" w:eastAsia="es-SV"/>
        </w:rPr>
        <w:t xml:space="preserve"> </w:t>
      </w:r>
      <w:r w:rsidRPr="00DE1809">
        <w:rPr>
          <w:rFonts w:ascii="Museo Sans 300" w:eastAsia="Calibri" w:hAnsi="Museo Sans 300" w:cs="Arial"/>
          <w:lang w:eastAsia="es-SV"/>
        </w:rPr>
        <w:t>y su relación con los usuarios finales.</w:t>
      </w:r>
    </w:p>
    <w:p w:rsidR="00DE1809" w:rsidRPr="00DE1809" w:rsidRDefault="00DE1809" w:rsidP="00DE1809">
      <w:pPr>
        <w:spacing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En ese orden de ideas, el artículo 10 de la Ley General de Electricidad, establece que los operadores no tendrán más obligaciones de prestar servicios o realizar suministros que las contenidas en la presente Ley y en sus contratos.</w:t>
      </w:r>
    </w:p>
    <w:p w:rsidR="00DE1809" w:rsidRPr="00DE1809" w:rsidRDefault="00DE1809" w:rsidP="00DE1809">
      <w:pPr>
        <w:spacing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El artículo 81 de la misma Ley, dispone que los consumidores conectados a una red de distribución podrán exigir al distribuidor correspondiente el otorgamiento de contratos de suministro de energía eléctrica de acuerdo al pliego tarifario aprobado por la SIGET. </w:t>
      </w:r>
    </w:p>
    <w:p w:rsidR="00DE1809" w:rsidRPr="00DE1809" w:rsidRDefault="00DE1809" w:rsidP="00DE1809">
      <w:pPr>
        <w:spacing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Por su parte, el artículo 87 inciso tercero del Reglamento de la Ley General de Electricidad, establece que el distribuidor está obligado a suministrar energía eléctrica de acuerdo con lo dispuesto en los Pliegos Tarifarios correspondientes.</w:t>
      </w:r>
    </w:p>
    <w:p w:rsidR="00DE1809" w:rsidRPr="00DE1809" w:rsidRDefault="00DE1809" w:rsidP="00DE1809">
      <w:pPr>
        <w:spacing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Específicamente, en los </w:t>
      </w:r>
      <w:r w:rsidRPr="00DE1809">
        <w:rPr>
          <w:rFonts w:ascii="Museo Sans 300" w:eastAsia="Arial" w:hAnsi="Museo Sans 300" w:cs="Arial"/>
          <w:color w:val="000000"/>
          <w:lang w:eastAsia="es-SV"/>
        </w:rPr>
        <w:t>Términos y Condiciones Generales al Consumidor Final del Pliego Tarifario aplicable para el presente año</w:t>
      </w:r>
      <w:r w:rsidRPr="00DE1809">
        <w:rPr>
          <w:rFonts w:ascii="Museo Sans 300" w:eastAsia="Arial" w:hAnsi="Museo Sans 300" w:cs="Arial"/>
          <w:lang w:eastAsia="es-SV"/>
        </w:rPr>
        <w:t>, se regula lo siguiente:</w:t>
      </w:r>
    </w:p>
    <w:p w:rsidR="00DE1809" w:rsidRPr="00DE1809" w:rsidRDefault="00DE1809" w:rsidP="00DE1809">
      <w:pPr>
        <w:ind w:left="993"/>
        <w:jc w:val="both"/>
        <w:rPr>
          <w:rFonts w:ascii="Museo Sans 300" w:eastAsia="Arial" w:hAnsi="Museo Sans 300" w:cs="Arial"/>
          <w:i/>
          <w:sz w:val="18"/>
          <w:szCs w:val="18"/>
          <w:lang w:eastAsia="es-SV"/>
        </w:rPr>
      </w:pPr>
      <w:r w:rsidRPr="00DE1809">
        <w:rPr>
          <w:rFonts w:ascii="Museo Sans 300" w:eastAsia="Arial" w:hAnsi="Museo Sans 300" w:cs="Arial"/>
          <w:i/>
          <w:sz w:val="18"/>
          <w:szCs w:val="18"/>
          <w:lang w:eastAsia="es-SV"/>
        </w:rPr>
        <w:t>“““(…) Art. 1. (…) Contrato de suministro de energía eléctrica: Es el acuerdo escrito por medio del cual un distribuidor que actúa como comercializar se obliga a entregar energía eléctrica al usuario final, en forma continua durante un plazo determinado, por un precio y condiciones fijadas en este pliego y otras regulaciones vigentes. (…)</w:t>
      </w:r>
    </w:p>
    <w:p w:rsidR="00DE1809" w:rsidRPr="00DE1809" w:rsidRDefault="00DE1809" w:rsidP="00DE1809">
      <w:pPr>
        <w:ind w:left="993" w:right="425"/>
        <w:jc w:val="both"/>
        <w:rPr>
          <w:rFonts w:ascii="Museo Sans 300" w:eastAsia="Arial" w:hAnsi="Museo Sans 300" w:cs="Arial"/>
          <w:sz w:val="18"/>
          <w:szCs w:val="18"/>
          <w:lang w:eastAsia="es-SV"/>
        </w:rPr>
      </w:pPr>
      <w:r w:rsidRPr="00DE1809">
        <w:rPr>
          <w:rFonts w:ascii="Museo Sans 300" w:eastAsia="Arial" w:hAnsi="Museo Sans 300" w:cs="Arial"/>
          <w:i/>
          <w:sz w:val="18"/>
          <w:szCs w:val="18"/>
          <w:lang w:eastAsia="es-SV"/>
        </w:rPr>
        <w:t>Art. 22.- Un corte definitivo del suministro implicará el retiro de la acometida y del equipo de medición, y podrá realizarse en los siguientes casos:</w:t>
      </w:r>
    </w:p>
    <w:p w:rsidR="00DE1809" w:rsidRPr="00DE1809" w:rsidRDefault="00DE1809" w:rsidP="00DE1809">
      <w:pPr>
        <w:numPr>
          <w:ilvl w:val="0"/>
          <w:numId w:val="9"/>
        </w:numPr>
        <w:tabs>
          <w:tab w:val="left" w:pos="851"/>
          <w:tab w:val="left" w:pos="993"/>
        </w:tabs>
        <w:spacing w:after="0" w:line="240" w:lineRule="auto"/>
        <w:ind w:left="993"/>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lastRenderedPageBreak/>
        <w:t>A solicitud del usuario final;</w:t>
      </w:r>
    </w:p>
    <w:p w:rsidR="00DE1809" w:rsidRPr="00DE1809" w:rsidRDefault="00DE1809" w:rsidP="00DE1809">
      <w:pPr>
        <w:tabs>
          <w:tab w:val="left" w:pos="851"/>
        </w:tabs>
        <w:spacing w:after="0" w:line="240" w:lineRule="auto"/>
        <w:ind w:left="993"/>
        <w:contextualSpacing/>
        <w:jc w:val="both"/>
        <w:rPr>
          <w:rFonts w:ascii="Museo Sans 300" w:eastAsia="Times New Roman" w:hAnsi="Museo Sans 300" w:cs="Times New Roman"/>
          <w:i/>
          <w:sz w:val="18"/>
          <w:szCs w:val="18"/>
          <w:lang w:val="es-ES" w:eastAsia="es-ES"/>
        </w:rPr>
      </w:pPr>
    </w:p>
    <w:p w:rsidR="00DE1809" w:rsidRPr="00DE1809" w:rsidRDefault="00DE1809" w:rsidP="00DE1809">
      <w:pPr>
        <w:numPr>
          <w:ilvl w:val="0"/>
          <w:numId w:val="9"/>
        </w:numPr>
        <w:tabs>
          <w:tab w:val="left" w:pos="851"/>
        </w:tabs>
        <w:spacing w:after="0" w:line="240" w:lineRule="auto"/>
        <w:ind w:left="993" w:right="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 xml:space="preserve"> A solicitud del propietario del inmueble, sin perjuicio de lo establecido en el artículo   11 de la Ley de Inquilinato;</w:t>
      </w:r>
    </w:p>
    <w:p w:rsidR="00DE1809" w:rsidRPr="00DE1809" w:rsidRDefault="00DE1809" w:rsidP="00DE1809">
      <w:pPr>
        <w:spacing w:after="0" w:line="240" w:lineRule="auto"/>
        <w:ind w:left="993"/>
        <w:rPr>
          <w:rFonts w:ascii="Museo Sans 300" w:eastAsia="Times New Roman" w:hAnsi="Museo Sans 300" w:cs="Times New Roman"/>
          <w:i/>
          <w:sz w:val="18"/>
          <w:szCs w:val="18"/>
          <w:lang w:val="es-ES" w:eastAsia="es-ES"/>
        </w:rPr>
      </w:pPr>
    </w:p>
    <w:p w:rsidR="00DE1809" w:rsidRPr="00DE1809" w:rsidRDefault="00DE1809" w:rsidP="00DE1809">
      <w:pPr>
        <w:numPr>
          <w:ilvl w:val="0"/>
          <w:numId w:val="9"/>
        </w:numPr>
        <w:tabs>
          <w:tab w:val="left" w:pos="851"/>
        </w:tabs>
        <w:spacing w:after="0" w:line="240" w:lineRule="auto"/>
        <w:ind w:left="993" w:right="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si transcurridos seis meses desde la fecha de la suspensión, el usuario final no hubiere solicitado la reconexión del mismo; y,</w:t>
      </w:r>
    </w:p>
    <w:p w:rsidR="00DE1809" w:rsidRPr="00DE1809" w:rsidRDefault="00DE1809" w:rsidP="00DE1809">
      <w:pPr>
        <w:spacing w:after="0" w:line="240" w:lineRule="auto"/>
        <w:ind w:left="993"/>
        <w:rPr>
          <w:rFonts w:ascii="Museo Sans 300" w:eastAsia="Times New Roman" w:hAnsi="Museo Sans 300" w:cs="Times New Roman"/>
          <w:i/>
          <w:sz w:val="18"/>
          <w:szCs w:val="18"/>
          <w:lang w:val="es-ES" w:eastAsia="es-ES"/>
        </w:rPr>
      </w:pPr>
    </w:p>
    <w:p w:rsidR="00DE1809" w:rsidRPr="00DE1809" w:rsidRDefault="00DE1809" w:rsidP="00DE1809">
      <w:pPr>
        <w:numPr>
          <w:ilvl w:val="0"/>
          <w:numId w:val="9"/>
        </w:numPr>
        <w:tabs>
          <w:tab w:val="left" w:pos="851"/>
        </w:tabs>
        <w:spacing w:after="0" w:line="240" w:lineRule="auto"/>
        <w:ind w:left="993" w:right="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el usuario final se conecta nuevamente, sin autorización, y sin haber solventado las causas que motivaron la suspensión. (…)””</w:t>
      </w:r>
    </w:p>
    <w:p w:rsidR="00DE1809" w:rsidRPr="00DE1809" w:rsidRDefault="00DE1809" w:rsidP="00DE1809">
      <w:pPr>
        <w:tabs>
          <w:tab w:val="left" w:pos="851"/>
        </w:tabs>
        <w:spacing w:line="240" w:lineRule="auto"/>
        <w:ind w:right="425"/>
        <w:contextualSpacing/>
        <w:jc w:val="both"/>
        <w:rPr>
          <w:rFonts w:ascii="Museo Sans 300" w:eastAsia="Arial" w:hAnsi="Museo Sans 300" w:cs="Arial"/>
          <w:i/>
          <w:lang w:eastAsia="es-SV"/>
        </w:rPr>
      </w:pPr>
    </w:p>
    <w:p w:rsidR="00DE1809" w:rsidRPr="00DE1809" w:rsidRDefault="00DE1809" w:rsidP="00DE1809">
      <w:pPr>
        <w:autoSpaceDE w:val="0"/>
        <w:autoSpaceDN w:val="0"/>
        <w:adjustRightInd w:val="0"/>
        <w:spacing w:after="0" w:line="240" w:lineRule="auto"/>
        <w:ind w:left="708"/>
        <w:jc w:val="both"/>
        <w:rPr>
          <w:rFonts w:ascii="Museo Sans 300" w:eastAsia="Arial" w:hAnsi="Museo Sans 300" w:cs="Times New Roman"/>
          <w:lang w:eastAsia="es-SV"/>
        </w:rPr>
      </w:pPr>
      <w:r w:rsidRPr="00DE1809">
        <w:rPr>
          <w:rFonts w:ascii="Museo Sans 300" w:eastAsia="Arial" w:hAnsi="Museo Sans 300" w:cs="Arial"/>
          <w:lang w:eastAsia="es-SV"/>
        </w:rPr>
        <w:t xml:space="preserve">Con base en la normativa expuesta, esta Superintendencia considera necesario exponer </w:t>
      </w:r>
      <w:r w:rsidRPr="00DE1809">
        <w:rPr>
          <w:rFonts w:ascii="Museo Sans 300" w:eastAsia="Arial" w:hAnsi="Museo Sans 300" w:cs="Arial"/>
          <w:color w:val="000000"/>
          <w:shd w:val="clear" w:color="auto" w:fill="FFFFFF"/>
          <w:lang w:eastAsia="es-SV"/>
        </w:rPr>
        <w:t xml:space="preserve">que la Ley General de Electricidad no puede prever todas las circunstancias posibles de su aplicación en el sector de electricidad, por lo que, los Términos y Condiciones aplicables a las empresas distribuidoras, </w:t>
      </w:r>
      <w:r w:rsidRPr="00DE1809">
        <w:rPr>
          <w:rFonts w:ascii="Museo Sans 300" w:eastAsia="Arial" w:hAnsi="Museo Sans 300" w:cs="Times New Roman"/>
          <w:lang w:eastAsia="es-SV"/>
        </w:rPr>
        <w:t>se convierte en el medio para determinar los precios y condiciones aplicables al suministro del usuario.</w:t>
      </w:r>
    </w:p>
    <w:p w:rsidR="00DE1809" w:rsidRPr="00DE1809" w:rsidRDefault="00DE1809" w:rsidP="00DE1809">
      <w:pPr>
        <w:autoSpaceDE w:val="0"/>
        <w:autoSpaceDN w:val="0"/>
        <w:adjustRightInd w:val="0"/>
        <w:spacing w:after="0" w:line="240" w:lineRule="auto"/>
        <w:ind w:left="708"/>
        <w:jc w:val="both"/>
        <w:rPr>
          <w:rFonts w:ascii="Museo Sans 300" w:eastAsia="Arial" w:hAnsi="Museo Sans 300" w:cs="Times New Roman"/>
          <w:lang w:eastAsia="es-SV"/>
        </w:rPr>
      </w:pPr>
    </w:p>
    <w:p w:rsidR="00DE1809" w:rsidRPr="00DE1809" w:rsidRDefault="00DE1809" w:rsidP="00DE1809">
      <w:pPr>
        <w:autoSpaceDE w:val="0"/>
        <w:autoSpaceDN w:val="0"/>
        <w:adjustRightInd w:val="0"/>
        <w:spacing w:after="0" w:line="240" w:lineRule="auto"/>
        <w:ind w:left="708"/>
        <w:jc w:val="both"/>
        <w:rPr>
          <w:rFonts w:ascii="Museo Sans 300" w:eastAsia="Arial" w:hAnsi="Museo Sans 300" w:cs="Times New Roman"/>
          <w:lang w:val="es-MX" w:eastAsia="es-SV"/>
        </w:rPr>
      </w:pPr>
      <w:r w:rsidRPr="00DE1809">
        <w:rPr>
          <w:rFonts w:ascii="Museo Sans 300" w:eastAsia="Arial" w:hAnsi="Museo Sans 300" w:cs="Times New Roman"/>
          <w:lang w:eastAsia="es-SV"/>
        </w:rPr>
        <w:t xml:space="preserve">En razón de lo anterior, </w:t>
      </w:r>
      <w:r w:rsidRPr="00DE1809">
        <w:rPr>
          <w:rFonts w:ascii="Museo Sans 300" w:eastAsia="Arial" w:hAnsi="Museo Sans 300" w:cs="Times New Roman"/>
          <w:lang w:val="es-MX" w:eastAsia="es-SV"/>
        </w:rPr>
        <w:t xml:space="preserve">la relación jurídica existente entre la sociedad </w:t>
      </w:r>
      <w:r w:rsidR="00DF4E2F">
        <w:rPr>
          <w:rFonts w:ascii="Museo Sans 300" w:eastAsia="Arial" w:hAnsi="Museo Sans 300" w:cs="Times New Roman"/>
          <w:lang w:val="es-MX" w:eastAsia="es-SV"/>
        </w:rPr>
        <w:t>XXXXXXXXXXXXX</w:t>
      </w:r>
      <w:r w:rsidRPr="00DE1809">
        <w:rPr>
          <w:rFonts w:ascii="Museo Sans 300" w:eastAsia="Arial" w:hAnsi="Museo Sans 300" w:cs="Times New Roman"/>
          <w:lang w:val="es-MX" w:eastAsia="es-SV"/>
        </w:rPr>
        <w:t xml:space="preserve">, S.A. de C.V., </w:t>
      </w:r>
      <w:r w:rsidRPr="00DE1809">
        <w:rPr>
          <w:rFonts w:ascii="Museo Sans 300" w:eastAsia="Arial" w:hAnsi="Museo Sans 300" w:cs="Arial"/>
          <w:lang w:val="es-ES_tradnl" w:eastAsia="es-SV"/>
        </w:rPr>
        <w:t>la</w:t>
      </w:r>
      <w:r w:rsidRPr="00DE1809">
        <w:rPr>
          <w:rFonts w:ascii="Museo Sans 300" w:eastAsia="Arial" w:hAnsi="Museo Sans 300" w:cs="Arial"/>
          <w:lang w:eastAsia="es-SV"/>
        </w:rPr>
        <w:t xml:space="preserve"> señora </w:t>
      </w:r>
      <w:r w:rsidR="00DF4E2F">
        <w:rPr>
          <w:rFonts w:ascii="Museo Sans 300" w:eastAsia="Arial" w:hAnsi="Museo Sans 300" w:cs="Arial"/>
          <w:lang w:val="es-ES_tradnl" w:eastAsia="es-SV"/>
        </w:rPr>
        <w:t>Xxxxxxxxxxxxx</w:t>
      </w:r>
      <w:r w:rsidRPr="00DE1809">
        <w:rPr>
          <w:rFonts w:ascii="Museo Sans 300" w:eastAsia="Arial" w:hAnsi="Museo Sans 300" w:cs="Arial"/>
          <w:lang w:val="es-ES_tradnl" w:eastAsia="es-SV"/>
        </w:rPr>
        <w:t xml:space="preserve"> de Campos y los señores Ismael Vásquez y </w:t>
      </w:r>
      <w:r w:rsidR="00DF4E2F">
        <w:rPr>
          <w:rFonts w:ascii="Museo Sans 300" w:eastAsia="Arial" w:hAnsi="Museo Sans 300" w:cs="Arial"/>
          <w:lang w:val="es-ES_tradnl" w:eastAsia="es-SV"/>
        </w:rPr>
        <w:t>Xxxxxxxxxxxxx</w:t>
      </w:r>
      <w:r w:rsidRPr="00DE1809">
        <w:rPr>
          <w:rFonts w:ascii="Museo Sans 300" w:eastAsia="Arial" w:hAnsi="Museo Sans 300" w:cs="Times New Roman"/>
          <w:lang w:val="es-MX" w:eastAsia="es-SV"/>
        </w:rPr>
        <w:t xml:space="preserve">, se rige y limita por lo determinado en dichos Términos y Condiciones </w:t>
      </w:r>
    </w:p>
    <w:p w:rsidR="00DE1809" w:rsidRPr="00DE1809" w:rsidRDefault="00DE1809" w:rsidP="00DE1809">
      <w:pPr>
        <w:autoSpaceDE w:val="0"/>
        <w:autoSpaceDN w:val="0"/>
        <w:adjustRightInd w:val="0"/>
        <w:spacing w:after="0" w:line="240" w:lineRule="auto"/>
        <w:jc w:val="both"/>
        <w:rPr>
          <w:rFonts w:ascii="Times New Roman" w:eastAsia="Arial" w:hAnsi="Times New Roman" w:cs="Times New Roman"/>
          <w:lang w:val="es-MX" w:eastAsia="es-SV"/>
        </w:rPr>
      </w:pPr>
    </w:p>
    <w:p w:rsidR="00DE1809" w:rsidRPr="00DE1809" w:rsidRDefault="00DE1809" w:rsidP="00DE1809">
      <w:pPr>
        <w:spacing w:line="240" w:lineRule="auto"/>
        <w:ind w:left="708"/>
        <w:jc w:val="both"/>
        <w:rPr>
          <w:rFonts w:ascii="Museo Sans 300" w:eastAsia="Arial" w:hAnsi="Museo Sans 300" w:cs="Arial"/>
          <w:lang w:val="es-ES_tradnl" w:eastAsia="es-SV"/>
        </w:rPr>
      </w:pPr>
      <w:r w:rsidRPr="00DE1809">
        <w:rPr>
          <w:rFonts w:ascii="Museo Sans 300" w:eastAsia="Arial" w:hAnsi="Museo Sans 300" w:cs="Arial"/>
          <w:color w:val="000000"/>
          <w:shd w:val="clear" w:color="auto" w:fill="FFFFFF"/>
          <w:lang w:eastAsia="es-SV"/>
        </w:rPr>
        <w:t xml:space="preserve">En ese entendido, en dichos Términos y Condiciones se ampliaron las causales que habilitan al distribuidor para realizar el corte definitivo de un suministro de energía eléctrica, estableciéndose de forma expresa que la sociedad </w:t>
      </w:r>
      <w:r w:rsidR="00DF4E2F">
        <w:rPr>
          <w:rFonts w:ascii="Museo Sans 300" w:eastAsia="Arial" w:hAnsi="Museo Sans 300" w:cs="Arial"/>
          <w:color w:val="000000"/>
          <w:shd w:val="clear" w:color="auto" w:fill="FFFFFF"/>
          <w:lang w:eastAsia="es-SV"/>
        </w:rPr>
        <w:t>XXXXXXXXXXXXX</w:t>
      </w:r>
      <w:r w:rsidRPr="00DE1809">
        <w:rPr>
          <w:rFonts w:ascii="Museo Sans 300" w:eastAsia="Arial" w:hAnsi="Museo Sans 300" w:cs="Arial"/>
          <w:color w:val="000000"/>
          <w:shd w:val="clear" w:color="auto" w:fill="FFFFFF"/>
          <w:lang w:eastAsia="es-SV"/>
        </w:rPr>
        <w:t>, S.A. de C.V. debe efectuarla a solicitud del propietario del inmueble. –Artículo 22 letra b)-.</w:t>
      </w:r>
    </w:p>
    <w:p w:rsidR="00DE1809" w:rsidRPr="00DE1809" w:rsidRDefault="00DE1809" w:rsidP="00DE1809">
      <w:pPr>
        <w:spacing w:line="240" w:lineRule="auto"/>
        <w:ind w:left="705"/>
        <w:jc w:val="both"/>
        <w:rPr>
          <w:rFonts w:ascii="Museo Sans 300" w:eastAsia="Arial" w:hAnsi="Museo Sans 300" w:cs="Arial"/>
          <w:lang w:val="es-ES_tradnl" w:eastAsia="es-SV"/>
        </w:rPr>
      </w:pPr>
      <w:r w:rsidRPr="00DE1809">
        <w:rPr>
          <w:rFonts w:ascii="Museo Sans 300" w:eastAsia="Arial" w:hAnsi="Museo Sans 300" w:cs="Arial"/>
          <w:lang w:eastAsia="es-SV"/>
        </w:rPr>
        <w:t xml:space="preserve">En armonía con lo anterior, lo determinado en el acuerdo N.° E-361-2019-CAU, respecto que el corte del suministro de energía eléctrica identificado con el NIC  2216609 se encuentra debidamente justificado de conformidad con los </w:t>
      </w:r>
      <w:r w:rsidRPr="00DE1809">
        <w:rPr>
          <w:rFonts w:ascii="Museo Sans 300" w:eastAsia="Arial" w:hAnsi="Museo Sans 300" w:cs="Arial"/>
          <w:color w:val="000000"/>
          <w:shd w:val="clear" w:color="auto" w:fill="FFFFFF"/>
          <w:lang w:eastAsia="es-SV"/>
        </w:rPr>
        <w:t xml:space="preserve">Términos y Condiciones </w:t>
      </w:r>
      <w:r w:rsidRPr="00DE1809">
        <w:rPr>
          <w:rFonts w:ascii="Museo Sans 300" w:eastAsia="Arial" w:hAnsi="Museo Sans 300" w:cs="Arial"/>
          <w:color w:val="000000"/>
          <w:lang w:eastAsia="es-SV"/>
        </w:rPr>
        <w:t>Generales al Consumidor Final</w:t>
      </w:r>
      <w:r w:rsidRPr="00DE1809">
        <w:rPr>
          <w:rFonts w:ascii="Museo Sans 300" w:eastAsia="Arial" w:hAnsi="Museo Sans 300" w:cs="Arial"/>
          <w:color w:val="000000"/>
          <w:shd w:val="clear" w:color="auto" w:fill="FFFFFF"/>
          <w:lang w:eastAsia="es-SV"/>
        </w:rPr>
        <w:t>,</w:t>
      </w:r>
      <w:r w:rsidRPr="00DE1809">
        <w:rPr>
          <w:rFonts w:ascii="Museo Sans 300" w:eastAsia="Arial" w:hAnsi="Museo Sans 300" w:cs="Arial"/>
          <w:lang w:eastAsia="es-SV"/>
        </w:rPr>
        <w:t xml:space="preserve"> fue establecido en observancia a </w:t>
      </w:r>
      <w:r w:rsidRPr="00DE1809">
        <w:rPr>
          <w:rFonts w:ascii="Museo Sans 300" w:eastAsia="Arial" w:hAnsi="Museo Sans 300" w:cs="Arial"/>
          <w:lang w:val="es-ES_tradnl" w:eastAsia="es-SV"/>
        </w:rPr>
        <w:t>los principios de legalidad y seguridad jurídica.</w:t>
      </w:r>
    </w:p>
    <w:p w:rsidR="00DE1809" w:rsidRPr="00DE1809" w:rsidRDefault="00DE1809" w:rsidP="00DE1809">
      <w:pPr>
        <w:spacing w:line="240" w:lineRule="auto"/>
        <w:ind w:left="705"/>
        <w:jc w:val="both"/>
        <w:rPr>
          <w:rFonts w:ascii="Museo Sans 300" w:eastAsia="Arial" w:hAnsi="Museo Sans 300" w:cs="Arial"/>
          <w:b/>
          <w:lang w:val="es-ES_tradnl" w:eastAsia="es-SV"/>
        </w:rPr>
      </w:pPr>
      <w:r w:rsidRPr="00DE1809">
        <w:rPr>
          <w:rFonts w:ascii="Museo Sans 300" w:eastAsia="Arial" w:hAnsi="Museo Sans 300" w:cs="Arial"/>
          <w:b/>
          <w:lang w:val="es-ES_tradnl" w:eastAsia="es-SV"/>
        </w:rPr>
        <w:t xml:space="preserve">3.2 Solicitud de corte del suministro de energía eléctrica </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Esta Superintendencia considera pertinente manifestar que de conformidad con marco normativo expuesto, el usuario prima facie tiene el derecho de recibir el servicio de energía eléctrica, bajo las características que le son propias, entre ellas, la continuidad.</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No obstante lo anterior, de conformidad con los Términos y Condiciones Generales al Consumidor Final de los Pliegos Tarifarios, el derecho a disponer y acceder al servicio de energía, no es absoluto e incondicional, pues en ocasiones es válido la desconexión o suspensión de la prestación del servicio de energía eléctrica, siempre y cuando sea por una de las causales establecidas en el marco normativo aplicable.  </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En ese orden de ideas, el legislador en el artículo 22 de los Pliegos Tarifarios aplicables al suministro de energía eléctrica de los usuarios finales para el año 2019, determinó que para que la empresa distribuidora realice la desconexión de determinado suministro de energía eléctrica, se requiere que concurra alguna de las causales siguientes: </w:t>
      </w:r>
    </w:p>
    <w:p w:rsidR="00DE1809" w:rsidRPr="00DE1809" w:rsidRDefault="00DE1809" w:rsidP="00DE1809">
      <w:pPr>
        <w:tabs>
          <w:tab w:val="left" w:pos="851"/>
        </w:tabs>
        <w:spacing w:after="0" w:line="240" w:lineRule="auto"/>
        <w:ind w:left="720"/>
        <w:contextualSpacing/>
        <w:jc w:val="both"/>
        <w:rPr>
          <w:rFonts w:ascii="Museo Sans 300" w:eastAsia="Times New Roman" w:hAnsi="Museo Sans 300" w:cs="Times New Roman"/>
          <w:i/>
          <w:sz w:val="18"/>
          <w:szCs w:val="18"/>
          <w:lang w:val="es-ES" w:eastAsia="es-ES"/>
        </w:rPr>
      </w:pPr>
    </w:p>
    <w:p w:rsidR="00DE1809" w:rsidRPr="00DE1809" w:rsidRDefault="00DE1809" w:rsidP="00DE1809">
      <w:pPr>
        <w:tabs>
          <w:tab w:val="left" w:pos="993"/>
        </w:tabs>
        <w:spacing w:after="0" w:line="240" w:lineRule="auto"/>
        <w:ind w:left="993"/>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w:t>
      </w:r>
    </w:p>
    <w:p w:rsidR="00DE1809" w:rsidRPr="00DE1809" w:rsidRDefault="00DE1809" w:rsidP="00DE1809">
      <w:pPr>
        <w:numPr>
          <w:ilvl w:val="0"/>
          <w:numId w:val="7"/>
        </w:numPr>
        <w:tabs>
          <w:tab w:val="left" w:pos="851"/>
        </w:tabs>
        <w:spacing w:after="0" w:line="240" w:lineRule="auto"/>
        <w:ind w:left="1418" w:hanging="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A solicitud del usuario final;</w:t>
      </w:r>
    </w:p>
    <w:p w:rsidR="00DE1809" w:rsidRPr="00DE1809" w:rsidRDefault="00DE1809" w:rsidP="00DE1809">
      <w:pPr>
        <w:tabs>
          <w:tab w:val="left" w:pos="851"/>
        </w:tabs>
        <w:spacing w:after="0" w:line="240" w:lineRule="auto"/>
        <w:ind w:left="1134"/>
        <w:contextualSpacing/>
        <w:jc w:val="both"/>
        <w:rPr>
          <w:rFonts w:ascii="Museo Sans 300" w:eastAsia="Times New Roman" w:hAnsi="Museo Sans 300" w:cs="Times New Roman"/>
          <w:i/>
          <w:sz w:val="18"/>
          <w:szCs w:val="18"/>
          <w:lang w:val="es-ES" w:eastAsia="es-ES"/>
        </w:rPr>
      </w:pPr>
    </w:p>
    <w:p w:rsidR="00DE1809" w:rsidRPr="00DE1809" w:rsidRDefault="00DE1809" w:rsidP="00DE1809">
      <w:pPr>
        <w:numPr>
          <w:ilvl w:val="0"/>
          <w:numId w:val="7"/>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lastRenderedPageBreak/>
        <w:t>A solicitud del propietario del inmueble, sin perjuicio de lo establecido en el artículo   11 de la Ley de Inquilinato;</w:t>
      </w:r>
    </w:p>
    <w:p w:rsidR="00DE1809" w:rsidRPr="00DE1809" w:rsidRDefault="00DE1809" w:rsidP="00DE1809">
      <w:pPr>
        <w:spacing w:after="0" w:line="240" w:lineRule="auto"/>
        <w:ind w:left="708"/>
        <w:rPr>
          <w:rFonts w:ascii="Museo Sans 300" w:eastAsia="Times New Roman" w:hAnsi="Museo Sans 300" w:cs="Times New Roman"/>
          <w:i/>
          <w:sz w:val="18"/>
          <w:szCs w:val="18"/>
          <w:lang w:val="es-ES" w:eastAsia="es-ES"/>
        </w:rPr>
      </w:pPr>
    </w:p>
    <w:p w:rsidR="00DE1809" w:rsidRPr="00DE1809" w:rsidRDefault="00DE1809" w:rsidP="00DE1809">
      <w:pPr>
        <w:numPr>
          <w:ilvl w:val="0"/>
          <w:numId w:val="7"/>
        </w:numPr>
        <w:tabs>
          <w:tab w:val="left" w:pos="851"/>
        </w:tabs>
        <w:spacing w:after="0" w:line="240" w:lineRule="auto"/>
        <w:ind w:left="1418" w:right="425" w:hanging="425"/>
        <w:contextualSpacing/>
        <w:jc w:val="both"/>
        <w:rPr>
          <w:rFonts w:ascii="Museo Sans 300" w:eastAsia="Times New Roman" w:hAnsi="Museo Sans 300" w:cs="Times New Roman"/>
          <w:i/>
          <w:sz w:val="18"/>
          <w:szCs w:val="18"/>
          <w:lang w:val="es-ES" w:eastAsia="es-ES"/>
        </w:rPr>
      </w:pPr>
      <w:r w:rsidRPr="00DE1809">
        <w:rPr>
          <w:rFonts w:ascii="Museo Sans 300" w:eastAsia="Times New Roman" w:hAnsi="Museo Sans 300" w:cs="Times New Roman"/>
          <w:i/>
          <w:sz w:val="18"/>
          <w:szCs w:val="18"/>
          <w:lang w:val="es-ES" w:eastAsia="es-ES"/>
        </w:rPr>
        <w:t>Cuando el Distribuidor hubiese suspendido el suministro por las situaciones previstas en el artículo 20 de este pliego, y si transcurridos seis meses desde la fecha de la suspensión, el usuario final no hubiere solicitado la reconexión del mismo; y,</w:t>
      </w:r>
    </w:p>
    <w:p w:rsidR="00DE1809" w:rsidRPr="00DE1809" w:rsidRDefault="00DE1809" w:rsidP="00DE1809">
      <w:pPr>
        <w:spacing w:after="0" w:line="240" w:lineRule="auto"/>
        <w:ind w:left="708"/>
        <w:rPr>
          <w:rFonts w:ascii="Museo Sans 300" w:eastAsia="Times New Roman" w:hAnsi="Museo Sans 300" w:cs="Times New Roman"/>
          <w:i/>
          <w:sz w:val="18"/>
          <w:szCs w:val="18"/>
          <w:lang w:val="es-ES" w:eastAsia="es-ES"/>
        </w:rPr>
      </w:pPr>
    </w:p>
    <w:p w:rsidR="00DE1809" w:rsidRPr="00DE1809" w:rsidRDefault="00DE1809" w:rsidP="00DE1809">
      <w:pPr>
        <w:numPr>
          <w:ilvl w:val="0"/>
          <w:numId w:val="7"/>
        </w:numPr>
        <w:suppressAutoHyphens/>
        <w:spacing w:after="0" w:line="240" w:lineRule="auto"/>
        <w:ind w:left="1418" w:right="425" w:hanging="425"/>
        <w:jc w:val="both"/>
        <w:rPr>
          <w:rFonts w:ascii="Museo Sans 300" w:eastAsia="Arial" w:hAnsi="Museo Sans 300" w:cs="Arial"/>
          <w:lang w:eastAsia="es-SV"/>
        </w:rPr>
      </w:pPr>
      <w:r w:rsidRPr="00DE1809">
        <w:rPr>
          <w:rFonts w:ascii="Museo Sans 300" w:eastAsia="Calibri" w:hAnsi="Museo Sans 300" w:cs="Calibri"/>
          <w:i/>
          <w:sz w:val="18"/>
          <w:szCs w:val="18"/>
          <w:lang w:eastAsia="ar-SA"/>
        </w:rPr>
        <w:t>Cuando el Distribuidor hubiese suspendido el suministro por las situaciones previstas en el artículo 20 de este pliego, y el usuario final se conecta nuevamente, sin autorización, y sin haber solventado las causas que motivaron la suspensión.””</w:t>
      </w:r>
    </w:p>
    <w:p w:rsidR="00DE1809" w:rsidRPr="00DE1809" w:rsidRDefault="00DE1809" w:rsidP="00DE1809">
      <w:pPr>
        <w:suppressAutoHyphens/>
        <w:spacing w:after="0" w:line="240" w:lineRule="auto"/>
        <w:ind w:left="708"/>
        <w:jc w:val="both"/>
        <w:rPr>
          <w:rFonts w:ascii="Museo Sans 300" w:eastAsia="Calibri" w:hAnsi="Museo Sans 300" w:cs="Calibri"/>
          <w:lang w:eastAsia="ar-SA"/>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Calibri" w:hAnsi="Museo Sans 300" w:cs="Calibri"/>
          <w:lang w:eastAsia="ar-SA"/>
        </w:rPr>
        <w:t>En disposición claramente se específica, que el corte definitivo del servicio procede cuando es solicitado por el usuario final o por el propietario del inmueble.</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Dicho criterio fue adoptado por la Junta de Directores de esta Superintendencia, en las sentencias siguientes:</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numPr>
          <w:ilvl w:val="0"/>
          <w:numId w:val="3"/>
        </w:numPr>
        <w:suppressAutoHyphens/>
        <w:spacing w:after="0" w:line="240" w:lineRule="auto"/>
        <w:jc w:val="both"/>
        <w:rPr>
          <w:rFonts w:ascii="Museo Sans 300" w:eastAsia="Arial" w:hAnsi="Museo Sans 300" w:cs="Arial"/>
          <w:lang w:eastAsia="es-SV"/>
        </w:rPr>
      </w:pPr>
      <w:r w:rsidRPr="00DE1809">
        <w:rPr>
          <w:rFonts w:ascii="Museo Sans 300" w:eastAsia="Arial" w:hAnsi="Museo Sans 300" w:cs="Arial"/>
          <w:lang w:eastAsia="es-SV"/>
        </w:rPr>
        <w:t>Acuerdo N.° 570-E-2015 de fecha nueve de diciembre del año dos mil quince</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ind w:left="993" w:right="283"/>
        <w:jc w:val="both"/>
        <w:rPr>
          <w:rFonts w:ascii="Arial" w:eastAsia="Arial" w:hAnsi="Arial" w:cs="Arial"/>
          <w:sz w:val="18"/>
          <w:szCs w:val="18"/>
          <w:lang w:eastAsia="es-SV"/>
        </w:rPr>
      </w:pPr>
      <w:r w:rsidRPr="00DE1809">
        <w:rPr>
          <w:rFonts w:ascii="Arial" w:eastAsia="Arial" w:hAnsi="Arial" w:cs="Arial"/>
          <w:sz w:val="18"/>
          <w:szCs w:val="18"/>
          <w:lang w:eastAsia="es-SV"/>
        </w:rPr>
        <w:t>““Debe reiterarse que de acuerdo a los Términos y Condiciones de los Pliegos Tarifarios vigentes para el caso, el propietario del inmueble donde se encuentre instalado el suministro puede solicitar el corte definitivo del servicio únicamente con presentar la documentación que lo identifique y la que lo acredite como propietario;””</w:t>
      </w:r>
    </w:p>
    <w:p w:rsidR="00DE1809" w:rsidRPr="00DE1809" w:rsidRDefault="00DE1809" w:rsidP="00DE1809">
      <w:pPr>
        <w:numPr>
          <w:ilvl w:val="0"/>
          <w:numId w:val="3"/>
        </w:numPr>
        <w:spacing w:after="0" w:line="240" w:lineRule="auto"/>
        <w:jc w:val="both"/>
        <w:rPr>
          <w:rFonts w:ascii="Museo Sans 300" w:eastAsia="Arial" w:hAnsi="Museo Sans 300" w:cs="Arial"/>
          <w:lang w:eastAsia="es-SV"/>
        </w:rPr>
      </w:pPr>
      <w:r w:rsidRPr="00DE1809">
        <w:rPr>
          <w:rFonts w:ascii="Museo Sans 300" w:eastAsia="Arial" w:hAnsi="Museo Sans 300" w:cs="Arial"/>
          <w:lang w:eastAsia="es-SV"/>
        </w:rPr>
        <w:t>Acuerdo N.° 573-E-2015 de fecha catorce de diciembre de dos mil quince.</w:t>
      </w:r>
    </w:p>
    <w:p w:rsidR="00DE1809" w:rsidRPr="00DE1809" w:rsidRDefault="00DE1809" w:rsidP="00DE1809">
      <w:pPr>
        <w:suppressAutoHyphens/>
        <w:spacing w:after="0" w:line="240" w:lineRule="auto"/>
        <w:ind w:left="720"/>
        <w:jc w:val="both"/>
        <w:rPr>
          <w:rFonts w:ascii="Times New Roman" w:eastAsia="Calibri" w:hAnsi="Times New Roman" w:cs="Calibri"/>
          <w:sz w:val="18"/>
          <w:szCs w:val="18"/>
          <w:lang w:eastAsia="ar-SA"/>
        </w:rPr>
      </w:pPr>
    </w:p>
    <w:p w:rsidR="00DE1809" w:rsidRPr="00DE1809" w:rsidRDefault="00DE1809" w:rsidP="00DE1809">
      <w:pPr>
        <w:ind w:left="993"/>
        <w:jc w:val="both"/>
        <w:rPr>
          <w:rFonts w:ascii="Arial" w:eastAsia="Arial" w:hAnsi="Arial" w:cs="Arial"/>
          <w:sz w:val="18"/>
          <w:szCs w:val="18"/>
          <w:lang w:eastAsia="es-SV"/>
        </w:rPr>
      </w:pPr>
      <w:r w:rsidRPr="00DE1809">
        <w:rPr>
          <w:rFonts w:ascii="Arial" w:eastAsia="Arial" w:hAnsi="Arial" w:cs="Arial"/>
          <w:sz w:val="18"/>
          <w:szCs w:val="18"/>
          <w:lang w:eastAsia="es-SV"/>
        </w:rPr>
        <w:t xml:space="preserve">““para que la distribuidora procediera al corte definitivo de los suministros en el inmueble propiedad de las solicitantes, ya que ha quedado demostrado que las interesadas se identificaron correctamente y comprobaron su propiedad al solicitar el corte del servicio, por lo que correspondía a </w:t>
      </w:r>
      <w:r w:rsidR="00DF4E2F">
        <w:rPr>
          <w:rFonts w:ascii="Arial" w:eastAsia="Arial" w:hAnsi="Arial" w:cs="Arial"/>
          <w:sz w:val="18"/>
          <w:szCs w:val="18"/>
          <w:lang w:eastAsia="es-SV"/>
        </w:rPr>
        <w:t>XXXXXXXXXXXXX</w:t>
      </w:r>
      <w:r w:rsidRPr="00DE1809">
        <w:rPr>
          <w:rFonts w:ascii="Arial" w:eastAsia="Arial" w:hAnsi="Arial" w:cs="Arial"/>
          <w:sz w:val="18"/>
          <w:szCs w:val="18"/>
          <w:lang w:eastAsia="es-SV"/>
        </w:rPr>
        <w:t>, S.A. de C.V. ejecutar las acciones correspondientes en el plazo definido en el artículo 22 de los Términos y Condiciones; caso contrario, las peticionarias tenían el derecho de realizar el corte personalmente o mediante tercero, en caso de estar debidamente certificados para ello.””</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Ahora bien, en el presente caso, la causal que argumentó la sociedad </w:t>
      </w:r>
      <w:r w:rsidR="00DF4E2F">
        <w:rPr>
          <w:rFonts w:ascii="Museo Sans 300" w:eastAsia="Arial" w:hAnsi="Museo Sans 300" w:cs="Arial"/>
          <w:lang w:eastAsia="es-SV"/>
        </w:rPr>
        <w:t>XXXXXXXXXXXXX</w:t>
      </w:r>
      <w:r w:rsidRPr="00DE1809">
        <w:rPr>
          <w:rFonts w:ascii="Museo Sans 300" w:eastAsia="Arial" w:hAnsi="Museo Sans 300" w:cs="Arial"/>
          <w:lang w:eastAsia="es-SV"/>
        </w:rPr>
        <w:t xml:space="preserve">, S.A. de C.V. para realizar la desconexión del suministro de energía eléctrica identificado con el NIC </w:t>
      </w:r>
      <w:r w:rsidR="00DF4E2F">
        <w:rPr>
          <w:rFonts w:ascii="Museo Sans 300" w:eastAsia="Arial" w:hAnsi="Museo Sans 300" w:cs="Arial"/>
          <w:lang w:eastAsia="es-SV"/>
        </w:rPr>
        <w:t>xxxx</w:t>
      </w:r>
      <w:r w:rsidRPr="00DE1809">
        <w:rPr>
          <w:rFonts w:ascii="Museo Sans 300" w:eastAsia="Arial" w:hAnsi="Museo Sans 300" w:cs="Arial"/>
          <w:lang w:eastAsia="es-SV"/>
        </w:rPr>
        <w:t xml:space="preserve"> fue la solicitud presentada por el señor </w:t>
      </w:r>
      <w:r w:rsidR="00DF4E2F">
        <w:rPr>
          <w:rFonts w:ascii="Museo Sans 300" w:eastAsia="Arial" w:hAnsi="Museo Sans 300" w:cs="Arial"/>
          <w:lang w:eastAsia="es-SV"/>
        </w:rPr>
        <w:t>Xxxxxxxxxxxxx</w:t>
      </w:r>
      <w:r w:rsidRPr="00DE1809">
        <w:rPr>
          <w:rFonts w:ascii="Museo Sans 300" w:eastAsia="Arial" w:hAnsi="Museo Sans 300" w:cs="Arial"/>
          <w:lang w:eastAsia="es-SV"/>
        </w:rPr>
        <w:t xml:space="preserve">, en su calidad de propietario del inmueble ubicado </w:t>
      </w:r>
      <w:r w:rsidR="00DF4E2F">
        <w:rPr>
          <w:rFonts w:ascii="Museo Sans 300" w:eastAsia="Arial" w:hAnsi="Museo Sans 300" w:cs="Arial"/>
          <w:lang w:eastAsia="es-SV"/>
        </w:rPr>
        <w:t>xxxxxxx</w:t>
      </w:r>
      <w:r w:rsidRPr="00DE1809">
        <w:rPr>
          <w:rFonts w:ascii="Museo Sans 300" w:eastAsia="Arial" w:hAnsi="Museo Sans 300" w:cs="Arial"/>
          <w:lang w:eastAsia="es-SV"/>
        </w:rPr>
        <w:t>.</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A efecto de resolver el presente diferendo, se evalúo la documentación remitida por las partes, debiendo traerse a colación la siguiente:</w:t>
      </w:r>
    </w:p>
    <w:p w:rsidR="00DE1809" w:rsidRPr="00DE1809" w:rsidRDefault="00DE1809" w:rsidP="00DE1809">
      <w:pPr>
        <w:suppressAutoHyphens/>
        <w:spacing w:after="0" w:line="240" w:lineRule="auto"/>
        <w:jc w:val="both"/>
        <w:rPr>
          <w:rFonts w:ascii="Museo Sans 300" w:eastAsia="Arial" w:hAnsi="Museo Sans 300" w:cs="Arial"/>
          <w:lang w:eastAsia="es-SV"/>
        </w:rPr>
      </w:pPr>
    </w:p>
    <w:p w:rsidR="00DE1809" w:rsidRPr="00DE1809" w:rsidRDefault="00DE1809" w:rsidP="00DE1809">
      <w:pPr>
        <w:numPr>
          <w:ilvl w:val="0"/>
          <w:numId w:val="8"/>
        </w:numPr>
        <w:spacing w:after="0" w:line="240" w:lineRule="auto"/>
        <w:ind w:left="1134"/>
        <w:contextualSpacing/>
        <w:jc w:val="both"/>
        <w:rPr>
          <w:rFonts w:ascii="Museo Sans 300" w:eastAsia="Times New Roman" w:hAnsi="Museo Sans 300" w:cs="Times New Roman"/>
          <w:lang w:val="es-ES" w:eastAsia="es-ES"/>
        </w:rPr>
      </w:pPr>
      <w:r w:rsidRPr="00DE1809">
        <w:rPr>
          <w:rFonts w:ascii="Museo Sans 300" w:eastAsia="Times New Roman" w:hAnsi="Museo Sans 300" w:cs="Times New Roman"/>
          <w:lang w:val="es-ES" w:eastAsia="es-ES"/>
        </w:rPr>
        <w:t xml:space="preserve">Certificación extendida el día treinta y uno de mayo de año dos mil diecinueve por el Centro Nacional de Registros, mediante la cual se hace constar que el inmueble situado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pertenece al señor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con un porcentaje de cien por ciento de derecho de propiedad, no tiene gravámenes. Restricciones, alertas o presentaciones de ningún tipo. </w:t>
      </w:r>
    </w:p>
    <w:p w:rsidR="00DE1809" w:rsidRPr="00DE1809" w:rsidRDefault="00DE1809" w:rsidP="00DE1809">
      <w:pPr>
        <w:spacing w:after="0" w:line="240" w:lineRule="auto"/>
        <w:ind w:left="1560"/>
        <w:jc w:val="both"/>
        <w:rPr>
          <w:rFonts w:ascii="Museo Sans 300" w:eastAsia="Times New Roman" w:hAnsi="Museo Sans 300" w:cs="Times New Roman"/>
          <w:lang w:val="es-ES" w:eastAsia="es-ES"/>
        </w:rPr>
      </w:pPr>
    </w:p>
    <w:p w:rsidR="00DE1809" w:rsidRPr="00DE1809" w:rsidRDefault="00DE1809" w:rsidP="00DE1809">
      <w:pPr>
        <w:numPr>
          <w:ilvl w:val="0"/>
          <w:numId w:val="8"/>
        </w:numPr>
        <w:spacing w:after="0" w:line="240" w:lineRule="auto"/>
        <w:ind w:left="1134"/>
        <w:contextualSpacing/>
        <w:jc w:val="both"/>
        <w:rPr>
          <w:rFonts w:ascii="Museo Sans 300" w:eastAsia="Times New Roman" w:hAnsi="Museo Sans 300" w:cs="Times New Roman"/>
          <w:lang w:val="es-ES" w:eastAsia="es-ES"/>
        </w:rPr>
      </w:pPr>
      <w:r w:rsidRPr="00DE1809">
        <w:rPr>
          <w:rFonts w:ascii="Museo Sans 300" w:eastAsia="Times New Roman" w:hAnsi="Museo Sans 300" w:cs="Times New Roman"/>
          <w:lang w:val="es-ES" w:eastAsia="es-ES"/>
        </w:rPr>
        <w:t xml:space="preserve">Constancia de recepción de gestión SO2112190001959 de la sociedad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S.A. de C.V., donde figura la solicitud de terminación de contrato (baja del servicio) presentada por el señor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correspondiente al NIC </w:t>
      </w:r>
      <w:r w:rsidR="00DF4E2F">
        <w:rPr>
          <w:rFonts w:ascii="Museo Sans 300" w:eastAsia="Arial" w:hAnsi="Museo Sans 300" w:cs="Arial"/>
          <w:lang w:val="es-ES_tradnl" w:eastAsia="es-SV"/>
        </w:rPr>
        <w:t>xxxx</w:t>
      </w:r>
      <w:r w:rsidRPr="00DE1809">
        <w:rPr>
          <w:rFonts w:ascii="Museo Sans 300" w:eastAsia="Times New Roman" w:hAnsi="Museo Sans 300" w:cs="Times New Roman"/>
          <w:lang w:val="es-ES" w:eastAsia="es-ES"/>
        </w:rPr>
        <w:t>.</w:t>
      </w:r>
    </w:p>
    <w:p w:rsidR="00DE1809" w:rsidRPr="00DE1809" w:rsidRDefault="00DE1809" w:rsidP="00DE1809">
      <w:pPr>
        <w:spacing w:after="0" w:line="240" w:lineRule="auto"/>
        <w:ind w:left="708"/>
        <w:rPr>
          <w:rFonts w:ascii="Museo Sans 300" w:eastAsia="Times New Roman" w:hAnsi="Museo Sans 300" w:cs="Times New Roman"/>
          <w:lang w:val="es-ES" w:eastAsia="es-ES"/>
        </w:rPr>
      </w:pPr>
    </w:p>
    <w:p w:rsidR="00DE1809" w:rsidRPr="00DE1809" w:rsidRDefault="00DE1809" w:rsidP="00DE1809">
      <w:pPr>
        <w:numPr>
          <w:ilvl w:val="0"/>
          <w:numId w:val="8"/>
        </w:numPr>
        <w:spacing w:after="0" w:line="240" w:lineRule="auto"/>
        <w:ind w:left="1134"/>
        <w:contextualSpacing/>
        <w:jc w:val="both"/>
        <w:rPr>
          <w:rFonts w:ascii="Museo Sans 300" w:eastAsia="Times New Roman" w:hAnsi="Museo Sans 300" w:cs="Times New Roman"/>
          <w:lang w:val="es-ES" w:eastAsia="es-ES"/>
        </w:rPr>
      </w:pPr>
      <w:r w:rsidRPr="00DE1809">
        <w:rPr>
          <w:rFonts w:ascii="Museo Sans 300" w:eastAsia="Times New Roman" w:hAnsi="Museo Sans 300" w:cs="Times New Roman"/>
          <w:lang w:val="es-ES" w:eastAsia="es-ES"/>
        </w:rPr>
        <w:lastRenderedPageBreak/>
        <w:t xml:space="preserve">Contrato de suministro de energía eléctrica pequeñas demandas de carácter provisional suscrito entre la sociedad </w:t>
      </w:r>
      <w:r w:rsidR="00DF4E2F">
        <w:rPr>
          <w:rFonts w:ascii="Museo Sans 300" w:eastAsia="Times New Roman" w:hAnsi="Museo Sans 300" w:cs="Times New Roman"/>
          <w:lang w:val="es-ES" w:eastAsia="es-ES"/>
        </w:rPr>
        <w:t>XXXXXXXXXXXXX</w:t>
      </w:r>
      <w:r w:rsidRPr="00DE1809">
        <w:rPr>
          <w:rFonts w:ascii="Museo Sans 300" w:eastAsia="Times New Roman" w:hAnsi="Museo Sans 300" w:cs="Times New Roman"/>
          <w:lang w:val="es-ES" w:eastAsia="es-ES"/>
        </w:rPr>
        <w:t xml:space="preserve">, S.A. de C.V. y la señora </w:t>
      </w:r>
      <w:r w:rsidR="00DF4E2F">
        <w:rPr>
          <w:rFonts w:ascii="Museo Sans 300" w:eastAsia="Times New Roman" w:hAnsi="Museo Sans 300" w:cs="Times New Roman"/>
          <w:lang w:val="es-ES" w:eastAsia="es-ES"/>
        </w:rPr>
        <w:t>xxxxxxx</w:t>
      </w:r>
      <w:r w:rsidRPr="00DE1809">
        <w:rPr>
          <w:rFonts w:ascii="Museo Sans 300" w:eastAsia="Times New Roman" w:hAnsi="Museo Sans 300" w:cs="Times New Roman"/>
          <w:lang w:val="es-ES" w:eastAsia="es-ES"/>
        </w:rPr>
        <w:t xml:space="preserve"> donde se estableció en su cláusula tercera lo siguiente: </w:t>
      </w:r>
    </w:p>
    <w:p w:rsidR="00DE1809" w:rsidRPr="00DE1809" w:rsidRDefault="00DE1809" w:rsidP="00DE1809">
      <w:pPr>
        <w:spacing w:after="0" w:line="240" w:lineRule="auto"/>
        <w:ind w:left="708"/>
        <w:rPr>
          <w:rFonts w:ascii="Museo Sans 300" w:eastAsia="Times New Roman" w:hAnsi="Museo Sans 300" w:cs="Times New Roman"/>
          <w:lang w:val="es-ES" w:eastAsia="es-ES"/>
        </w:rPr>
      </w:pPr>
    </w:p>
    <w:p w:rsidR="00DE1809" w:rsidRPr="00DE1809" w:rsidRDefault="00DE1809" w:rsidP="00DE1809">
      <w:pPr>
        <w:spacing w:after="0" w:line="240" w:lineRule="auto"/>
        <w:ind w:left="1276" w:right="141"/>
        <w:contextualSpacing/>
        <w:jc w:val="both"/>
        <w:rPr>
          <w:rFonts w:ascii="Museo Sans 300" w:eastAsia="Times New Roman" w:hAnsi="Museo Sans 300" w:cs="Times New Roman"/>
          <w:i/>
          <w:lang w:val="es-ES" w:eastAsia="es-ES"/>
        </w:rPr>
      </w:pPr>
      <w:r w:rsidRPr="00DE1809">
        <w:rPr>
          <w:rFonts w:ascii="Museo Sans 300" w:eastAsia="Times New Roman" w:hAnsi="Museo Sans 300" w:cs="Times New Roman"/>
          <w:i/>
          <w:lang w:val="es-ES" w:eastAsia="es-ES"/>
        </w:rPr>
        <w:t>““</w:t>
      </w:r>
      <w:r w:rsidRPr="00DE1809">
        <w:rPr>
          <w:rFonts w:ascii="Museo Sans 300" w:eastAsia="Times New Roman" w:hAnsi="Museo Sans 300" w:cs="Times New Roman"/>
          <w:i/>
          <w:sz w:val="18"/>
          <w:szCs w:val="18"/>
          <w:lang w:val="es-ES" w:eastAsia="es-ES"/>
        </w:rPr>
        <w:t>En caso que el dueño de la propiedad solicite la baja del servicio previa presentación de documentos que los acredite fehacientemente su derecho y dominio, se podrá dar de baja sin responsabilidad para ambas partes según acuerdo de Términos y Condiciones.””</w:t>
      </w:r>
    </w:p>
    <w:p w:rsidR="00DE1809" w:rsidRPr="00DE1809" w:rsidRDefault="00DE1809" w:rsidP="00DE1809">
      <w:pPr>
        <w:suppressAutoHyphens/>
        <w:spacing w:after="0" w:line="240" w:lineRule="auto"/>
        <w:jc w:val="both"/>
        <w:rPr>
          <w:rFonts w:ascii="Museo Sans 300" w:eastAsia="Arial" w:hAnsi="Museo Sans 300" w:cs="Arial"/>
          <w:lang w:eastAsia="es-SV"/>
        </w:rPr>
      </w:pPr>
    </w:p>
    <w:p w:rsidR="00DE1809" w:rsidRPr="00DE1809" w:rsidRDefault="00DE1809" w:rsidP="00DE1809">
      <w:pPr>
        <w:spacing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De los documentos que constan en el expediente y de conformidad con los Términos y Condiciones Generales al Consumidor Final de los Pliegos Tarifarios, se comprobó que la sociedad </w:t>
      </w:r>
      <w:r w:rsidR="00DF4E2F">
        <w:rPr>
          <w:rFonts w:ascii="Museo Sans 300" w:eastAsia="Arial" w:hAnsi="Museo Sans 300" w:cs="Arial"/>
          <w:lang w:eastAsia="es-SV"/>
        </w:rPr>
        <w:t>XXXXXXXXXXXXX</w:t>
      </w:r>
      <w:r w:rsidRPr="00DE1809">
        <w:rPr>
          <w:rFonts w:ascii="Museo Sans 300" w:eastAsia="Arial" w:hAnsi="Museo Sans 300" w:cs="Arial"/>
          <w:lang w:eastAsia="es-SV"/>
        </w:rPr>
        <w:t xml:space="preserve">, S.A. de C.V., efectuó la desconexión del suministro identificado con el NIC 2216609 al constatar que el señor Elías Chavarría era el propietario del inmueble. </w:t>
      </w:r>
    </w:p>
    <w:p w:rsidR="00DE1809" w:rsidRPr="00DE1809" w:rsidRDefault="00DE1809" w:rsidP="00DE1809">
      <w:pPr>
        <w:spacing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La sociedad </w:t>
      </w:r>
      <w:r w:rsidR="00DF4E2F">
        <w:rPr>
          <w:rFonts w:ascii="Museo Sans 300" w:eastAsia="Arial" w:hAnsi="Museo Sans 300" w:cs="Arial"/>
          <w:lang w:eastAsia="es-SV"/>
        </w:rPr>
        <w:t>XXXXXXXXXXXXX</w:t>
      </w:r>
      <w:r w:rsidRPr="00DE1809">
        <w:rPr>
          <w:rFonts w:ascii="Museo Sans 300" w:eastAsia="Arial" w:hAnsi="Museo Sans 300" w:cs="Arial"/>
          <w:lang w:eastAsia="es-SV"/>
        </w:rPr>
        <w:t>, S.A. de C.V. indicó que trató de realizar la desconexión del servicio de energía eléctrica los días dieciséis de marzo y tres de abril del presente año y en ambas ocasiones se lo impidió la persona que se encontraba en la vivienda. El retiro del medidor fue realizado el día cuatro de abril de este año.</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En razón de lo anterior, se estableció en el </w:t>
      </w:r>
      <w:r w:rsidRPr="00DE1809">
        <w:rPr>
          <w:rFonts w:ascii="Museo Sans 300" w:eastAsia="Calibri" w:hAnsi="Museo Sans 300" w:cs="Calibri"/>
          <w:lang w:val="es-ES_tradnl" w:eastAsia="ar-SA"/>
        </w:rPr>
        <w:t>acuerdo N.° E-361-2019-CAU</w:t>
      </w:r>
      <w:r w:rsidRPr="00DE1809">
        <w:rPr>
          <w:rFonts w:ascii="Museo Sans 300" w:eastAsia="Arial" w:hAnsi="Museo Sans 300" w:cs="Arial"/>
          <w:lang w:eastAsia="es-SV"/>
        </w:rPr>
        <w:t xml:space="preserve">, que se encuentra debidamente justificado el corte definitivo del suministro de energía eléctrica identificado con el NIC </w:t>
      </w:r>
      <w:r w:rsidR="00DF4E2F">
        <w:rPr>
          <w:rFonts w:ascii="Museo Sans 300" w:eastAsia="Calibri" w:hAnsi="Museo Sans 300" w:cs="Calibri"/>
          <w:lang w:val="es-ES_tradnl" w:eastAsia="ar-SA"/>
        </w:rPr>
        <w:t>xxxxxx</w:t>
      </w:r>
      <w:r w:rsidRPr="00DE1809">
        <w:rPr>
          <w:rFonts w:ascii="Museo Sans 300" w:eastAsia="Arial" w:hAnsi="Museo Sans 300" w:cs="Arial"/>
          <w:lang w:eastAsia="es-SV"/>
        </w:rPr>
        <w:t xml:space="preserve">, debido a que fue ejecutado por la sociedad </w:t>
      </w:r>
      <w:r w:rsidR="00DF4E2F">
        <w:rPr>
          <w:rFonts w:ascii="Museo Sans 300" w:eastAsia="Arial" w:hAnsi="Museo Sans 300" w:cs="Arial"/>
          <w:lang w:eastAsia="es-SV"/>
        </w:rPr>
        <w:t>XXXXXXXXXXXXX</w:t>
      </w:r>
      <w:r w:rsidRPr="00DE1809">
        <w:rPr>
          <w:rFonts w:ascii="Museo Sans 300" w:eastAsia="Arial" w:hAnsi="Museo Sans 300" w:cs="Arial"/>
          <w:lang w:eastAsia="es-SV"/>
        </w:rPr>
        <w:t xml:space="preserve">, S.A. de C.V., con apegado al artículo 22 letra b) de los Términos y Condiciones de los Pliegos Tarifarios aplicables al suministro de energía eléctrica de los usuarios finales. </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b/>
          <w:lang w:eastAsia="es-SV"/>
        </w:rPr>
        <w:t>3.3</w:t>
      </w:r>
      <w:r w:rsidRPr="00DE1809">
        <w:rPr>
          <w:rFonts w:ascii="Museo Sans 300" w:eastAsia="Arial" w:hAnsi="Museo Sans 300" w:cs="Arial"/>
          <w:lang w:eastAsia="es-SV"/>
        </w:rPr>
        <w:t xml:space="preserve"> </w:t>
      </w:r>
      <w:r w:rsidRPr="00DE1809">
        <w:rPr>
          <w:rFonts w:ascii="Museo Sans 300" w:eastAsia="Calibri" w:hAnsi="Museo Sans 300" w:cs="Calibri"/>
          <w:b/>
          <w:lang w:val="es-ES_tradnl" w:eastAsia="ar-SA"/>
        </w:rPr>
        <w:t>Respecto al proceso judicial de prescripción adquisitiva extraordinaria en contra del señor Elías Chavarría</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Corresponde señalar con respecto al argumento de la señora </w:t>
      </w:r>
      <w:r w:rsidR="00DF4E2F">
        <w:rPr>
          <w:rFonts w:ascii="Museo Sans 300" w:eastAsia="Calibri" w:hAnsi="Museo Sans 300" w:cs="Calibri"/>
          <w:lang w:val="es-ES_tradnl" w:eastAsia="ar-SA"/>
        </w:rPr>
        <w:t>xxxx</w:t>
      </w:r>
      <w:r w:rsidRPr="00DE1809">
        <w:rPr>
          <w:rFonts w:ascii="Museo Sans 300" w:eastAsia="Calibri" w:hAnsi="Museo Sans 300" w:cs="Calibri"/>
          <w:lang w:val="es-ES_tradnl" w:eastAsia="ar-SA"/>
        </w:rPr>
        <w:t xml:space="preserve">s y el señor </w:t>
      </w:r>
      <w:r w:rsidR="00DF4E2F">
        <w:rPr>
          <w:rFonts w:ascii="Museo Sans 300" w:eastAsia="Calibri" w:hAnsi="Museo Sans 300" w:cs="Calibri"/>
          <w:lang w:val="es-ES_tradnl" w:eastAsia="ar-SA"/>
        </w:rPr>
        <w:t>xxxxx</w:t>
      </w:r>
      <w:r w:rsidRPr="00DE1809">
        <w:rPr>
          <w:rFonts w:ascii="Museo Sans 300" w:eastAsia="Arial" w:hAnsi="Museo Sans 300" w:cs="Arial"/>
          <w:lang w:eastAsia="es-SV"/>
        </w:rPr>
        <w:t xml:space="preserve"> relacionado que se </w:t>
      </w:r>
      <w:r w:rsidRPr="00DE1809">
        <w:rPr>
          <w:rFonts w:ascii="Museo Sans 300" w:eastAsia="Calibri" w:hAnsi="Museo Sans 300" w:cs="Calibri"/>
          <w:lang w:val="es-ES_tradnl" w:eastAsia="ar-SA"/>
        </w:rPr>
        <w:t xml:space="preserve">encuentran en un proceso judicial de prescripción adquisitiva extraordinaria, debe reiterarse que </w:t>
      </w:r>
      <w:r w:rsidRPr="00DE1809">
        <w:rPr>
          <w:rFonts w:ascii="Museo Sans 300" w:eastAsia="Arial" w:hAnsi="Museo Sans 300" w:cs="Arial"/>
          <w:lang w:eastAsia="es-SV"/>
        </w:rPr>
        <w:t>la valoración de documentos con los que se pretende demostrar procedimientos tramitados en instancias judiciales carece de pertinencia en cuanto no se modifique el estatus jurídico de los derechos adquiridos por los particulares.</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En concordancia con lo anterior, de conformidad con el artículo 568 del Código Civil, dominio o propiedad es el derecho de poseer exclusivamente una cosa y gozar y disponer de ella, sin más limitaciones que las establecidas por la ley o por la voluntad del propietario. Por su parte, el artículo 683 inciso primero del mismo Código establece que la tradición del dominio de los bienes raíces y su posesión no producirán efecto contra terceros, sino por la inscripción del título en el correspondiente Registro. </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Finalmente, el artículo 686 ordinal 1° del referido Código preceptúa que en el Registro de la Propiedad se inscribirán los títulos o instrumentos en que se reconozca, transfiera, modifique o cancele el dominio o posesión sobre inmuebles.</w:t>
      </w:r>
    </w:p>
    <w:p w:rsidR="00DE1809" w:rsidRPr="00DE1809" w:rsidRDefault="00DE1809" w:rsidP="00DE1809">
      <w:pPr>
        <w:suppressAutoHyphens/>
        <w:spacing w:after="0" w:line="240" w:lineRule="auto"/>
        <w:jc w:val="both"/>
        <w:rPr>
          <w:rFonts w:ascii="Museo Sans 300" w:eastAsia="Arial" w:hAnsi="Museo Sans 300" w:cs="Arial"/>
          <w:lang w:eastAsia="es-SV"/>
        </w:rPr>
      </w:pPr>
    </w:p>
    <w:p w:rsidR="00DE1809" w:rsidRPr="00DE1809" w:rsidRDefault="00DE1809" w:rsidP="00DE1809">
      <w:pPr>
        <w:spacing w:line="240" w:lineRule="auto"/>
        <w:ind w:left="708"/>
        <w:contextualSpacing/>
        <w:jc w:val="both"/>
        <w:rPr>
          <w:rFonts w:ascii="Museo Sans 300" w:eastAsia="Arial" w:hAnsi="Museo Sans 300" w:cs="Arial"/>
          <w:lang w:eastAsia="es-SV"/>
        </w:rPr>
      </w:pPr>
      <w:r w:rsidRPr="00DE1809">
        <w:rPr>
          <w:rFonts w:ascii="Museo Sans 300" w:eastAsia="Arial" w:hAnsi="Museo Sans 300" w:cs="Arial"/>
          <w:lang w:eastAsia="es-SV"/>
        </w:rPr>
        <w:t xml:space="preserve">En ese sentido, de conformidad con la certificación extendida el día treinta y uno de mayo de año dos mil diecinueve por el Centro Nacional de Registros, el inmueble </w:t>
      </w:r>
      <w:r w:rsidR="00DF4E2F">
        <w:rPr>
          <w:rFonts w:ascii="Museo Sans 300" w:eastAsia="Arial" w:hAnsi="Museo Sans 300" w:cs="Arial"/>
          <w:lang w:eastAsia="es-SV"/>
        </w:rPr>
        <w:t>xxxxx</w:t>
      </w:r>
      <w:r w:rsidRPr="00DE1809">
        <w:rPr>
          <w:rFonts w:ascii="Museo Sans 300" w:eastAsia="Arial" w:hAnsi="Museo Sans 300" w:cs="Arial"/>
          <w:lang w:eastAsia="es-SV"/>
        </w:rPr>
        <w:t xml:space="preserve">, pertenece al señor </w:t>
      </w:r>
      <w:r w:rsidR="00DF4E2F">
        <w:rPr>
          <w:rFonts w:ascii="Museo Sans 300" w:eastAsia="Arial" w:hAnsi="Museo Sans 300" w:cs="Arial"/>
          <w:lang w:eastAsia="es-SV"/>
        </w:rPr>
        <w:t>Xxxxxxxxxxxxx</w:t>
      </w:r>
      <w:r w:rsidRPr="00DE1809">
        <w:rPr>
          <w:rFonts w:ascii="Museo Sans 300" w:eastAsia="Arial" w:hAnsi="Museo Sans 300" w:cs="Arial"/>
          <w:lang w:eastAsia="es-SV"/>
        </w:rPr>
        <w:t xml:space="preserve"> con un porcentaje de cien por ciento de derecho de propiedad, no tiene gravámenes, </w:t>
      </w:r>
      <w:r w:rsidRPr="00DE1809">
        <w:rPr>
          <w:rFonts w:ascii="Museo Sans 300" w:eastAsia="Arial" w:hAnsi="Museo Sans 300" w:cs="Arial"/>
          <w:lang w:eastAsia="es-SV"/>
        </w:rPr>
        <w:lastRenderedPageBreak/>
        <w:t>restricciones, alertas o presentaciones de ningún tipo, por lo que estaba habilitado para solicitar a la distribuidora el corte definitivo del servicio de energía eléctrica.</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r w:rsidRPr="00DE1809">
        <w:rPr>
          <w:rFonts w:ascii="Museo Sans 300" w:eastAsia="Arial" w:hAnsi="Museo Sans 300" w:cs="Arial"/>
          <w:lang w:eastAsia="es-SV"/>
        </w:rPr>
        <w:t xml:space="preserve">Consecuente con lo anterior y de conformidad con el artículo 129 inciso 3° de la Ley de Procedimientos Administrativos, es procedente confirmar el </w:t>
      </w:r>
      <w:r w:rsidRPr="00DE1809">
        <w:rPr>
          <w:rFonts w:ascii="Museo Sans 300" w:eastAsia="Calibri" w:hAnsi="Museo Sans 300" w:cs="Calibri"/>
          <w:lang w:val="es-ES_tradnl" w:eastAsia="ar-SA"/>
        </w:rPr>
        <w:t xml:space="preserve">acuerdo N.° E-361-2019-CAU emitido el día </w:t>
      </w:r>
      <w:r w:rsidRPr="00DE1809">
        <w:rPr>
          <w:rFonts w:ascii="Museo Sans 300" w:eastAsia="Arial" w:hAnsi="Museo Sans 300" w:cs="Calibri"/>
          <w:lang w:val="es-ES_tradnl" w:eastAsia="ar-SA"/>
        </w:rPr>
        <w:t>nueve de septiembre del presente año</w:t>
      </w:r>
      <w:r w:rsidRPr="00DE1809">
        <w:rPr>
          <w:rFonts w:ascii="Museo Sans 300" w:eastAsia="Arial" w:hAnsi="Museo Sans 300" w:cs="Arial"/>
          <w:lang w:eastAsia="es-SV"/>
        </w:rPr>
        <w:t xml:space="preserve">. </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numPr>
          <w:ilvl w:val="0"/>
          <w:numId w:val="4"/>
        </w:numPr>
        <w:suppressAutoHyphens/>
        <w:spacing w:after="0" w:line="240" w:lineRule="auto"/>
        <w:jc w:val="center"/>
        <w:rPr>
          <w:rFonts w:ascii="Museo Sans 500" w:eastAsia="Arial" w:hAnsi="Museo Sans 500" w:cs="Arial"/>
          <w:lang w:eastAsia="es-SV"/>
        </w:rPr>
      </w:pPr>
      <w:r w:rsidRPr="00DE1809">
        <w:rPr>
          <w:rFonts w:ascii="Museo Sans 500" w:eastAsia="Arial" w:hAnsi="Museo Sans 500" w:cs="Arial"/>
          <w:lang w:eastAsia="es-SV"/>
        </w:rPr>
        <w:t>RECURSO</w:t>
      </w:r>
    </w:p>
    <w:p w:rsidR="00DE1809" w:rsidRPr="00DE1809" w:rsidRDefault="00DE1809" w:rsidP="00DE1809">
      <w:pPr>
        <w:suppressAutoHyphens/>
        <w:spacing w:after="0" w:line="240" w:lineRule="auto"/>
        <w:ind w:left="1080"/>
        <w:jc w:val="both"/>
        <w:rPr>
          <w:rFonts w:ascii="Museo Sans 500" w:eastAsia="Arial" w:hAnsi="Museo Sans 500" w:cs="Arial"/>
          <w:lang w:eastAsia="es-SV"/>
        </w:rPr>
      </w:pPr>
    </w:p>
    <w:p w:rsidR="00DE1809" w:rsidRPr="00DE1809" w:rsidRDefault="00DE1809" w:rsidP="00DE1809">
      <w:pPr>
        <w:autoSpaceDE w:val="0"/>
        <w:autoSpaceDN w:val="0"/>
        <w:adjustRightInd w:val="0"/>
        <w:spacing w:after="0" w:line="240" w:lineRule="auto"/>
        <w:ind w:left="426"/>
        <w:jc w:val="both"/>
        <w:rPr>
          <w:rFonts w:ascii="Museo Sans 300" w:eastAsia="Arial" w:hAnsi="Museo Sans 300" w:cs="Times New Roman"/>
          <w:lang w:eastAsia="es-SV"/>
        </w:rPr>
      </w:pPr>
      <w:r w:rsidRPr="00DE1809">
        <w:rPr>
          <w:rFonts w:ascii="Museo Sans 300" w:eastAsia="Arial" w:hAnsi="Museo Sans 300" w:cs="Times New Roman"/>
          <w:lang w:eastAsia="es-SV"/>
        </w:rPr>
        <w:t xml:space="preserve">En </w:t>
      </w:r>
      <w:r w:rsidRPr="00DE1809">
        <w:rPr>
          <w:rFonts w:ascii="Museo Sans 300" w:eastAsia="Times New Roman" w:hAnsi="Museo Sans 300" w:cs="Times New Roman"/>
          <w:lang w:eastAsia="es-ES"/>
        </w:rPr>
        <w:t>cumplimiento</w:t>
      </w:r>
      <w:r w:rsidRPr="00DE1809">
        <w:rPr>
          <w:rFonts w:ascii="Museo Sans 300" w:eastAsia="Arial" w:hAnsi="Museo Sans 300" w:cs="Times New Roman"/>
          <w:lang w:eastAsia="es-SV"/>
        </w:rPr>
        <w:t xml:space="preserve"> de los artículos 134 y 135 de la Ley de Procedimientos Administrativos, el recurso de apelación puede ser interpuesto en el plazo de quince días hábiles contados a partir del día siguiente a la fecha de notificación de este acuerdo.</w:t>
      </w:r>
    </w:p>
    <w:p w:rsidR="00DE1809" w:rsidRPr="00DE1809" w:rsidRDefault="00DE1809" w:rsidP="00DE1809">
      <w:pPr>
        <w:suppressAutoHyphens/>
        <w:spacing w:after="0" w:line="240" w:lineRule="auto"/>
        <w:ind w:left="708"/>
        <w:jc w:val="both"/>
        <w:rPr>
          <w:rFonts w:ascii="Museo Sans 300" w:eastAsia="Arial" w:hAnsi="Museo Sans 300" w:cs="Arial"/>
          <w:lang w:eastAsia="es-SV"/>
        </w:rPr>
      </w:pPr>
    </w:p>
    <w:p w:rsidR="00DE1809" w:rsidRPr="00DE1809" w:rsidRDefault="00DE1809" w:rsidP="00DE1809">
      <w:pPr>
        <w:spacing w:after="0" w:line="240" w:lineRule="auto"/>
        <w:jc w:val="both"/>
        <w:rPr>
          <w:rFonts w:ascii="Museo Sans 300" w:eastAsia="Times New Roman" w:hAnsi="Museo Sans 300" w:cs="Times New Roman"/>
          <w:b/>
          <w:lang w:val="es-ES_tradnl" w:eastAsia="es-ES"/>
        </w:rPr>
      </w:pPr>
      <w:r w:rsidRPr="00DE1809">
        <w:rPr>
          <w:rFonts w:ascii="Museo Sans 300" w:eastAsia="Times New Roman" w:hAnsi="Museo Sans 300" w:cs="Times New Roman"/>
          <w:b/>
          <w:lang w:val="es-ES_tradnl" w:eastAsia="es-ES"/>
        </w:rPr>
        <w:t>POR TANTO,</w:t>
      </w:r>
      <w:r w:rsidRPr="00DE1809">
        <w:rPr>
          <w:rFonts w:ascii="Museo Sans 300" w:eastAsia="Times New Roman" w:hAnsi="Museo Sans 300" w:cs="Times New Roman"/>
          <w:lang w:val="es-ES_tradnl" w:eastAsia="es-ES"/>
        </w:rPr>
        <w:t xml:space="preserve"> de conformidad con los artículos 128, 129 y 132 de la Ley de Procedimientos Administrativos, esta Superintendencia </w:t>
      </w:r>
      <w:r w:rsidRPr="00DE1809">
        <w:rPr>
          <w:rFonts w:ascii="Museo Sans 300" w:eastAsia="Times New Roman" w:hAnsi="Museo Sans 300" w:cs="Times New Roman"/>
          <w:b/>
          <w:lang w:val="es-ES_tradnl" w:eastAsia="es-ES"/>
        </w:rPr>
        <w:t>ACUERDA:</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DE1809" w:rsidRPr="00DE1809" w:rsidRDefault="00DE1809" w:rsidP="00DE1809">
      <w:pPr>
        <w:numPr>
          <w:ilvl w:val="0"/>
          <w:numId w:val="6"/>
        </w:numPr>
        <w:spacing w:after="0" w:line="240" w:lineRule="auto"/>
        <w:ind w:left="709" w:hanging="425"/>
        <w:jc w:val="both"/>
        <w:rPr>
          <w:rFonts w:ascii="Museo Sans 300" w:eastAsia="Arial" w:hAnsi="Museo Sans 300" w:cs="Times New Roman"/>
          <w:lang w:val="es-ES_tradnl" w:eastAsia="es-ES"/>
        </w:rPr>
      </w:pPr>
      <w:r w:rsidRPr="00DE1809">
        <w:rPr>
          <w:rFonts w:ascii="Museo Sans 300" w:eastAsia="Arial" w:hAnsi="Museo Sans 300" w:cs="Times New Roman"/>
          <w:lang w:val="es-ES_tradnl" w:eastAsia="es-ES"/>
        </w:rPr>
        <w:t xml:space="preserve">Confirmar el acuerdo N.° E-361-2019-CAU de fecha nueve de septiembre del presente año, donde se estableció que el corte del suministro de energía eléctrica identificado con el NIC </w:t>
      </w:r>
      <w:r w:rsidR="00894D0F">
        <w:rPr>
          <w:rFonts w:ascii="Museo Sans 300" w:eastAsia="Arial" w:hAnsi="Museo Sans 300" w:cs="Times New Roman"/>
          <w:lang w:val="es-ES_tradnl" w:eastAsia="es-ES"/>
        </w:rPr>
        <w:t>xxxxx</w:t>
      </w:r>
      <w:r w:rsidRPr="00DE1809">
        <w:rPr>
          <w:rFonts w:ascii="Museo Sans 300" w:eastAsia="Arial" w:hAnsi="Museo Sans 300" w:cs="Times New Roman"/>
          <w:lang w:val="es-ES_tradnl" w:eastAsia="es-ES"/>
        </w:rPr>
        <w:t xml:space="preserve"> realizado por la sociedad </w:t>
      </w:r>
      <w:r w:rsidR="00DF4E2F">
        <w:rPr>
          <w:rFonts w:ascii="Museo Sans 300" w:eastAsia="Arial" w:hAnsi="Museo Sans 300" w:cs="Times New Roman"/>
          <w:lang w:val="es-ES_tradnl" w:eastAsia="es-ES"/>
        </w:rPr>
        <w:t>XXXXXXXXXXXXX</w:t>
      </w:r>
      <w:r w:rsidRPr="00DE1809">
        <w:rPr>
          <w:rFonts w:ascii="Museo Sans 300" w:eastAsia="Arial" w:hAnsi="Museo Sans 300" w:cs="Times New Roman"/>
          <w:lang w:val="es-ES_tradnl" w:eastAsia="es-ES"/>
        </w:rPr>
        <w:t xml:space="preserve">, S.A. de C.V. a solicitud del señor </w:t>
      </w:r>
      <w:r w:rsidR="00DF4E2F">
        <w:rPr>
          <w:rFonts w:ascii="Museo Sans 300" w:eastAsia="Arial" w:hAnsi="Museo Sans 300" w:cs="Times New Roman"/>
          <w:lang w:val="es-ES_tradnl" w:eastAsia="es-ES"/>
        </w:rPr>
        <w:t>Xxxxxxxxxxxxx</w:t>
      </w:r>
      <w:r w:rsidRPr="00DE1809">
        <w:rPr>
          <w:rFonts w:ascii="Museo Sans 300" w:eastAsia="Arial" w:hAnsi="Museo Sans 300" w:cs="Times New Roman"/>
          <w:lang w:val="es-ES_tradnl" w:eastAsia="es-ES"/>
        </w:rPr>
        <w:t xml:space="preserve">, en su calidad de propietario del inmueble ubicado </w:t>
      </w:r>
      <w:r w:rsidR="00DF4E2F">
        <w:rPr>
          <w:rFonts w:ascii="Museo Sans 300" w:eastAsia="Arial" w:hAnsi="Museo Sans 300" w:cs="Times New Roman"/>
          <w:lang w:val="es-ES_tradnl" w:eastAsia="es-ES"/>
        </w:rPr>
        <w:t>xxxxxx</w:t>
      </w:r>
      <w:r w:rsidRPr="00DE1809">
        <w:rPr>
          <w:rFonts w:ascii="Museo Sans 300" w:eastAsia="Times New Roman" w:hAnsi="Museo Sans 300" w:cs="Times New Roman"/>
          <w:lang w:val="es-ES" w:eastAsia="es-ES"/>
        </w:rPr>
        <w:t>, está</w:t>
      </w:r>
      <w:r w:rsidRPr="00DE1809">
        <w:rPr>
          <w:rFonts w:ascii="Museo Sans 300" w:eastAsia="Arial" w:hAnsi="Museo Sans 300" w:cs="Times New Roman"/>
          <w:lang w:val="es-ES_tradnl" w:eastAsia="es-ES"/>
        </w:rPr>
        <w:t xml:space="preserve"> debidamente justificado de conformidad con los Términos y Condiciones Generales al Consumidor Final de los Pliegos Tarifarios vigentes.</w:t>
      </w:r>
    </w:p>
    <w:p w:rsidR="00DE1809" w:rsidRPr="00DE1809" w:rsidRDefault="00DE1809" w:rsidP="00DE1809">
      <w:pPr>
        <w:spacing w:after="0" w:line="240" w:lineRule="auto"/>
        <w:ind w:left="709"/>
        <w:jc w:val="both"/>
        <w:rPr>
          <w:rFonts w:ascii="Museo Sans 300" w:eastAsia="Arial" w:hAnsi="Museo Sans 300" w:cs="Times New Roman"/>
          <w:lang w:val="es-ES_tradnl" w:eastAsia="es-ES"/>
        </w:rPr>
      </w:pPr>
    </w:p>
    <w:p w:rsidR="00DE1809" w:rsidRPr="00DE1809" w:rsidRDefault="00DE1809" w:rsidP="00DE1809">
      <w:pPr>
        <w:numPr>
          <w:ilvl w:val="0"/>
          <w:numId w:val="6"/>
        </w:numPr>
        <w:spacing w:after="0" w:line="240" w:lineRule="auto"/>
        <w:ind w:left="709" w:hanging="425"/>
        <w:jc w:val="both"/>
        <w:rPr>
          <w:rFonts w:ascii="Museo Sans 300" w:eastAsia="Arial" w:hAnsi="Museo Sans 300" w:cs="Times New Roman"/>
          <w:lang w:val="es-ES_tradnl" w:eastAsia="es-ES"/>
        </w:rPr>
      </w:pPr>
      <w:r w:rsidRPr="00DE1809">
        <w:rPr>
          <w:rFonts w:ascii="Museo Sans 300" w:eastAsia="Arial" w:hAnsi="Museo Sans 300" w:cs="Times New Roman"/>
          <w:lang w:val="es-ES_tradnl" w:eastAsia="es-ES"/>
        </w:rPr>
        <w:t xml:space="preserve">Notificar este acuerdo a la señora </w:t>
      </w:r>
      <w:r w:rsidR="00DF4E2F">
        <w:rPr>
          <w:rFonts w:ascii="Museo Sans 300" w:eastAsia="Arial" w:hAnsi="Museo Sans 300" w:cs="Times New Roman"/>
          <w:lang w:val="es-ES_tradnl" w:eastAsia="es-ES"/>
        </w:rPr>
        <w:t>Xxxxxxxxxxxxx</w:t>
      </w:r>
      <w:r w:rsidRPr="00DE1809">
        <w:rPr>
          <w:rFonts w:ascii="Museo Sans 300" w:eastAsia="Arial" w:hAnsi="Museo Sans 300" w:cs="Times New Roman"/>
          <w:lang w:val="es-ES_tradnl" w:eastAsia="es-ES"/>
        </w:rPr>
        <w:t xml:space="preserve"> </w:t>
      </w:r>
      <w:r w:rsidR="00DF4E2F">
        <w:rPr>
          <w:rFonts w:ascii="Museo Sans 300" w:eastAsia="Arial" w:hAnsi="Museo Sans 300" w:cs="Times New Roman"/>
          <w:lang w:val="es-ES_tradnl" w:eastAsia="es-ES"/>
        </w:rPr>
        <w:t>xxx</w:t>
      </w:r>
      <w:r w:rsidRPr="00DE1809">
        <w:rPr>
          <w:rFonts w:ascii="Museo Sans 300" w:eastAsia="Arial" w:hAnsi="Museo Sans 300" w:cs="Times New Roman"/>
          <w:lang w:val="es-ES_tradnl" w:eastAsia="es-ES"/>
        </w:rPr>
        <w:t xml:space="preserve">, a los señores </w:t>
      </w:r>
      <w:r w:rsidR="00DF4E2F">
        <w:rPr>
          <w:rFonts w:ascii="Museo Sans 300" w:eastAsia="Arial" w:hAnsi="Museo Sans 300" w:cs="Times New Roman"/>
          <w:lang w:val="es-ES_tradnl" w:eastAsia="es-ES"/>
        </w:rPr>
        <w:t>xxxxx</w:t>
      </w:r>
      <w:r w:rsidRPr="00DE1809">
        <w:rPr>
          <w:rFonts w:ascii="Museo Sans 300" w:eastAsia="Arial" w:hAnsi="Museo Sans 300" w:cs="Times New Roman"/>
          <w:lang w:val="es-ES_tradnl" w:eastAsia="es-ES"/>
        </w:rPr>
        <w:t xml:space="preserve"> </w:t>
      </w:r>
      <w:r w:rsidRPr="00DE1809">
        <w:rPr>
          <w:rFonts w:ascii="Museo Sans 300" w:eastAsia="Times New Roman" w:hAnsi="Museo Sans 300" w:cs="Times New Roman"/>
          <w:lang w:val="es-ES_tradnl" w:eastAsia="es-ES"/>
        </w:rPr>
        <w:t xml:space="preserve">y </w:t>
      </w:r>
      <w:r w:rsidR="00DF4E2F">
        <w:rPr>
          <w:rFonts w:ascii="Museo Sans 300" w:eastAsia="Times New Roman" w:hAnsi="Museo Sans 300" w:cs="Times New Roman"/>
          <w:lang w:val="es-ES_tradnl" w:eastAsia="es-ES"/>
        </w:rPr>
        <w:t>Xxxxxxxxxxxxx</w:t>
      </w:r>
      <w:r w:rsidRPr="00DE1809">
        <w:rPr>
          <w:rFonts w:ascii="Museo Sans 300" w:eastAsia="Arial" w:hAnsi="Museo Sans 300" w:cs="Times New Roman"/>
          <w:lang w:val="es-ES_tradnl" w:eastAsia="es-ES"/>
        </w:rPr>
        <w:t xml:space="preserve"> y a la sociedad </w:t>
      </w:r>
      <w:r w:rsidR="00DF4E2F">
        <w:rPr>
          <w:rFonts w:ascii="Museo Sans 300" w:eastAsia="Arial" w:hAnsi="Museo Sans 300" w:cs="Times New Roman"/>
          <w:lang w:val="es-ES_tradnl" w:eastAsia="es-ES"/>
        </w:rPr>
        <w:t>XXXXXXXXXXXXX</w:t>
      </w:r>
      <w:r w:rsidRPr="00DE1809">
        <w:rPr>
          <w:rFonts w:ascii="Museo Sans 300" w:eastAsia="Arial" w:hAnsi="Museo Sans 300" w:cs="Times New Roman"/>
          <w:lang w:val="es-ES_tradnl" w:eastAsia="es-ES"/>
        </w:rPr>
        <w:t xml:space="preserve">, S.A. de C.V.; y, </w:t>
      </w:r>
    </w:p>
    <w:p w:rsidR="00DE1809" w:rsidRPr="00DE1809" w:rsidRDefault="00DE1809" w:rsidP="00DE1809">
      <w:pPr>
        <w:spacing w:after="0" w:line="240" w:lineRule="auto"/>
        <w:ind w:left="709"/>
        <w:jc w:val="both"/>
        <w:rPr>
          <w:rFonts w:ascii="Museo Sans 300" w:eastAsia="Arial" w:hAnsi="Museo Sans 300" w:cs="Times New Roman"/>
          <w:lang w:val="es-ES_tradnl" w:eastAsia="es-ES"/>
        </w:rPr>
      </w:pPr>
    </w:p>
    <w:p w:rsidR="00DE1809" w:rsidRPr="00DE1809" w:rsidRDefault="00DE1809" w:rsidP="00DE1809">
      <w:pPr>
        <w:numPr>
          <w:ilvl w:val="0"/>
          <w:numId w:val="6"/>
        </w:numPr>
        <w:spacing w:after="0" w:line="240" w:lineRule="auto"/>
        <w:ind w:left="709" w:hanging="425"/>
        <w:jc w:val="both"/>
        <w:rPr>
          <w:rFonts w:ascii="Museo Sans 300" w:eastAsia="Arial" w:hAnsi="Museo Sans 300" w:cs="Times New Roman"/>
          <w:lang w:val="es-ES_tradnl" w:eastAsia="es-ES"/>
        </w:rPr>
      </w:pPr>
      <w:r w:rsidRPr="00DE1809">
        <w:rPr>
          <w:rFonts w:ascii="Museo Sans 300" w:eastAsia="Arial" w:hAnsi="Museo Sans 300" w:cs="Times New Roman"/>
          <w:lang w:val="es-ES_tradnl" w:eastAsia="es-ES"/>
        </w:rPr>
        <w:t>Remitir copia de este acuerdo al Centro de Atención al Usuario de esta Superintendencia y a la Defensoría del Consumidor.</w:t>
      </w:r>
    </w:p>
    <w:p w:rsidR="00DE1809" w:rsidRPr="00DE1809" w:rsidRDefault="00DE1809" w:rsidP="00DE1809">
      <w:pPr>
        <w:spacing w:after="0" w:line="240" w:lineRule="auto"/>
        <w:ind w:left="709"/>
        <w:jc w:val="both"/>
        <w:rPr>
          <w:rFonts w:ascii="Museo Sans 300" w:eastAsia="Arial" w:hAnsi="Museo Sans 300" w:cs="Times New Roman"/>
          <w:lang w:val="es-ES_tradnl" w:eastAsia="es-ES"/>
        </w:rPr>
      </w:pPr>
    </w:p>
    <w:p w:rsidR="00DE1809" w:rsidRPr="00DE1809" w:rsidRDefault="00DE1809" w:rsidP="00DE1809">
      <w:pPr>
        <w:spacing w:after="0" w:line="240" w:lineRule="auto"/>
        <w:ind w:left="709"/>
        <w:jc w:val="both"/>
        <w:rPr>
          <w:rFonts w:ascii="Museo Sans 300" w:eastAsia="Arial" w:hAnsi="Museo Sans 300" w:cs="Times New Roman"/>
          <w:lang w:val="es-ES_tradnl" w:eastAsia="es-ES"/>
        </w:rPr>
      </w:pPr>
      <w:r w:rsidRPr="00DE1809">
        <w:rPr>
          <w:rFonts w:ascii="Museo Sans 300" w:eastAsia="Arial" w:hAnsi="Museo Sans 300" w:cs="Times New Roman"/>
          <w:lang w:val="es-ES_tradnl" w:eastAsia="es-ES"/>
        </w:rPr>
        <w:t xml:space="preserve">                   </w:t>
      </w:r>
    </w:p>
    <w:p w:rsidR="00DE1809" w:rsidRPr="00DE1809" w:rsidRDefault="00DE1809" w:rsidP="00DE1809">
      <w:pPr>
        <w:spacing w:after="0" w:line="240" w:lineRule="auto"/>
        <w:ind w:left="709"/>
        <w:jc w:val="both"/>
        <w:rPr>
          <w:rFonts w:ascii="Museo Sans 300" w:eastAsia="Arial" w:hAnsi="Museo Sans 300" w:cs="Times New Roman"/>
          <w:lang w:val="es-ES_tradnl" w:eastAsia="es-ES"/>
        </w:rPr>
      </w:pPr>
    </w:p>
    <w:p w:rsidR="00DE1809" w:rsidRPr="00DE1809" w:rsidRDefault="00DE1809" w:rsidP="00DE1809">
      <w:pPr>
        <w:spacing w:after="0" w:line="240" w:lineRule="auto"/>
        <w:ind w:left="709"/>
        <w:jc w:val="both"/>
        <w:rPr>
          <w:rFonts w:ascii="Museo Sans 300" w:eastAsia="Arial" w:hAnsi="Museo Sans 300" w:cs="Times New Roman"/>
          <w:lang w:val="es-ES_tradnl" w:eastAsia="es-ES"/>
        </w:rPr>
      </w:pPr>
    </w:p>
    <w:p w:rsidR="00DE1809" w:rsidRPr="00DE1809" w:rsidRDefault="00DE1809" w:rsidP="00DE1809">
      <w:pPr>
        <w:spacing w:after="0" w:line="240" w:lineRule="auto"/>
        <w:ind w:left="4536" w:hanging="3827"/>
        <w:jc w:val="both"/>
        <w:rPr>
          <w:rFonts w:ascii="Museo Sans 300" w:eastAsia="Arial" w:hAnsi="Museo Sans 300" w:cs="Times New Roman"/>
          <w:lang w:val="es-ES_tradnl" w:eastAsia="es-ES"/>
        </w:rPr>
      </w:pPr>
      <w:r w:rsidRPr="00DE1809">
        <w:rPr>
          <w:rFonts w:ascii="Museo Sans 300" w:eastAsia="Arial" w:hAnsi="Museo Sans 300" w:cs="Times New Roman"/>
          <w:lang w:val="es-ES_tradnl" w:eastAsia="es-ES"/>
        </w:rPr>
        <w:t xml:space="preserve">                                                                 Manuel Ernesto Aguilar Flores </w:t>
      </w:r>
    </w:p>
    <w:p w:rsidR="00DE1809" w:rsidRPr="00DE1809" w:rsidRDefault="00DE1809" w:rsidP="00DE1809">
      <w:pPr>
        <w:spacing w:after="0" w:line="240" w:lineRule="auto"/>
        <w:ind w:left="4536" w:hanging="3827"/>
        <w:jc w:val="both"/>
        <w:rPr>
          <w:rFonts w:ascii="Museo Sans 300" w:eastAsia="Arial" w:hAnsi="Museo Sans 300" w:cs="Times New Roman"/>
          <w:lang w:val="es-ES_tradnl" w:eastAsia="es-ES"/>
        </w:rPr>
      </w:pPr>
      <w:r w:rsidRPr="00DE1809">
        <w:rPr>
          <w:rFonts w:ascii="Museo Sans 300" w:eastAsia="Arial" w:hAnsi="Museo Sans 300" w:cs="Times New Roman"/>
          <w:lang w:val="es-ES_tradnl" w:eastAsia="es-ES"/>
        </w:rPr>
        <w:t xml:space="preserve">                                                                 Superintendente</w:t>
      </w:r>
    </w:p>
    <w:p w:rsidR="00DE1809" w:rsidRPr="00DE1809" w:rsidRDefault="00DE1809" w:rsidP="00DE1809">
      <w:pPr>
        <w:spacing w:after="0" w:line="240" w:lineRule="auto"/>
        <w:ind w:left="1080"/>
        <w:jc w:val="both"/>
        <w:rPr>
          <w:rFonts w:ascii="Museo Sans 300" w:eastAsia="Times New Roman" w:hAnsi="Museo Sans 300" w:cs="Times New Roman"/>
          <w:lang w:val="es-ES_tradnl" w:eastAsia="es-ES"/>
        </w:rPr>
      </w:pPr>
    </w:p>
    <w:p w:rsidR="00A62259" w:rsidRDefault="00A62259"/>
    <w:sectPr w:rsidR="00A62259"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6C" w:rsidRDefault="00073F6C">
      <w:pPr>
        <w:spacing w:after="0" w:line="240" w:lineRule="auto"/>
      </w:pPr>
      <w:r>
        <w:separator/>
      </w:r>
    </w:p>
  </w:endnote>
  <w:endnote w:type="continuationSeparator" w:id="0">
    <w:p w:rsidR="00073F6C" w:rsidRDefault="0007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A00000AF"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7E" w:rsidRPr="00EB4B26" w:rsidRDefault="00DE1809" w:rsidP="006B5C86">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8</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6D73AF">
      <w:rPr>
        <w:rFonts w:ascii="Museo Sans 300" w:hAnsi="Museo Sans 300"/>
        <w:b/>
        <w:bCs/>
        <w:noProof/>
        <w:sz w:val="18"/>
        <w:szCs w:val="18"/>
        <w:lang w:val="es-ES"/>
      </w:rPr>
      <w:t>8</w:t>
    </w:r>
    <w:r w:rsidRPr="00EB4B26">
      <w:rPr>
        <w:rFonts w:ascii="Museo Sans 300" w:hAnsi="Museo Sans 300"/>
        <w:b/>
        <w:bCs/>
        <w:sz w:val="18"/>
        <w:szCs w:val="18"/>
      </w:rPr>
      <w:fldChar w:fldCharType="end"/>
    </w:r>
  </w:p>
  <w:p w:rsidR="0008467E" w:rsidRDefault="00073F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7E" w:rsidRPr="00EB4B26" w:rsidRDefault="00DE1809" w:rsidP="006B5C86">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sidR="00493BE7">
      <w:rPr>
        <w:rFonts w:ascii="Museo Sans 300" w:hAnsi="Museo Sans 300"/>
        <w:b/>
        <w:bCs/>
        <w:noProof/>
        <w:sz w:val="18"/>
        <w:szCs w:val="18"/>
      </w:rPr>
      <w:t>7</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00493BE7" w:rsidRPr="00493BE7">
      <w:rPr>
        <w:rFonts w:ascii="Museo Sans 300" w:hAnsi="Museo Sans 300"/>
        <w:b/>
        <w:bCs/>
        <w:noProof/>
        <w:sz w:val="18"/>
        <w:szCs w:val="18"/>
        <w:lang w:val="es-ES"/>
      </w:rPr>
      <w:t>7</w:t>
    </w:r>
    <w:r w:rsidRPr="00EB4B26">
      <w:rPr>
        <w:rFonts w:ascii="Museo Sans 300" w:hAnsi="Museo Sans 300"/>
        <w:b/>
        <w:bCs/>
        <w:sz w:val="18"/>
        <w:szCs w:val="18"/>
      </w:rPr>
      <w:fldChar w:fldCharType="end"/>
    </w:r>
  </w:p>
  <w:p w:rsidR="0008467E" w:rsidRDefault="00073F6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7E" w:rsidRPr="00DE1809" w:rsidRDefault="00DE1809" w:rsidP="00DE180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E1809">
      <w:rPr>
        <w:rFonts w:ascii="Bembo Std" w:hAnsi="Bembo Std"/>
        <w:b/>
        <w:color w:val="000000"/>
        <w:sz w:val="18"/>
        <w:szCs w:val="18"/>
      </w:rPr>
      <w:t xml:space="preserve">Sexta décima calle poniente y 37 Av. sur #2001, Col. Flor Blanca, San Salvador, El Salvador, C.A. </w:t>
    </w:r>
  </w:p>
  <w:p w:rsidR="0008467E" w:rsidRPr="00DE1809" w:rsidRDefault="00DE1809" w:rsidP="00DE180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E1809">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6C" w:rsidRDefault="00073F6C">
      <w:pPr>
        <w:spacing w:after="0" w:line="240" w:lineRule="auto"/>
      </w:pPr>
      <w:r>
        <w:separator/>
      </w:r>
    </w:p>
  </w:footnote>
  <w:footnote w:type="continuationSeparator" w:id="0">
    <w:p w:rsidR="00073F6C" w:rsidRDefault="00073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7E" w:rsidRDefault="00DE1809">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0CA1D62B" wp14:editId="37A1E558">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7E" w:rsidRDefault="00DE1809" w:rsidP="00754E7A">
    <w:pPr>
      <w:outlineLvl w:val="1"/>
    </w:pPr>
    <w:r>
      <w:rPr>
        <w:noProof/>
        <w:lang w:eastAsia="es-SV"/>
      </w:rPr>
      <w:drawing>
        <wp:inline distT="0" distB="0" distL="0" distR="0" wp14:anchorId="58E843DF" wp14:editId="6180B939">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224E992C" wp14:editId="3C57022E">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7E" w:rsidRPr="00754E7A" w:rsidRDefault="00DE1809" w:rsidP="004F15AC">
    <w:pPr>
      <w:pStyle w:val="Encabezado"/>
      <w:jc w:val="center"/>
    </w:pPr>
    <w:r>
      <w:rPr>
        <w:noProof/>
      </w:rPr>
      <w:drawing>
        <wp:anchor distT="0" distB="0" distL="114300" distR="114300" simplePos="0" relativeHeight="251662336" behindDoc="1" locked="0" layoutInCell="1" allowOverlap="1" wp14:anchorId="70FB6657" wp14:editId="77920A51">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38A2C93A" wp14:editId="580E7D07">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52E"/>
    <w:multiLevelType w:val="hybridMultilevel"/>
    <w:tmpl w:val="D51E5A9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0D1759D7"/>
    <w:multiLevelType w:val="hybridMultilevel"/>
    <w:tmpl w:val="D338B5C6"/>
    <w:lvl w:ilvl="0" w:tplc="4056B510">
      <w:start w:val="2"/>
      <w:numFmt w:val="bullet"/>
      <w:lvlText w:val="-"/>
      <w:lvlJc w:val="left"/>
      <w:pPr>
        <w:ind w:left="1080" w:hanging="360"/>
      </w:pPr>
      <w:rPr>
        <w:rFonts w:ascii="Museo Sans 300" w:eastAsia="Times New Roman" w:hAnsi="Museo Sans 3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0FBF3934"/>
    <w:multiLevelType w:val="hybridMultilevel"/>
    <w:tmpl w:val="43C2D3CA"/>
    <w:lvl w:ilvl="0" w:tplc="C962575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13C643FF"/>
    <w:multiLevelType w:val="hybridMultilevel"/>
    <w:tmpl w:val="337C67AC"/>
    <w:lvl w:ilvl="0" w:tplc="CF64B22C">
      <w:start w:val="1"/>
      <w:numFmt w:val="lowerLetter"/>
      <w:lvlText w:val="%1)"/>
      <w:lvlJc w:val="left"/>
      <w:pPr>
        <w:ind w:left="1770" w:hanging="360"/>
      </w:pPr>
      <w:rPr>
        <w:rFonts w:hint="default"/>
        <w:sz w:val="18"/>
        <w:szCs w:val="18"/>
      </w:rPr>
    </w:lvl>
    <w:lvl w:ilvl="1" w:tplc="440A0019" w:tentative="1">
      <w:start w:val="1"/>
      <w:numFmt w:val="lowerLetter"/>
      <w:lvlText w:val="%2."/>
      <w:lvlJc w:val="left"/>
      <w:pPr>
        <w:ind w:left="2490" w:hanging="360"/>
      </w:pPr>
    </w:lvl>
    <w:lvl w:ilvl="2" w:tplc="440A001B" w:tentative="1">
      <w:start w:val="1"/>
      <w:numFmt w:val="lowerRoman"/>
      <w:lvlText w:val="%3."/>
      <w:lvlJc w:val="right"/>
      <w:pPr>
        <w:ind w:left="3210" w:hanging="180"/>
      </w:pPr>
    </w:lvl>
    <w:lvl w:ilvl="3" w:tplc="440A000F" w:tentative="1">
      <w:start w:val="1"/>
      <w:numFmt w:val="decimal"/>
      <w:lvlText w:val="%4."/>
      <w:lvlJc w:val="left"/>
      <w:pPr>
        <w:ind w:left="3930" w:hanging="360"/>
      </w:pPr>
    </w:lvl>
    <w:lvl w:ilvl="4" w:tplc="440A0019" w:tentative="1">
      <w:start w:val="1"/>
      <w:numFmt w:val="lowerLetter"/>
      <w:lvlText w:val="%5."/>
      <w:lvlJc w:val="left"/>
      <w:pPr>
        <w:ind w:left="4650" w:hanging="360"/>
      </w:pPr>
    </w:lvl>
    <w:lvl w:ilvl="5" w:tplc="440A001B" w:tentative="1">
      <w:start w:val="1"/>
      <w:numFmt w:val="lowerRoman"/>
      <w:lvlText w:val="%6."/>
      <w:lvlJc w:val="right"/>
      <w:pPr>
        <w:ind w:left="5370" w:hanging="180"/>
      </w:pPr>
    </w:lvl>
    <w:lvl w:ilvl="6" w:tplc="440A000F" w:tentative="1">
      <w:start w:val="1"/>
      <w:numFmt w:val="decimal"/>
      <w:lvlText w:val="%7."/>
      <w:lvlJc w:val="left"/>
      <w:pPr>
        <w:ind w:left="6090" w:hanging="360"/>
      </w:pPr>
    </w:lvl>
    <w:lvl w:ilvl="7" w:tplc="440A0019" w:tentative="1">
      <w:start w:val="1"/>
      <w:numFmt w:val="lowerLetter"/>
      <w:lvlText w:val="%8."/>
      <w:lvlJc w:val="left"/>
      <w:pPr>
        <w:ind w:left="6810" w:hanging="360"/>
      </w:pPr>
    </w:lvl>
    <w:lvl w:ilvl="8" w:tplc="440A001B" w:tentative="1">
      <w:start w:val="1"/>
      <w:numFmt w:val="lowerRoman"/>
      <w:lvlText w:val="%9."/>
      <w:lvlJc w:val="right"/>
      <w:pPr>
        <w:ind w:left="7530" w:hanging="180"/>
      </w:pPr>
    </w:lvl>
  </w:abstractNum>
  <w:abstractNum w:abstractNumId="4">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6">
    <w:nsid w:val="53FD6217"/>
    <w:multiLevelType w:val="multilevel"/>
    <w:tmpl w:val="65B069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Museo Sans 500" w:hAnsi="Museo Sans 500" w:hint="default"/>
      </w:rPr>
    </w:lvl>
    <w:lvl w:ilvl="2">
      <w:start w:val="1"/>
      <w:numFmt w:val="decimal"/>
      <w:isLgl/>
      <w:lvlText w:val="%1.%2.%3"/>
      <w:lvlJc w:val="left"/>
      <w:pPr>
        <w:ind w:left="1440" w:hanging="720"/>
      </w:pPr>
      <w:rPr>
        <w:rFonts w:ascii="Museo Sans 500" w:hAnsi="Museo Sans 500" w:hint="default"/>
      </w:rPr>
    </w:lvl>
    <w:lvl w:ilvl="3">
      <w:start w:val="1"/>
      <w:numFmt w:val="decimal"/>
      <w:isLgl/>
      <w:lvlText w:val="%1.%2.%3.%4"/>
      <w:lvlJc w:val="left"/>
      <w:pPr>
        <w:ind w:left="1800" w:hanging="1080"/>
      </w:pPr>
      <w:rPr>
        <w:rFonts w:ascii="Museo Sans 500" w:hAnsi="Museo Sans 500" w:hint="default"/>
      </w:rPr>
    </w:lvl>
    <w:lvl w:ilvl="4">
      <w:start w:val="1"/>
      <w:numFmt w:val="decimal"/>
      <w:isLgl/>
      <w:lvlText w:val="%1.%2.%3.%4.%5"/>
      <w:lvlJc w:val="left"/>
      <w:pPr>
        <w:ind w:left="1800" w:hanging="1080"/>
      </w:pPr>
      <w:rPr>
        <w:rFonts w:ascii="Museo Sans 500" w:hAnsi="Museo Sans 500" w:hint="default"/>
      </w:rPr>
    </w:lvl>
    <w:lvl w:ilvl="5">
      <w:start w:val="1"/>
      <w:numFmt w:val="decimal"/>
      <w:isLgl/>
      <w:lvlText w:val="%1.%2.%3.%4.%5.%6"/>
      <w:lvlJc w:val="left"/>
      <w:pPr>
        <w:ind w:left="2160" w:hanging="1440"/>
      </w:pPr>
      <w:rPr>
        <w:rFonts w:ascii="Museo Sans 500" w:hAnsi="Museo Sans 500" w:hint="default"/>
      </w:rPr>
    </w:lvl>
    <w:lvl w:ilvl="6">
      <w:start w:val="1"/>
      <w:numFmt w:val="decimal"/>
      <w:isLgl/>
      <w:lvlText w:val="%1.%2.%3.%4.%5.%6.%7"/>
      <w:lvlJc w:val="left"/>
      <w:pPr>
        <w:ind w:left="2160" w:hanging="1440"/>
      </w:pPr>
      <w:rPr>
        <w:rFonts w:ascii="Museo Sans 500" w:hAnsi="Museo Sans 500" w:hint="default"/>
      </w:rPr>
    </w:lvl>
    <w:lvl w:ilvl="7">
      <w:start w:val="1"/>
      <w:numFmt w:val="decimal"/>
      <w:isLgl/>
      <w:lvlText w:val="%1.%2.%3.%4.%5.%6.%7.%8"/>
      <w:lvlJc w:val="left"/>
      <w:pPr>
        <w:ind w:left="2520" w:hanging="1800"/>
      </w:pPr>
      <w:rPr>
        <w:rFonts w:ascii="Museo Sans 500" w:hAnsi="Museo Sans 500" w:hint="default"/>
      </w:rPr>
    </w:lvl>
    <w:lvl w:ilvl="8">
      <w:start w:val="1"/>
      <w:numFmt w:val="decimal"/>
      <w:isLgl/>
      <w:lvlText w:val="%1.%2.%3.%4.%5.%6.%7.%8.%9"/>
      <w:lvlJc w:val="left"/>
      <w:pPr>
        <w:ind w:left="2880" w:hanging="2160"/>
      </w:pPr>
      <w:rPr>
        <w:rFonts w:ascii="Museo Sans 500" w:hAnsi="Museo Sans 500" w:hint="default"/>
      </w:rPr>
    </w:lvl>
  </w:abstractNum>
  <w:abstractNum w:abstractNumId="7">
    <w:nsid w:val="6B5B53A8"/>
    <w:multiLevelType w:val="hybridMultilevel"/>
    <w:tmpl w:val="E648DCDC"/>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F4B5472"/>
    <w:multiLevelType w:val="hybridMultilevel"/>
    <w:tmpl w:val="8BA0E5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6"/>
  </w:num>
  <w:num w:numId="5">
    <w:abstractNumId w:val="8"/>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09"/>
    <w:rsid w:val="00073F6C"/>
    <w:rsid w:val="00493BE7"/>
    <w:rsid w:val="005C4AFA"/>
    <w:rsid w:val="00894D0F"/>
    <w:rsid w:val="00A62259"/>
    <w:rsid w:val="00DE1809"/>
    <w:rsid w:val="00DF4E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809"/>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DE1809"/>
    <w:rPr>
      <w:rFonts w:ascii="Arial" w:eastAsia="Arial" w:hAnsi="Arial" w:cs="Arial"/>
      <w:sz w:val="20"/>
      <w:szCs w:val="20"/>
      <w:lang w:eastAsia="es-SV"/>
    </w:rPr>
  </w:style>
  <w:style w:type="paragraph" w:styleId="Piedepgina">
    <w:name w:val="footer"/>
    <w:basedOn w:val="Normal"/>
    <w:link w:val="PiedepginaCar"/>
    <w:uiPriority w:val="99"/>
    <w:unhideWhenUsed/>
    <w:rsid w:val="00DE1809"/>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DE1809"/>
    <w:rPr>
      <w:rFonts w:ascii="Arial" w:eastAsia="Arial" w:hAnsi="Arial" w:cs="Arial"/>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809"/>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DE1809"/>
    <w:rPr>
      <w:rFonts w:ascii="Arial" w:eastAsia="Arial" w:hAnsi="Arial" w:cs="Arial"/>
      <w:sz w:val="20"/>
      <w:szCs w:val="20"/>
      <w:lang w:eastAsia="es-SV"/>
    </w:rPr>
  </w:style>
  <w:style w:type="paragraph" w:styleId="Piedepgina">
    <w:name w:val="footer"/>
    <w:basedOn w:val="Normal"/>
    <w:link w:val="PiedepginaCar"/>
    <w:uiPriority w:val="99"/>
    <w:unhideWhenUsed/>
    <w:rsid w:val="00DE1809"/>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DE1809"/>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2998</Words>
  <Characters>16494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2019-11-08T17:22:00Z</dcterms:created>
  <dcterms:modified xsi:type="dcterms:W3CDTF">2019-11-08T17:22:00Z</dcterms:modified>
</cp:coreProperties>
</file>