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08" w:rsidRPr="00AE3608" w:rsidRDefault="00AE3608" w:rsidP="00AE3608">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AE3608" w:rsidRPr="00AE3608" w:rsidRDefault="00AE3608" w:rsidP="00AE3608">
      <w:pPr>
        <w:spacing w:after="0" w:line="240" w:lineRule="auto"/>
        <w:jc w:val="both"/>
        <w:rPr>
          <w:rFonts w:ascii="Museo Sans 300" w:eastAsia="Calibri" w:hAnsi="Museo Sans 300" w:cs="Times New Roman"/>
          <w:b/>
          <w:bCs/>
          <w:sz w:val="24"/>
          <w:szCs w:val="24"/>
          <w:lang w:val="es-ES_tradnl"/>
        </w:rPr>
      </w:pPr>
    </w:p>
    <w:p w:rsidR="00AE3608" w:rsidRPr="00AE3608" w:rsidRDefault="00AE3608" w:rsidP="00AE3608">
      <w:pPr>
        <w:spacing w:after="0" w:line="240" w:lineRule="auto"/>
        <w:jc w:val="both"/>
        <w:rPr>
          <w:rFonts w:ascii="Museo Sans 300" w:eastAsia="Calibri" w:hAnsi="Museo Sans 300" w:cs="Times New Roman"/>
          <w:lang w:val="es-ES_tradnl"/>
        </w:rPr>
      </w:pPr>
      <w:r w:rsidRPr="00AE3608">
        <w:rPr>
          <w:rFonts w:ascii="Museo Sans 900" w:eastAsia="Calibri" w:hAnsi="Museo Sans 900" w:cs="Times New Roman"/>
          <w:b/>
          <w:bCs/>
          <w:lang w:val="es-ES_tradnl"/>
        </w:rPr>
        <w:t>ACUERDO N.° E-464-2019-CAU.</w:t>
      </w:r>
      <w:r w:rsidRPr="00AE3608">
        <w:rPr>
          <w:rFonts w:ascii="Museo Sans 500" w:eastAsia="Calibri" w:hAnsi="Museo Sans 500" w:cs="Times New Roman"/>
          <w:lang w:val="es-ES_tradnl"/>
        </w:rPr>
        <w:t xml:space="preserve"> </w:t>
      </w:r>
      <w:r w:rsidRPr="00AE3608">
        <w:rPr>
          <w:rFonts w:ascii="Museo Sans 300" w:eastAsia="Calibri" w:hAnsi="Museo Sans 300" w:cs="Times New Roman"/>
          <w:lang w:val="es-ES_tradnl"/>
        </w:rPr>
        <w:t>SUPERINTENDENCIA GENERAL DE ELECTRICIDAD Y TELECOMUNICACIONES. San Salvador, a las nueve horas con diez minutos del día once de octubre de dos mil diecinueve.</w:t>
      </w:r>
    </w:p>
    <w:p w:rsidR="00AE3608" w:rsidRPr="00AE3608" w:rsidRDefault="00AE3608" w:rsidP="00AE3608">
      <w:pPr>
        <w:spacing w:after="0" w:line="240" w:lineRule="auto"/>
        <w:jc w:val="both"/>
        <w:rPr>
          <w:rFonts w:ascii="Museo Sans 300" w:eastAsia="Calibri" w:hAnsi="Museo Sans 300" w:cs="Times New Roman"/>
          <w:lang w:val="es-ES_tradnl"/>
        </w:rPr>
      </w:pPr>
    </w:p>
    <w:p w:rsidR="00AE3608" w:rsidRPr="00AE3608" w:rsidRDefault="00AE3608" w:rsidP="00AE3608">
      <w:pPr>
        <w:spacing w:after="0" w:line="240" w:lineRule="auto"/>
        <w:jc w:val="both"/>
        <w:rPr>
          <w:rFonts w:ascii="Museo Sans 300" w:eastAsia="Calibri" w:hAnsi="Museo Sans 300" w:cs="Times New Roman"/>
          <w:lang w:val="es-ES_tradnl"/>
        </w:rPr>
      </w:pPr>
      <w:r w:rsidRPr="00AE3608">
        <w:rPr>
          <w:rFonts w:ascii="Museo Sans 300" w:eastAsia="Calibri" w:hAnsi="Museo Sans 300" w:cs="Times New Roman"/>
          <w:lang w:val="es-ES_tradnl"/>
        </w:rPr>
        <w:t>Esta Superintendencia, CONSIDERANDO QUE:</w:t>
      </w:r>
    </w:p>
    <w:p w:rsidR="00AE3608" w:rsidRPr="00AE3608" w:rsidRDefault="00AE3608" w:rsidP="00AE3608">
      <w:pPr>
        <w:spacing w:after="0" w:line="240" w:lineRule="auto"/>
        <w:jc w:val="both"/>
        <w:rPr>
          <w:rFonts w:ascii="Museo Sans 300" w:eastAsia="Calibri" w:hAnsi="Museo Sans 300" w:cs="Times New Roman"/>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El señor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interpuso un reclamo en contra de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S.A. de C.V., debido a su inconformidad con el cobro de la cantidad de UN MIL TRESCIENTOS CINCO 21/100 DÓLARES DE LOS ESTADOS UNIDOS DE AMÉRICA (USD 1,305.21) IVA incluido, en concepto de Energía No Registrada, por la presunta existencia de una condición irregular que afectó el correcto registro del consumo de energía eléctrica en el suministro identificado con el NIC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w:t>
      </w:r>
    </w:p>
    <w:p w:rsidR="00AE3608" w:rsidRPr="00AE3608" w:rsidRDefault="00AE3608" w:rsidP="00AE3608">
      <w:pPr>
        <w:spacing w:after="0" w:line="240" w:lineRule="auto"/>
        <w:ind w:left="567"/>
        <w:jc w:val="both"/>
        <w:rPr>
          <w:rFonts w:ascii="Museo Sans 300" w:eastAsia="Times New Roman" w:hAnsi="Museo Sans 300" w:cs="Times New Roman"/>
          <w:lang w:val="es-ES" w:eastAsia="es-ES"/>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Mediante el acuerdo N.° E-227-2015-CAU, esta Superintendencia requirió a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S.A. de C.V., que en el plazo de diez días hábiles contados a partir del día siguiente a la notificación de dicho proveído, presentara por escrito los argumentos y posiciones relacionados al reclamo del señor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debiendo remitir determinada información.</w:t>
      </w:r>
    </w:p>
    <w:p w:rsidR="00AE3608" w:rsidRPr="00AE3608" w:rsidRDefault="00AE3608" w:rsidP="00AE3608">
      <w:pPr>
        <w:spacing w:after="0" w:line="240" w:lineRule="auto"/>
        <w:ind w:left="708"/>
        <w:rPr>
          <w:rFonts w:ascii="Museo Sans 300" w:eastAsia="Times New Roman" w:hAnsi="Museo Sans 300" w:cs="Times New Roman"/>
          <w:lang w:val="es-ES" w:eastAsia="es-ES"/>
        </w:rPr>
      </w:pP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Asimismo, se comisionó al Centro de Atención al Usuario de la SIGET, para que vencido el plazo otorgado a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S.A. de C.V. para remitir lo pertinente, manifestara por escrito si era necesaria la intervención de un perito externo para dirimir el presente diferendo; y de no serlo, indicara que dicho Centro realizaría la investigación correspondiente.</w:t>
      </w:r>
    </w:p>
    <w:p w:rsidR="00AE3608" w:rsidRPr="00AE3608" w:rsidRDefault="00AE3608" w:rsidP="00AE3608">
      <w:pPr>
        <w:spacing w:after="0" w:line="276" w:lineRule="auto"/>
        <w:ind w:left="426"/>
        <w:jc w:val="both"/>
        <w:rPr>
          <w:rFonts w:ascii="Museo Sans 300" w:eastAsia="Calibri" w:hAnsi="Museo Sans 300" w:cs="Times New Roman"/>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El licenciado </w:t>
      </w:r>
      <w:r w:rsidR="00BA3776">
        <w:rPr>
          <w:rFonts w:ascii="Museo Sans 300" w:eastAsia="Times New Roman" w:hAnsi="Museo Sans 300" w:cs="Times New Roman"/>
          <w:lang w:val="es-ES" w:eastAsia="es-ES"/>
        </w:rPr>
        <w:t>xxxxxxx</w:t>
      </w:r>
      <w:r w:rsidRPr="00AE3608">
        <w:rPr>
          <w:rFonts w:ascii="Museo Sans 300" w:eastAsia="Times New Roman" w:hAnsi="Museo Sans 300" w:cs="Times New Roman"/>
          <w:lang w:val="es-ES" w:eastAsia="es-ES"/>
        </w:rPr>
        <w:t xml:space="preserve">, actuando en su calidad de apoderado general judicial con cláusula especial de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S.A. de C.V., presentó una copia del informe técnico rendido por su poderdante reiterando la existencia de una condición irregular en el suministro identificado con el NIC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sin embargo, realizaron una revisión del caso y modificaron el cálculo a la cantidad de QUINIENTOS CINCUENTA Y TRES 25/100 DÓLARES DE LOS ESTADOS UNIDOS DE AMÉRICA (USD 553.25) IVA incluido, en concepto de Energía No Registrada.</w:t>
      </w: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En ese sentido, manifestó que habiendo pagado el usuario el monto cobrado inicialmente, reintegraría la cantidad cobrada en exceso que asciende a SETECIENTOS CINCUENTA Y UNO 96/100 DÓLARES DE LOS ESTADOS UNIDOS DE AMÉRICA (USD 751.96) mediante una nota de crédito aplicada al servicio de energía eléctrica.</w:t>
      </w: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Además, el apoderado adjuntó información de forma digital vinculada con los argumentos y posiciones de la distribuidora.</w:t>
      </w:r>
    </w:p>
    <w:p w:rsidR="00AE3608" w:rsidRPr="00AE3608" w:rsidRDefault="00AE3608" w:rsidP="00AE3608">
      <w:pPr>
        <w:spacing w:after="0" w:line="240" w:lineRule="auto"/>
        <w:ind w:left="426"/>
        <w:jc w:val="both"/>
        <w:rPr>
          <w:rFonts w:ascii="Museo Sans 300" w:eastAsia="Times New Roman" w:hAnsi="Museo Sans 300" w:cs="Times New Roman"/>
          <w:lang w:val="es-ES" w:eastAsia="es-ES"/>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AE3608" w:rsidRPr="00AE3608" w:rsidRDefault="00AE3608" w:rsidP="00AE3608">
      <w:pPr>
        <w:spacing w:after="0" w:line="240" w:lineRule="auto"/>
        <w:ind w:left="567"/>
        <w:jc w:val="both"/>
        <w:rPr>
          <w:rFonts w:ascii="Museo Sans 300" w:eastAsia="Times New Roman" w:hAnsi="Museo Sans 300" w:cs="Times New Roman"/>
          <w:lang w:val="es-ES" w:eastAsia="es-ES"/>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Por medio del acuerdo N.° E-291-2015-CAU, esta Superintendencia  comisionó al Centro de Atención al Usuario para que rindiera el informe técnico correspondiente en el cual determinara la existencia o no de la condición irregular que facilitó la obtención de energía eléctrica de forma indebida en el suministro identificado con el NIC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y, de ser procedente, verificara la exactitud del </w:t>
      </w:r>
      <w:r w:rsidRPr="00AE3608">
        <w:rPr>
          <w:rFonts w:ascii="Museo Sans 300" w:eastAsia="Times New Roman" w:hAnsi="Museo Sans 300" w:cs="Times New Roman"/>
          <w:lang w:val="es-ES" w:eastAsia="es-ES"/>
        </w:rPr>
        <w:lastRenderedPageBreak/>
        <w:t xml:space="preserve">cálculo de recuperación de energía no facturada, de conformidad con lo establecido en los Términos y Condiciones Generales al Consumidor Final del Pliego Tarifario aprobados a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S.A. de C.V.</w:t>
      </w:r>
    </w:p>
    <w:p w:rsidR="00AE3608" w:rsidRPr="00AE3608" w:rsidRDefault="00AE3608" w:rsidP="00AE3608">
      <w:pPr>
        <w:spacing w:after="0" w:line="240" w:lineRule="auto"/>
        <w:ind w:left="708"/>
        <w:jc w:val="both"/>
        <w:rPr>
          <w:rFonts w:ascii="Museo Sans 300" w:eastAsia="Times New Roman" w:hAnsi="Museo Sans 300" w:cs="Times New Roman"/>
          <w:lang w:val="es-ES" w:eastAsia="es-ES"/>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El Centro de Atención al Usuario de la SIGET rindió el informe técnico N.° IT-075-30387-CAU, dictaminando lo siguiente:</w:t>
      </w:r>
      <w:bookmarkStart w:id="1" w:name="_Toc390086808"/>
      <w:bookmarkStart w:id="2" w:name="_Toc396214141"/>
      <w:bookmarkStart w:id="3" w:name="_Toc405463494"/>
    </w:p>
    <w:p w:rsidR="00AE3608" w:rsidRPr="00AE3608" w:rsidRDefault="00AE3608" w:rsidP="00AE3608">
      <w:pPr>
        <w:spacing w:after="0" w:line="240" w:lineRule="auto"/>
        <w:ind w:left="708"/>
        <w:rPr>
          <w:rFonts w:ascii="Museo Sans 300" w:eastAsia="Times New Roman" w:hAnsi="Museo Sans 300" w:cs="Times New Roman"/>
          <w:sz w:val="18"/>
          <w:szCs w:val="18"/>
          <w:lang w:val="es-ES" w:eastAsia="es-ES"/>
        </w:rPr>
      </w:pPr>
    </w:p>
    <w:p w:rsidR="00AE3608" w:rsidRPr="00AE3608" w:rsidRDefault="00AE3608" w:rsidP="00AE3608">
      <w:pPr>
        <w:spacing w:after="0" w:line="240" w:lineRule="auto"/>
        <w:ind w:left="851" w:right="565"/>
        <w:jc w:val="both"/>
        <w:rPr>
          <w:rFonts w:ascii="Museo 300" w:eastAsia="Times New Roman" w:hAnsi="Museo 300" w:cs="Arial"/>
          <w:sz w:val="18"/>
          <w:szCs w:val="18"/>
          <w:lang w:val="es-ES" w:eastAsia="es-ES"/>
        </w:rPr>
      </w:pPr>
      <w:r w:rsidRPr="00AE3608">
        <w:rPr>
          <w:rFonts w:ascii="Museo Sans 300" w:eastAsia="Times New Roman" w:hAnsi="Museo Sans 300" w:cs="Times New Roman"/>
          <w:sz w:val="18"/>
          <w:szCs w:val="18"/>
          <w:lang w:val="es-ES" w:eastAsia="es-ES"/>
        </w:rPr>
        <w:t xml:space="preserve">“[…] </w:t>
      </w:r>
      <w:bookmarkEnd w:id="1"/>
      <w:bookmarkEnd w:id="2"/>
      <w:bookmarkEnd w:id="3"/>
      <w:r w:rsidRPr="00AE3608">
        <w:rPr>
          <w:rFonts w:ascii="Museo Sans 300" w:eastAsia="Times New Roman" w:hAnsi="Museo Sans 300" w:cs="Times New Roman"/>
          <w:sz w:val="18"/>
          <w:szCs w:val="18"/>
          <w:lang w:val="es-ES" w:eastAsia="es-ES"/>
        </w:rPr>
        <w:t xml:space="preserve">a) </w:t>
      </w:r>
      <w:r w:rsidRPr="00AE3608">
        <w:rPr>
          <w:rFonts w:ascii="Museo 300" w:eastAsia="Times New Roman" w:hAnsi="Museo 300" w:cs="Arial"/>
          <w:sz w:val="18"/>
          <w:szCs w:val="18"/>
          <w:lang w:val="es-ES" w:eastAsia="es-ES"/>
        </w:rPr>
        <w:t xml:space="preserve">Las pruebas presentadas por la empresa distribuidora son aceptables, ya que con estas se ha podido comprobar y demostrar fehacientemente la existencia de una irregularidad la cual es vinculante al suministro del usuario final con </w:t>
      </w:r>
      <w:r w:rsidRPr="00AE3608">
        <w:rPr>
          <w:rFonts w:ascii="Museo 300" w:eastAsia="Times New Roman" w:hAnsi="Museo 300" w:cs="Arial"/>
          <w:b/>
          <w:sz w:val="18"/>
          <w:szCs w:val="18"/>
          <w:lang w:val="es-ES" w:eastAsia="es-ES"/>
        </w:rPr>
        <w:t xml:space="preserve">NIC </w:t>
      </w:r>
      <w:r w:rsidR="00BA3776">
        <w:rPr>
          <w:rFonts w:ascii="Museo 300" w:eastAsia="Times New Roman" w:hAnsi="Museo 300" w:cs="Arial"/>
          <w:b/>
          <w:sz w:val="18"/>
          <w:szCs w:val="18"/>
          <w:lang w:val="es-ES" w:eastAsia="es-ES"/>
        </w:rPr>
        <w:t>xxxxxxxxxxx</w:t>
      </w:r>
      <w:r w:rsidRPr="00AE3608">
        <w:rPr>
          <w:rFonts w:ascii="Museo 300" w:eastAsia="Times New Roman" w:hAnsi="Museo 300" w:cs="Arial"/>
          <w:sz w:val="18"/>
          <w:szCs w:val="18"/>
          <w:lang w:val="es-ES" w:eastAsia="es-ES"/>
        </w:rPr>
        <w:t xml:space="preserve"> a nombre del señor </w:t>
      </w:r>
      <w:r w:rsidR="00BA3776">
        <w:rPr>
          <w:rFonts w:ascii="Museo 300" w:eastAsia="Times New Roman" w:hAnsi="Museo 300" w:cs="Arial"/>
          <w:sz w:val="18"/>
          <w:szCs w:val="18"/>
          <w:lang w:val="es-ES" w:eastAsia="es-ES"/>
        </w:rPr>
        <w:t>Xxxxxxxxxxx</w:t>
      </w:r>
      <w:r w:rsidRPr="00AE3608">
        <w:rPr>
          <w:rFonts w:ascii="Museo 300" w:eastAsia="Times New Roman" w:hAnsi="Museo 300" w:cs="Arial"/>
          <w:sz w:val="18"/>
          <w:szCs w:val="18"/>
          <w:lang w:val="es-ES" w:eastAsia="es-ES"/>
        </w:rPr>
        <w:t>,  relacionado con la conexión efectuada por terceras personas en el equipo de medición identificado con el número 198548, el cual fue diseñado para un voltaje de operación de 120VAC, y modificado a una tensión de 240VAC, lo cual ocasionó la falla interna en el mismo y por tanto dejó de registrar la energía que se estaba consumiendo energía en el inmueble, lo cual constituye un claro incumplimiento a las Condiciones Contractuales del Servicio de Energía Eléctrica del usuario final.  […]</w:t>
      </w:r>
    </w:p>
    <w:p w:rsidR="00AE3608" w:rsidRPr="00AE3608" w:rsidRDefault="00AE3608" w:rsidP="00AE3608">
      <w:pPr>
        <w:spacing w:after="0" w:line="240" w:lineRule="auto"/>
        <w:ind w:left="851" w:right="565"/>
        <w:jc w:val="both"/>
        <w:rPr>
          <w:rFonts w:ascii="Museo 300" w:eastAsia="Times New Roman" w:hAnsi="Museo 300" w:cs="Arial"/>
          <w:sz w:val="18"/>
          <w:szCs w:val="18"/>
          <w:lang w:val="es-ES" w:eastAsia="es-ES"/>
        </w:rPr>
      </w:pPr>
    </w:p>
    <w:p w:rsidR="00AE3608" w:rsidRPr="00AE3608" w:rsidRDefault="00AE3608" w:rsidP="00AE3608">
      <w:pPr>
        <w:spacing w:after="0" w:line="240" w:lineRule="auto"/>
        <w:ind w:left="851" w:right="565"/>
        <w:jc w:val="both"/>
        <w:rPr>
          <w:rFonts w:ascii="Museo 300" w:eastAsia="Times New Roman" w:hAnsi="Museo 300" w:cs="Arial"/>
          <w:sz w:val="18"/>
          <w:szCs w:val="18"/>
          <w:lang w:val="es-ES" w:eastAsia="es-ES"/>
        </w:rPr>
      </w:pPr>
      <w:r w:rsidRPr="00AE3608">
        <w:rPr>
          <w:rFonts w:ascii="Museo 300" w:eastAsia="Times New Roman" w:hAnsi="Museo 300" w:cs="Arial"/>
          <w:sz w:val="18"/>
          <w:szCs w:val="18"/>
          <w:lang w:val="es-ES" w:eastAsia="es-ES"/>
        </w:rPr>
        <w:t xml:space="preserve">c) Se ha determinado que la Empresa Distribuidora </w:t>
      </w:r>
      <w:r w:rsidR="00BA3776">
        <w:rPr>
          <w:rFonts w:ascii="Museo 300" w:eastAsia="Times New Roman" w:hAnsi="Museo 300" w:cs="Arial"/>
          <w:sz w:val="18"/>
          <w:szCs w:val="18"/>
          <w:lang w:val="es-ES" w:eastAsia="es-ES"/>
        </w:rPr>
        <w:t>XXXXXXXXXXX</w:t>
      </w:r>
      <w:r w:rsidRPr="00AE3608">
        <w:rPr>
          <w:rFonts w:ascii="Museo 300" w:eastAsia="Times New Roman" w:hAnsi="Museo 300" w:cs="Arial"/>
          <w:sz w:val="18"/>
          <w:szCs w:val="18"/>
          <w:lang w:val="es-ES" w:eastAsia="es-ES"/>
        </w:rPr>
        <w:t>, ha realizado el cobro  en concepto de una energía no registrada, apegándose a lo establecido en la normativa correspondiente, por un total de setenta  y cuatro días, comprendidos entre el doce de febrero al veintisiete de abril, ambas fechas del año dos mil quince, equivalentes</w:t>
      </w:r>
      <w:r w:rsidRPr="00AE3608">
        <w:rPr>
          <w:rFonts w:ascii="Museo 300" w:eastAsia="Times New Roman" w:hAnsi="Museo 300" w:cs="Arial"/>
          <w:b/>
          <w:sz w:val="18"/>
          <w:szCs w:val="18"/>
          <w:lang w:val="es-ES" w:eastAsia="es-ES"/>
        </w:rPr>
        <w:t xml:space="preserve"> </w:t>
      </w:r>
      <w:r w:rsidRPr="00AE3608">
        <w:rPr>
          <w:rFonts w:ascii="Museo 300" w:eastAsia="Times New Roman" w:hAnsi="Museo 300" w:cs="Arial"/>
          <w:sz w:val="18"/>
          <w:szCs w:val="18"/>
          <w:lang w:val="es-ES" w:eastAsia="es-ES"/>
        </w:rPr>
        <w:t>a la cantidad de energía eléctrica de</w:t>
      </w:r>
      <w:r w:rsidRPr="00AE3608">
        <w:rPr>
          <w:rFonts w:ascii="Museo 300" w:eastAsia="Times New Roman" w:hAnsi="Museo 300" w:cs="Arial"/>
          <w:b/>
          <w:sz w:val="18"/>
          <w:szCs w:val="18"/>
          <w:lang w:val="es-ES" w:eastAsia="es-ES"/>
        </w:rPr>
        <w:t xml:space="preserve"> 1,977.00 kWh, </w:t>
      </w:r>
      <w:r w:rsidRPr="00AE3608">
        <w:rPr>
          <w:rFonts w:ascii="Museo 300" w:eastAsia="Times New Roman" w:hAnsi="Museo 300" w:cs="Arial"/>
          <w:sz w:val="18"/>
          <w:szCs w:val="18"/>
          <w:lang w:val="es-ES" w:eastAsia="es-ES"/>
        </w:rPr>
        <w:t>con un valor económico de</w:t>
      </w:r>
      <w:r w:rsidRPr="00AE3608">
        <w:rPr>
          <w:rFonts w:ascii="Museo 300" w:eastAsia="Times New Roman" w:hAnsi="Museo 300" w:cs="Arial"/>
          <w:b/>
          <w:sz w:val="18"/>
          <w:szCs w:val="18"/>
          <w:lang w:val="es-ES" w:eastAsia="es-ES"/>
        </w:rPr>
        <w:t xml:space="preserve"> </w:t>
      </w:r>
      <w:r w:rsidRPr="00AE3608">
        <w:rPr>
          <w:rFonts w:ascii="Museo 300" w:eastAsia="Times New Roman" w:hAnsi="Museo 300" w:cs="Times New Roman"/>
          <w:b/>
          <w:sz w:val="18"/>
          <w:szCs w:val="18"/>
          <w:lang w:val="es-ES" w:eastAsia="es-ES"/>
        </w:rPr>
        <w:t>Quinientos Cincuenta y Tres 25/100 Dólares de los Estados Unidos de América (US $553.25)</w:t>
      </w:r>
      <w:r w:rsidRPr="00AE3608">
        <w:rPr>
          <w:rFonts w:ascii="Museo 300" w:eastAsia="Times New Roman" w:hAnsi="Museo 300" w:cs="Arial"/>
          <w:b/>
          <w:sz w:val="18"/>
          <w:szCs w:val="18"/>
          <w:lang w:val="es-ES" w:eastAsia="es-ES"/>
        </w:rPr>
        <w:t>,</w:t>
      </w:r>
      <w:r w:rsidRPr="00AE3608">
        <w:rPr>
          <w:rFonts w:ascii="Museo 300" w:eastAsia="Times New Roman" w:hAnsi="Museo 300" w:cs="Arial"/>
          <w:sz w:val="18"/>
          <w:szCs w:val="18"/>
          <w:lang w:val="es-ES" w:eastAsia="es-ES"/>
        </w:rPr>
        <w:t xml:space="preserve"> </w:t>
      </w:r>
      <w:r w:rsidRPr="00AE3608">
        <w:rPr>
          <w:rFonts w:ascii="Museo 300" w:eastAsia="Times New Roman" w:hAnsi="Museo 300" w:cs="Arial"/>
          <w:b/>
          <w:sz w:val="18"/>
          <w:szCs w:val="18"/>
          <w:lang w:val="es-ES" w:eastAsia="es-ES"/>
        </w:rPr>
        <w:t>con IVA incluido.</w:t>
      </w:r>
      <w:r w:rsidRPr="00AE3608">
        <w:rPr>
          <w:rFonts w:ascii="Museo 300" w:eastAsia="Times New Roman" w:hAnsi="Museo 300" w:cs="Times New Roman"/>
          <w:sz w:val="18"/>
          <w:szCs w:val="18"/>
          <w:lang w:val="es-ES" w:eastAsia="es-ES"/>
        </w:rPr>
        <w:t xml:space="preserve"> […]”</w:t>
      </w:r>
    </w:p>
    <w:p w:rsidR="00AE3608" w:rsidRPr="00AE3608" w:rsidRDefault="00AE3608" w:rsidP="00AE3608">
      <w:pPr>
        <w:spacing w:after="0" w:line="240" w:lineRule="auto"/>
        <w:ind w:left="851" w:right="565"/>
        <w:jc w:val="both"/>
        <w:rPr>
          <w:rFonts w:ascii="Museo Sans 300" w:eastAsia="Times New Roman" w:hAnsi="Museo Sans 300" w:cs="Times New Roman"/>
          <w:lang w:val="es-ES" w:eastAsia="es-ES"/>
        </w:rPr>
      </w:pPr>
    </w:p>
    <w:p w:rsidR="00AE3608" w:rsidRPr="00AE3608" w:rsidRDefault="00AE3608" w:rsidP="00AE3608">
      <w:pPr>
        <w:numPr>
          <w:ilvl w:val="0"/>
          <w:numId w:val="1"/>
        </w:numPr>
        <w:spacing w:after="0" w:line="240" w:lineRule="auto"/>
        <w:ind w:left="426" w:hanging="284"/>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En consideración de lo expuesto y con fundamento en el informe técnico N.° IT-075-30387-CAU, rendido por el Centro de Atención al Usuario de esta Superintendencia, se realizan las valoraciones siguientes:</w:t>
      </w:r>
    </w:p>
    <w:p w:rsidR="00AE3608" w:rsidRPr="00AE3608" w:rsidRDefault="00AE3608" w:rsidP="00AE3608">
      <w:pPr>
        <w:spacing w:after="0" w:line="240" w:lineRule="auto"/>
        <w:ind w:left="567"/>
        <w:jc w:val="both"/>
        <w:rPr>
          <w:rFonts w:ascii="Museo Sans 300" w:eastAsia="Times New Roman" w:hAnsi="Museo Sans 300" w:cs="Times New Roman"/>
          <w:lang w:val="es-ES" w:eastAsia="es-ES"/>
        </w:rPr>
      </w:pPr>
    </w:p>
    <w:p w:rsidR="00AE3608" w:rsidRPr="00AE3608" w:rsidRDefault="00AE3608" w:rsidP="00AE3608">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MARCO LEGAL</w:t>
      </w:r>
    </w:p>
    <w:p w:rsidR="00AE3608" w:rsidRPr="00AE3608" w:rsidRDefault="00AE3608" w:rsidP="00AE3608">
      <w:pPr>
        <w:spacing w:after="0" w:line="240" w:lineRule="auto"/>
        <w:ind w:left="1068"/>
        <w:jc w:val="both"/>
        <w:rPr>
          <w:rFonts w:ascii="Museo Sans 300" w:eastAsia="Times New Roman" w:hAnsi="Museo Sans 300" w:cs="Times New Roman"/>
          <w:b/>
          <w:bCs/>
          <w:u w:val="single"/>
          <w:lang w:val="es-ES" w:eastAsia="es-ES"/>
        </w:rPr>
      </w:pPr>
    </w:p>
    <w:p w:rsidR="00AE3608" w:rsidRPr="00AE3608" w:rsidRDefault="00AE3608" w:rsidP="00AE3608">
      <w:pPr>
        <w:spacing w:after="0" w:line="240" w:lineRule="auto"/>
        <w:ind w:firstLine="426"/>
        <w:contextualSpacing/>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1.A. Ley de Creación de la SIGET</w:t>
      </w:r>
    </w:p>
    <w:p w:rsidR="00AE3608" w:rsidRPr="00AE3608" w:rsidRDefault="00AE3608" w:rsidP="00AE3608">
      <w:pPr>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AE3608" w:rsidRPr="00AE3608" w:rsidRDefault="00AE3608" w:rsidP="00AE3608">
      <w:pPr>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tabs>
          <w:tab w:val="left" w:pos="426"/>
        </w:tabs>
        <w:spacing w:after="0" w:line="240" w:lineRule="auto"/>
        <w:jc w:val="both"/>
        <w:rPr>
          <w:rFonts w:ascii="Museo Sans 300" w:eastAsia="Times New Roman" w:hAnsi="Museo Sans 300" w:cs="Times New Roman"/>
          <w:b/>
          <w:bCs/>
          <w:lang w:val="es-ES" w:eastAsia="es-ES"/>
        </w:rPr>
      </w:pPr>
      <w:r w:rsidRPr="00AE3608">
        <w:rPr>
          <w:rFonts w:ascii="Museo Sans 300" w:eastAsia="Times New Roman" w:hAnsi="Museo Sans 300" w:cs="Times New Roman"/>
          <w:b/>
          <w:bCs/>
          <w:lang w:val="es-ES" w:eastAsia="es-ES"/>
        </w:rPr>
        <w:tab/>
      </w:r>
      <w:r w:rsidRPr="00AE3608">
        <w:rPr>
          <w:rFonts w:ascii="Museo Sans 500" w:eastAsia="Times New Roman" w:hAnsi="Museo Sans 500" w:cs="Times New Roman"/>
          <w:b/>
          <w:lang w:val="es-ES" w:eastAsia="es-ES"/>
        </w:rPr>
        <w:t>1.B. Ley General de Electricidad</w:t>
      </w:r>
    </w:p>
    <w:p w:rsidR="00AE3608" w:rsidRPr="00AE3608" w:rsidRDefault="00AE3608" w:rsidP="00AE3608">
      <w:pPr>
        <w:tabs>
          <w:tab w:val="left" w:pos="993"/>
        </w:tabs>
        <w:spacing w:after="0" w:line="240" w:lineRule="auto"/>
        <w:ind w:left="993"/>
        <w:jc w:val="both"/>
        <w:rPr>
          <w:rFonts w:ascii="Museo Sans 300" w:eastAsia="Times New Roman" w:hAnsi="Museo Sans 300" w:cs="Times New Roman"/>
          <w:b/>
          <w:bCs/>
          <w:lang w:val="es-ES" w:eastAsia="es-ES"/>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AE3608" w:rsidRPr="00AE3608" w:rsidRDefault="00AE3608" w:rsidP="00AE3608">
      <w:pPr>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tabs>
          <w:tab w:val="left" w:pos="426"/>
        </w:tabs>
        <w:spacing w:after="0" w:line="240" w:lineRule="auto"/>
        <w:ind w:left="426"/>
        <w:jc w:val="both"/>
        <w:rPr>
          <w:rFonts w:ascii="Museo Sans 300" w:eastAsia="Times New Roman" w:hAnsi="Museo Sans 300" w:cs="Times New Roman"/>
          <w:b/>
          <w:bCs/>
          <w:lang w:val="es-ES" w:eastAsia="es-ES"/>
        </w:rPr>
      </w:pPr>
      <w:r w:rsidRPr="00AE3608">
        <w:rPr>
          <w:rFonts w:ascii="Museo Sans 500" w:eastAsia="Times New Roman" w:hAnsi="Museo Sans 500" w:cs="Times New Roman"/>
          <w:b/>
          <w:lang w:val="es-ES" w:eastAsia="es-ES"/>
        </w:rPr>
        <w:t xml:space="preserve">1.C. Términos y Condiciones Generales al Consumidor Final del Pliego Tarifario autorizado a la distribuidora </w:t>
      </w:r>
      <w:r w:rsidR="00BA3776">
        <w:rPr>
          <w:rFonts w:ascii="Museo Sans 500" w:eastAsia="Times New Roman" w:hAnsi="Museo Sans 500" w:cs="Times New Roman"/>
          <w:b/>
          <w:lang w:val="es-ES" w:eastAsia="es-ES"/>
        </w:rPr>
        <w:t>XXXXXXXXXXX</w:t>
      </w:r>
      <w:r w:rsidRPr="00AE3608">
        <w:rPr>
          <w:rFonts w:ascii="Museo Sans 500" w:eastAsia="Times New Roman" w:hAnsi="Museo Sans 500" w:cs="Times New Roman"/>
          <w:b/>
          <w:lang w:val="es-ES" w:eastAsia="es-ES"/>
        </w:rPr>
        <w:t>, S.A. de C.V.</w:t>
      </w:r>
    </w:p>
    <w:p w:rsidR="00AE3608" w:rsidRPr="00AE3608" w:rsidRDefault="00AE3608" w:rsidP="00AE3608">
      <w:pPr>
        <w:spacing w:after="0" w:line="240" w:lineRule="auto"/>
        <w:ind w:left="567"/>
        <w:jc w:val="both"/>
        <w:rPr>
          <w:rFonts w:ascii="Museo Sans 300" w:eastAsia="Times New Roman" w:hAnsi="Museo Sans 300" w:cs="Times New Roman"/>
          <w:b/>
          <w:bCs/>
          <w:u w:val="single"/>
          <w:lang w:val="es-ES" w:eastAsia="es-ES"/>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 xml:space="preserve">El artículo 6 detalla las situaciones en las cuales se presume que el usuario final está incumpliendo las condiciones contractuales del suministro, cuando sin previo aviso al Distribuidor se modifiquen </w:t>
      </w:r>
      <w:r w:rsidRPr="00AE3608">
        <w:rPr>
          <w:rFonts w:ascii="Museo Sans 300" w:eastAsia="Calibri" w:hAnsi="Museo Sans 300" w:cs="Times New Roman"/>
        </w:rPr>
        <w:lastRenderedPageBreak/>
        <w:t xml:space="preserve">circuitos internos o se conecten cargas, que alteren la exactitud de la medición de la energía consumida o se sobrepase la capacidad para lo cual ha sido contratado el servicio. </w:t>
      </w:r>
    </w:p>
    <w:p w:rsidR="00AE3608" w:rsidRPr="00AE3608" w:rsidRDefault="00AE3608" w:rsidP="00AE3608">
      <w:pPr>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De igual manera</w:t>
      </w:r>
      <w:r w:rsidRPr="00AE3608">
        <w:rPr>
          <w:rFonts w:ascii="Museo Sans 300" w:eastAsia="Calibri" w:hAnsi="Museo Sans 300" w:cs="Times New Roman"/>
          <w:color w:val="000000"/>
        </w:rPr>
        <w:t xml:space="preserve"> determina que el Distribuidor tiene la responsabilidad de recabar y conservar de forma íntegra toda la evidencia que conlleve a comprobar que existe el incumplimiento, por ejemplo: fotografías, actas, testigos, inspecciones, entre otras.</w:t>
      </w:r>
    </w:p>
    <w:p w:rsidR="00AE3608" w:rsidRPr="00AE3608" w:rsidRDefault="00AE3608" w:rsidP="00AE3608">
      <w:pPr>
        <w:spacing w:after="0" w:line="240" w:lineRule="auto"/>
        <w:ind w:left="1068"/>
        <w:jc w:val="both"/>
        <w:rPr>
          <w:rFonts w:ascii="Museo Sans 300" w:eastAsia="Times New Roman" w:hAnsi="Museo Sans 300" w:cs="Times New Roman"/>
          <w:b/>
          <w:bCs/>
          <w:u w:val="single"/>
          <w:lang w:val="es-ES" w:eastAsia="es-ES"/>
        </w:rPr>
      </w:pPr>
    </w:p>
    <w:p w:rsidR="00AE3608" w:rsidRPr="00AE3608" w:rsidRDefault="00AE3608" w:rsidP="00AE3608">
      <w:pPr>
        <w:tabs>
          <w:tab w:val="left" w:pos="426"/>
        </w:tabs>
        <w:spacing w:after="0" w:line="240" w:lineRule="auto"/>
        <w:ind w:left="426"/>
        <w:jc w:val="both"/>
        <w:rPr>
          <w:rFonts w:ascii="Museo Sans 300" w:eastAsia="Times New Roman" w:hAnsi="Museo Sans 300" w:cs="Times New Roman"/>
          <w:b/>
          <w:bCs/>
          <w:lang w:val="es-ES" w:eastAsia="es-ES"/>
        </w:rPr>
      </w:pPr>
      <w:r w:rsidRPr="00AE3608">
        <w:rPr>
          <w:rFonts w:ascii="Museo Sans 500" w:eastAsia="Times New Roman" w:hAnsi="Museo Sans 500" w:cs="Times New Roman"/>
          <w:b/>
          <w:lang w:val="es-ES" w:eastAsia="es-ES"/>
        </w:rPr>
        <w:t>1.D. Procedimiento para Investigar la Existencia de Condiciones Irregulares en el Suministro de Energía Eléctrica del Usuario Final</w:t>
      </w:r>
    </w:p>
    <w:p w:rsidR="00AE3608" w:rsidRPr="00AE3608" w:rsidRDefault="00AE3608" w:rsidP="00AE3608">
      <w:pPr>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Procedimiento contenido en el acuerdo N.° 283-E-2011,</w:t>
      </w:r>
      <w:r w:rsidRPr="00AE3608">
        <w:rPr>
          <w:rFonts w:ascii="Museo Sans 300" w:eastAsia="Calibri" w:hAnsi="Museo Sans 300" w:cs="Times New Roman"/>
          <w:b/>
        </w:rPr>
        <w:t xml:space="preserve"> </w:t>
      </w:r>
      <w:r w:rsidRPr="00AE3608">
        <w:rPr>
          <w:rFonts w:ascii="Museo Sans 300" w:eastAsia="Calibri" w:hAnsi="Museo Sans 300" w:cs="Times New Roman"/>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AE3608" w:rsidRPr="00AE3608" w:rsidRDefault="00AE3608" w:rsidP="00AE3608">
      <w:pPr>
        <w:autoSpaceDE w:val="0"/>
        <w:autoSpaceDN w:val="0"/>
        <w:adjustRightInd w:val="0"/>
        <w:spacing w:after="0" w:line="240" w:lineRule="auto"/>
        <w:ind w:left="284"/>
        <w:jc w:val="both"/>
        <w:rPr>
          <w:rFonts w:ascii="Museo Sans 300" w:eastAsia="Calibri" w:hAnsi="Museo Sans 300" w:cs="Times New Roman"/>
        </w:rPr>
      </w:pPr>
      <w:r w:rsidRPr="00AE3608">
        <w:rPr>
          <w:rFonts w:ascii="Museo Sans 300" w:eastAsia="Calibri" w:hAnsi="Museo Sans 300" w:cs="Times New Roman"/>
        </w:rPr>
        <w:tab/>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color w:val="000000"/>
        </w:rPr>
      </w:pPr>
      <w:r w:rsidRPr="00AE3608">
        <w:rPr>
          <w:rFonts w:ascii="Museo Sans 300" w:eastAsia="Calibri" w:hAnsi="Museo Sans 300" w:cs="Times New Roman"/>
          <w:color w:val="000000"/>
        </w:rPr>
        <w:t xml:space="preserve">Dicho procedimiento </w:t>
      </w:r>
      <w:r w:rsidRPr="00AE3608">
        <w:rPr>
          <w:rFonts w:ascii="Museo Sans 300" w:eastAsia="Calibri" w:hAnsi="Museo Sans 300" w:cs="Times New Roman"/>
        </w:rPr>
        <w:t>conceptualiza</w:t>
      </w:r>
      <w:r w:rsidRPr="00AE3608">
        <w:rPr>
          <w:rFonts w:ascii="Museo Sans 300" w:eastAsia="Calibri" w:hAnsi="Museo Sans 300" w:cs="Times New Roman"/>
          <w:color w:val="000000"/>
        </w:rPr>
        <w:t xml:space="preserve"> una condición irregular de la siguiente manera: </w:t>
      </w:r>
      <w:r w:rsidRPr="00AE3608">
        <w:rPr>
          <w:rFonts w:ascii="Museo Sans 300" w:eastAsia="Calibri" w:hAnsi="Museo Sans 300" w:cs="Times New Roman"/>
          <w:i/>
          <w:color w:val="000000"/>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AE3608" w:rsidRPr="00AE3608" w:rsidRDefault="00AE3608" w:rsidP="00AE3608">
      <w:pPr>
        <w:tabs>
          <w:tab w:val="left" w:pos="142"/>
        </w:tabs>
        <w:spacing w:after="0" w:line="240" w:lineRule="auto"/>
        <w:jc w:val="both"/>
        <w:rPr>
          <w:rFonts w:ascii="Museo Sans 300" w:eastAsia="Calibri" w:hAnsi="Museo Sans 300" w:cs="Times New Roman"/>
          <w:color w:val="000000"/>
        </w:rPr>
      </w:pPr>
      <w:r w:rsidRPr="00AE3608">
        <w:rPr>
          <w:rFonts w:ascii="Museo Sans 300" w:eastAsia="Calibri" w:hAnsi="Museo Sans 300" w:cs="Times New Roman"/>
          <w:color w:val="000000"/>
        </w:rPr>
        <w:tab/>
      </w:r>
      <w:r w:rsidRPr="00AE3608">
        <w:rPr>
          <w:rFonts w:ascii="Museo Sans 300" w:eastAsia="Calibri" w:hAnsi="Museo Sans 300" w:cs="Times New Roman"/>
          <w:color w:val="000000"/>
        </w:rPr>
        <w:tab/>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AE3608" w:rsidRPr="00AE3608" w:rsidRDefault="00AE3608" w:rsidP="00AE3608">
      <w:pPr>
        <w:tabs>
          <w:tab w:val="left" w:pos="142"/>
        </w:tabs>
        <w:autoSpaceDE w:val="0"/>
        <w:autoSpaceDN w:val="0"/>
        <w:adjustRightInd w:val="0"/>
        <w:spacing w:after="0" w:line="240" w:lineRule="auto"/>
        <w:ind w:left="284"/>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AE3608" w:rsidRPr="00AE3608" w:rsidRDefault="00AE3608" w:rsidP="00AE3608">
      <w:pPr>
        <w:spacing w:after="0" w:line="240" w:lineRule="auto"/>
        <w:ind w:left="1068"/>
        <w:jc w:val="both"/>
        <w:rPr>
          <w:rFonts w:ascii="Museo Sans 300" w:eastAsia="Times New Roman" w:hAnsi="Museo Sans 300" w:cs="Times New Roman"/>
          <w:b/>
          <w:bCs/>
          <w:u w:val="single"/>
          <w:lang w:val="es-ES" w:eastAsia="es-ES"/>
        </w:rPr>
      </w:pPr>
    </w:p>
    <w:p w:rsidR="00AE3608" w:rsidRPr="00AE3608" w:rsidRDefault="00AE3608" w:rsidP="00AE3608">
      <w:pPr>
        <w:tabs>
          <w:tab w:val="left" w:pos="426"/>
        </w:tabs>
        <w:spacing w:after="0" w:line="240" w:lineRule="auto"/>
        <w:ind w:left="426"/>
        <w:jc w:val="both"/>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1.E. Ley de Protección al Consumidor</w:t>
      </w:r>
    </w:p>
    <w:p w:rsidR="00AE3608" w:rsidRPr="00AE3608" w:rsidRDefault="00AE3608" w:rsidP="00AE3608">
      <w:pPr>
        <w:tabs>
          <w:tab w:val="left" w:pos="142"/>
        </w:tabs>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AE3608" w:rsidRPr="00AE3608" w:rsidRDefault="00AE3608" w:rsidP="00AE3608">
      <w:pPr>
        <w:tabs>
          <w:tab w:val="left" w:pos="142"/>
        </w:tabs>
        <w:autoSpaceDE w:val="0"/>
        <w:autoSpaceDN w:val="0"/>
        <w:adjustRightInd w:val="0"/>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lastRenderedPageBreak/>
        <w:t>Siendo lo anterior de obligatoria aplicación por parte de esta Superintendencia, en el marco de funcionamiento del Sistema Nacional de Protección al Consumidor del cual forma parte.</w:t>
      </w:r>
    </w:p>
    <w:p w:rsidR="00AE3608" w:rsidRPr="00AE3608" w:rsidRDefault="00AE3608" w:rsidP="00AE3608">
      <w:pPr>
        <w:spacing w:after="0" w:line="240" w:lineRule="auto"/>
        <w:ind w:left="993"/>
        <w:jc w:val="both"/>
        <w:rPr>
          <w:rFonts w:ascii="Museo Sans 300" w:eastAsia="Times New Roman" w:hAnsi="Museo Sans 300" w:cs="Times New Roman"/>
          <w:b/>
          <w:u w:val="single"/>
          <w:lang w:val="es-ES" w:eastAsia="es-ES"/>
        </w:rPr>
      </w:pPr>
    </w:p>
    <w:p w:rsidR="00AE3608" w:rsidRPr="00AE3608" w:rsidRDefault="00AE3608" w:rsidP="00AE3608">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ANÁLISIS</w:t>
      </w:r>
    </w:p>
    <w:p w:rsidR="00AE3608" w:rsidRPr="00AE3608" w:rsidRDefault="00AE3608" w:rsidP="00AE3608">
      <w:pPr>
        <w:spacing w:after="0" w:line="240" w:lineRule="auto"/>
        <w:ind w:firstLine="567"/>
        <w:jc w:val="both"/>
        <w:rPr>
          <w:rFonts w:ascii="Museo Sans 300" w:eastAsia="Times New Roman" w:hAnsi="Museo Sans 300" w:cs="Times New Roman"/>
          <w:b/>
          <w:lang w:val="es-MX" w:eastAsia="es-ES"/>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ab/>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Dicho análisis consistió en:</w:t>
      </w:r>
    </w:p>
    <w:p w:rsidR="00AE3608" w:rsidRPr="00AE3608" w:rsidRDefault="00AE3608" w:rsidP="00AE3608">
      <w:pPr>
        <w:spacing w:after="0" w:line="240" w:lineRule="auto"/>
        <w:ind w:left="851"/>
        <w:jc w:val="both"/>
        <w:rPr>
          <w:rFonts w:ascii="Museo Sans 300" w:eastAsia="Times New Roman" w:hAnsi="Museo Sans 300" w:cs="Times New Roman"/>
          <w:lang w:val="es-ES" w:eastAsia="es-ES"/>
        </w:rPr>
      </w:pPr>
    </w:p>
    <w:p w:rsidR="00AE3608" w:rsidRPr="00AE3608" w:rsidRDefault="00AE3608" w:rsidP="00AE3608">
      <w:pPr>
        <w:numPr>
          <w:ilvl w:val="1"/>
          <w:numId w:val="2"/>
        </w:numPr>
        <w:spacing w:after="0" w:line="240" w:lineRule="auto"/>
        <w:ind w:left="709" w:hanging="283"/>
        <w:contextualSpacing/>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Un estudio de los alegatos y documentación presentados por el usuario y por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S.A. de C.V.</w:t>
      </w:r>
    </w:p>
    <w:p w:rsidR="00AE3608" w:rsidRPr="00AE3608" w:rsidRDefault="00AE3608" w:rsidP="00AE3608">
      <w:pPr>
        <w:spacing w:after="0" w:line="240" w:lineRule="auto"/>
        <w:ind w:left="851"/>
        <w:jc w:val="both"/>
        <w:rPr>
          <w:rFonts w:ascii="Museo Sans 300" w:eastAsia="Times New Roman" w:hAnsi="Museo Sans 300" w:cs="Times New Roman"/>
          <w:lang w:val="es-ES" w:eastAsia="es-ES"/>
        </w:rPr>
      </w:pPr>
    </w:p>
    <w:p w:rsidR="00AE3608" w:rsidRPr="00AE3608" w:rsidRDefault="00AE3608" w:rsidP="00AE3608">
      <w:pPr>
        <w:numPr>
          <w:ilvl w:val="1"/>
          <w:numId w:val="2"/>
        </w:numPr>
        <w:spacing w:after="0" w:line="240" w:lineRule="auto"/>
        <w:ind w:left="709" w:hanging="283"/>
        <w:contextualSpacing/>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AE3608" w:rsidRPr="00AE3608" w:rsidRDefault="00AE3608" w:rsidP="00AE3608">
      <w:pPr>
        <w:spacing w:after="0" w:line="240" w:lineRule="auto"/>
        <w:ind w:left="567"/>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AE3608" w:rsidRPr="00AE3608" w:rsidRDefault="00AE3608" w:rsidP="00AE3608">
      <w:pPr>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ab/>
      </w:r>
    </w:p>
    <w:p w:rsidR="00AE3608" w:rsidRPr="00AE3608" w:rsidRDefault="00AE3608" w:rsidP="00AE3608">
      <w:pPr>
        <w:tabs>
          <w:tab w:val="left" w:pos="426"/>
        </w:tabs>
        <w:spacing w:after="0" w:line="240" w:lineRule="auto"/>
        <w:ind w:left="426"/>
        <w:jc w:val="both"/>
        <w:rPr>
          <w:rFonts w:ascii="Museo Sans 300" w:eastAsia="Times New Roman" w:hAnsi="Museo Sans 300" w:cs="Times New Roman"/>
          <w:b/>
          <w:lang w:val="es-ES" w:eastAsia="es-ES"/>
        </w:rPr>
      </w:pPr>
      <w:r w:rsidRPr="00AE3608">
        <w:rPr>
          <w:rFonts w:ascii="Museo Sans 500" w:eastAsia="Times New Roman" w:hAnsi="Museo Sans 500" w:cs="Times New Roman"/>
          <w:b/>
          <w:lang w:val="es-ES" w:eastAsia="es-ES"/>
        </w:rPr>
        <w:t xml:space="preserve">2.A. Condición encontrada en el suministro identificado con el NIC </w:t>
      </w:r>
      <w:r w:rsidR="00BA3776">
        <w:rPr>
          <w:rFonts w:ascii="Museo Sans 500" w:eastAsia="Times New Roman" w:hAnsi="Museo Sans 500" w:cs="Times New Roman"/>
          <w:b/>
          <w:lang w:val="es-ES" w:eastAsia="es-ES"/>
        </w:rPr>
        <w:t>xxxxxxxxxxx</w:t>
      </w:r>
    </w:p>
    <w:p w:rsidR="00AE3608" w:rsidRPr="00AE3608" w:rsidRDefault="00AE3608" w:rsidP="00AE3608">
      <w:pPr>
        <w:tabs>
          <w:tab w:val="left" w:pos="993"/>
        </w:tabs>
        <w:spacing w:after="0" w:line="240" w:lineRule="auto"/>
        <w:jc w:val="both"/>
        <w:rPr>
          <w:rFonts w:ascii="Museo Sans 300" w:eastAsia="Times New Roman" w:hAnsi="Museo Sans 300" w:cs="Times New Roman"/>
          <w:b/>
          <w:lang w:val="es-ES" w:eastAsia="es-ES"/>
        </w:rPr>
      </w:pPr>
      <w:r w:rsidRPr="00AE3608">
        <w:rPr>
          <w:rFonts w:ascii="Museo Sans 300" w:eastAsia="Times New Roman" w:hAnsi="Museo Sans 300" w:cs="Times New Roman"/>
          <w:b/>
          <w:lang w:val="es-ES" w:eastAsia="es-ES"/>
        </w:rPr>
        <w:tab/>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Centro de Atención al Usuario de la SIGET, efectuó el análisis de la información, determinando en el informe técnico N.° IT-075-30387-CAU, lo siguiente:</w:t>
      </w:r>
    </w:p>
    <w:p w:rsidR="00AE3608" w:rsidRPr="00AE3608" w:rsidRDefault="00AE3608" w:rsidP="00AE3608">
      <w:pPr>
        <w:tabs>
          <w:tab w:val="left" w:pos="993"/>
        </w:tabs>
        <w:spacing w:after="0" w:line="240" w:lineRule="auto"/>
        <w:ind w:left="567"/>
        <w:jc w:val="both"/>
        <w:rPr>
          <w:rFonts w:ascii="Museo Sans 300" w:eastAsia="Times New Roman" w:hAnsi="Museo Sans 300" w:cs="Times New Roman"/>
          <w:lang w:val="es-ES" w:eastAsia="es-ES"/>
        </w:rPr>
      </w:pPr>
    </w:p>
    <w:p w:rsidR="00AE3608" w:rsidRPr="00AE3608" w:rsidRDefault="00AE3608" w:rsidP="00AE3608">
      <w:pPr>
        <w:numPr>
          <w:ilvl w:val="0"/>
          <w:numId w:val="3"/>
        </w:numPr>
        <w:tabs>
          <w:tab w:val="left" w:pos="709"/>
        </w:tabs>
        <w:spacing w:after="0" w:line="240" w:lineRule="auto"/>
        <w:ind w:left="709" w:hanging="283"/>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 xml:space="preserve">De las pruebas presentadas por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S.A. de C.V., concretamente las fotografías, constataron que:</w:t>
      </w:r>
    </w:p>
    <w:p w:rsidR="00AE3608" w:rsidRPr="00AE3608" w:rsidRDefault="00AE3608" w:rsidP="00AE3608">
      <w:pPr>
        <w:tabs>
          <w:tab w:val="left" w:pos="709"/>
        </w:tabs>
        <w:spacing w:after="0" w:line="240" w:lineRule="auto"/>
        <w:ind w:left="709"/>
        <w:jc w:val="both"/>
        <w:rPr>
          <w:rFonts w:ascii="Museo Sans 300" w:eastAsia="Times New Roman" w:hAnsi="Museo Sans 300" w:cs="Times New Roman"/>
          <w:lang w:val="es-ES" w:eastAsia="es-ES"/>
        </w:rPr>
      </w:pPr>
    </w:p>
    <w:p w:rsidR="00AE3608" w:rsidRPr="00AE3608" w:rsidRDefault="00AE3608" w:rsidP="00AE3608">
      <w:pPr>
        <w:numPr>
          <w:ilvl w:val="0"/>
          <w:numId w:val="5"/>
        </w:numPr>
        <w:tabs>
          <w:tab w:val="left" w:pos="709"/>
        </w:tabs>
        <w:spacing w:after="0" w:line="240" w:lineRule="auto"/>
        <w:jc w:val="both"/>
        <w:rPr>
          <w:rFonts w:ascii="Museo Sans 300" w:eastAsia="Times New Roman" w:hAnsi="Museo Sans 300" w:cs="Times New Roman"/>
          <w:lang w:val="es-ES" w:eastAsia="es-ES"/>
        </w:rPr>
      </w:pPr>
      <w:r w:rsidRPr="00AE3608">
        <w:rPr>
          <w:rFonts w:ascii="Museo Sans 300" w:eastAsia="Times New Roman" w:hAnsi="Museo Sans 300" w:cs="Times New Roman"/>
          <w:lang w:eastAsia="es-ES"/>
        </w:rPr>
        <w:t>Se encontraba roto el sello de plomo del bloque de terminales del equipo de medición N.° 198548.</w:t>
      </w:r>
    </w:p>
    <w:p w:rsidR="00AE3608" w:rsidRPr="00AE3608" w:rsidRDefault="00AE3608" w:rsidP="00AE3608">
      <w:pPr>
        <w:tabs>
          <w:tab w:val="left" w:pos="709"/>
        </w:tabs>
        <w:spacing w:after="0" w:line="240" w:lineRule="auto"/>
        <w:ind w:left="1069"/>
        <w:jc w:val="both"/>
        <w:rPr>
          <w:rFonts w:ascii="Museo Sans 300" w:eastAsia="Times New Roman" w:hAnsi="Museo Sans 300" w:cs="Times New Roman"/>
          <w:lang w:val="es-ES" w:eastAsia="es-ES"/>
        </w:rPr>
      </w:pPr>
    </w:p>
    <w:p w:rsidR="00AE3608" w:rsidRPr="00AE3608" w:rsidRDefault="00AE3608" w:rsidP="00AE3608">
      <w:pPr>
        <w:numPr>
          <w:ilvl w:val="0"/>
          <w:numId w:val="5"/>
        </w:numPr>
        <w:tabs>
          <w:tab w:val="left" w:pos="709"/>
        </w:tabs>
        <w:spacing w:after="0" w:line="240" w:lineRule="auto"/>
        <w:jc w:val="both"/>
        <w:rPr>
          <w:rFonts w:ascii="Museo Sans 300" w:eastAsia="Times New Roman" w:hAnsi="Museo Sans 300" w:cs="Times New Roman"/>
          <w:lang w:val="es-ES" w:eastAsia="es-ES"/>
        </w:rPr>
      </w:pPr>
      <w:r w:rsidRPr="00AE3608">
        <w:rPr>
          <w:rFonts w:ascii="Museo Sans 300" w:eastAsia="Times New Roman" w:hAnsi="Museo Sans 300" w:cs="Times New Roman"/>
          <w:lang w:eastAsia="es-ES"/>
        </w:rPr>
        <w:t>Se verificó la manipulación de los cables conductores en el bloque de terminales del medidor N.° 198548, pues se había retirado el conductor de la línea neutro y en su lugar se había conectado una fase adicional al suministro (fase B).</w:t>
      </w:r>
    </w:p>
    <w:p w:rsidR="00AE3608" w:rsidRPr="00AE3608" w:rsidRDefault="00AE3608" w:rsidP="00AE3608">
      <w:pPr>
        <w:spacing w:after="0" w:line="240" w:lineRule="auto"/>
        <w:ind w:left="708"/>
        <w:rPr>
          <w:rFonts w:ascii="Museo Sans 300" w:eastAsia="Times New Roman" w:hAnsi="Museo Sans 300" w:cs="Times New Roman"/>
          <w:lang w:eastAsia="es-ES"/>
        </w:rPr>
      </w:pPr>
    </w:p>
    <w:p w:rsidR="00AE3608" w:rsidRPr="00AE3608" w:rsidRDefault="00AE3608" w:rsidP="00AE3608">
      <w:pPr>
        <w:numPr>
          <w:ilvl w:val="0"/>
          <w:numId w:val="5"/>
        </w:numPr>
        <w:tabs>
          <w:tab w:val="left" w:pos="709"/>
        </w:tabs>
        <w:spacing w:after="0" w:line="240" w:lineRule="auto"/>
        <w:jc w:val="both"/>
        <w:rPr>
          <w:rFonts w:ascii="Museo Sans 300" w:eastAsia="Times New Roman" w:hAnsi="Museo Sans 300" w:cs="Times New Roman"/>
          <w:lang w:eastAsia="es-ES"/>
        </w:rPr>
      </w:pPr>
      <w:r w:rsidRPr="00AE3608">
        <w:rPr>
          <w:rFonts w:ascii="Museo Sans 300" w:eastAsia="Times New Roman" w:hAnsi="Museo Sans 300" w:cs="Times New Roman"/>
          <w:lang w:val="es-ES" w:eastAsia="es-ES"/>
        </w:rPr>
        <w:t xml:space="preserve">Personal de la distribuidora utilizó un amperímetro para medir </w:t>
      </w:r>
      <w:r w:rsidRPr="00AE3608">
        <w:rPr>
          <w:rFonts w:ascii="Museo Sans 300" w:eastAsia="Times New Roman" w:hAnsi="Museo Sans 300" w:cs="Times New Roman"/>
          <w:lang w:eastAsia="es-ES"/>
        </w:rPr>
        <w:t>las corrientes eléctricas instantáneas de las fases en el bloque de terminales, obteniendo un resultado de veinte punto siete amperios en fase A y cero amperios en la fase B, YA que no estaba conectada a la salida del medidor.</w:t>
      </w:r>
    </w:p>
    <w:p w:rsidR="00AE3608" w:rsidRPr="00AE3608" w:rsidRDefault="00AE3608" w:rsidP="00AE3608">
      <w:pPr>
        <w:tabs>
          <w:tab w:val="left" w:pos="709"/>
        </w:tabs>
        <w:spacing w:after="0" w:line="240" w:lineRule="auto"/>
        <w:ind w:left="1069"/>
        <w:jc w:val="both"/>
        <w:rPr>
          <w:rFonts w:ascii="Museo Sans 300" w:eastAsia="Times New Roman" w:hAnsi="Museo Sans 300" w:cs="Times New Roman"/>
          <w:lang w:val="es-ES" w:eastAsia="es-ES"/>
        </w:rPr>
      </w:pPr>
    </w:p>
    <w:p w:rsidR="00AE3608" w:rsidRPr="00AE3608" w:rsidRDefault="00AE3608" w:rsidP="00AE3608">
      <w:pPr>
        <w:numPr>
          <w:ilvl w:val="0"/>
          <w:numId w:val="3"/>
        </w:numPr>
        <w:tabs>
          <w:tab w:val="left" w:pos="709"/>
        </w:tabs>
        <w:spacing w:after="0" w:line="240" w:lineRule="auto"/>
        <w:ind w:left="709" w:hanging="283"/>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En los registros históricos del servicio eléctrico se advierte que en el período comprendido entre los días trece de marzo y veintisiete de abril de dos mil quince, no se registraron consumos de energía eléctrica.</w:t>
      </w:r>
    </w:p>
    <w:p w:rsidR="00AE3608" w:rsidRPr="00AE3608" w:rsidRDefault="00AE3608" w:rsidP="00AE3608">
      <w:pPr>
        <w:tabs>
          <w:tab w:val="left" w:pos="851"/>
        </w:tabs>
        <w:spacing w:after="0" w:line="240" w:lineRule="auto"/>
        <w:jc w:val="both"/>
        <w:rPr>
          <w:rFonts w:ascii="Museo Sans 300" w:eastAsia="Times New Roman" w:hAnsi="Museo Sans 300" w:cs="Times New Roman"/>
          <w:lang w:val="es-ES" w:eastAsia="es-ES"/>
        </w:rPr>
      </w:pPr>
      <w:r w:rsidRPr="00AE3608">
        <w:rPr>
          <w:rFonts w:ascii="Museo Sans 300" w:eastAsia="Times New Roman" w:hAnsi="Museo Sans 300" w:cs="Times New Roman"/>
          <w:lang w:val="es-ES" w:eastAsia="es-ES"/>
        </w:rPr>
        <w:tab/>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 xml:space="preserve">Con fundamento en lo expuesto, el CAU de la SIGET comprobó la existencia de una condición irregular en el suministro identificado con el NIC </w:t>
      </w:r>
      <w:r w:rsidR="00BA3776">
        <w:rPr>
          <w:rFonts w:ascii="Museo Sans 300" w:eastAsia="Calibri" w:hAnsi="Museo Sans 300" w:cs="Times New Roman"/>
        </w:rPr>
        <w:t>xxxxxxxxxxx</w:t>
      </w:r>
      <w:r w:rsidRPr="00AE3608">
        <w:rPr>
          <w:rFonts w:ascii="Museo Sans 300" w:eastAsia="Calibri" w:hAnsi="Museo Sans 300" w:cs="Times New Roman"/>
        </w:rPr>
        <w:t xml:space="preserve">, que impedía el correcto registro del consumo de energía eléctrica, de conformidad con lo establecido en el Procedimiento para Investigar la Existencia de Condiciones Irregulares en el Suministro de Energía Eléctrica del Usuario Final y el artículo 6 de los Términos y Condiciones Generales al Consumidor Final del Pliego Tarifario aprobado a la sociedad </w:t>
      </w:r>
      <w:r w:rsidR="00BA3776">
        <w:rPr>
          <w:rFonts w:ascii="Museo Sans 300" w:eastAsia="Calibri" w:hAnsi="Museo Sans 300" w:cs="Times New Roman"/>
        </w:rPr>
        <w:t>XXXXXXXXXXX</w:t>
      </w:r>
      <w:r w:rsidRPr="00AE3608">
        <w:rPr>
          <w:rFonts w:ascii="Museo Sans 300" w:eastAsia="Calibri" w:hAnsi="Museo Sans 300" w:cs="Times New Roman"/>
        </w:rPr>
        <w:t>, S.A. de C.V.</w:t>
      </w:r>
    </w:p>
    <w:p w:rsidR="00AE3608" w:rsidRPr="00AE3608" w:rsidRDefault="00AE3608" w:rsidP="00AE3608">
      <w:pPr>
        <w:spacing w:after="0" w:line="240" w:lineRule="auto"/>
        <w:contextualSpacing/>
        <w:jc w:val="both"/>
        <w:rPr>
          <w:rFonts w:ascii="Museo Sans 300" w:eastAsia="Calibri" w:hAnsi="Museo Sans 300" w:cs="Times New Roman"/>
        </w:rPr>
      </w:pPr>
    </w:p>
    <w:p w:rsidR="00AE3608" w:rsidRPr="00AE3608" w:rsidRDefault="00AE3608" w:rsidP="00AE3608">
      <w:pPr>
        <w:tabs>
          <w:tab w:val="left" w:pos="426"/>
        </w:tabs>
        <w:spacing w:after="0" w:line="240" w:lineRule="auto"/>
        <w:ind w:left="426"/>
        <w:jc w:val="both"/>
        <w:rPr>
          <w:rFonts w:ascii="Museo Sans 300" w:eastAsia="Times New Roman" w:hAnsi="Museo Sans 300" w:cs="Times New Roman"/>
          <w:b/>
          <w:bCs/>
          <w:lang w:val="es-ES" w:eastAsia="es-ES"/>
        </w:rPr>
      </w:pPr>
      <w:r w:rsidRPr="00AE3608">
        <w:rPr>
          <w:rFonts w:ascii="Museo Sans 500" w:eastAsia="Times New Roman" w:hAnsi="Museo Sans 500" w:cs="Times New Roman"/>
          <w:b/>
          <w:bCs/>
          <w:lang w:val="es-ES" w:eastAsia="es-ES"/>
        </w:rPr>
        <w:t>2.B.</w:t>
      </w:r>
      <w:r w:rsidRPr="00AE3608">
        <w:rPr>
          <w:rFonts w:ascii="Museo Sans 500" w:eastAsia="Times New Roman" w:hAnsi="Museo Sans 500" w:cs="Times New Roman"/>
          <w:b/>
          <w:lang w:val="es-ES" w:eastAsia="es-ES"/>
        </w:rPr>
        <w:t xml:space="preserve"> Determinación del cálculo de energía a recuperar</w:t>
      </w:r>
    </w:p>
    <w:p w:rsidR="00AE3608" w:rsidRPr="00AE3608" w:rsidRDefault="00AE3608" w:rsidP="00AE3608">
      <w:pPr>
        <w:tabs>
          <w:tab w:val="left" w:pos="993"/>
        </w:tabs>
        <w:spacing w:after="0" w:line="240" w:lineRule="auto"/>
        <w:ind w:left="1637"/>
        <w:jc w:val="both"/>
        <w:rPr>
          <w:rFonts w:ascii="Museo Sans 300" w:eastAsia="Calibri" w:hAnsi="Museo Sans 300" w:cs="Times New Roman"/>
          <w:b/>
          <w:bCs/>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El Centro de Atención al Usuario de la SIGET validó el cálculo de la distribuidora por estar apegado al Procedimiento para Investigar la Existencia de Condiciones Irregulares en el Suministro de Energía Eléctrica del Usuario Final, numeral 5.2 literal c), al haber tomado como base la carga no medida o registrada, a raíz del daño interno del equipo de medición N.° 198548.</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 xml:space="preserve">Por lo anterior, dicho Centro determinó que la energía eléctrica a la que tiene derecho a recuperar la sociedad </w:t>
      </w:r>
      <w:r w:rsidR="00BA3776">
        <w:rPr>
          <w:rFonts w:ascii="Museo Sans 300" w:eastAsia="Calibri" w:hAnsi="Museo Sans 300" w:cs="Times New Roman"/>
        </w:rPr>
        <w:t>XXXXXXXXXXX</w:t>
      </w:r>
      <w:r w:rsidRPr="00AE3608">
        <w:rPr>
          <w:rFonts w:ascii="Museo Sans 300" w:eastAsia="Calibri" w:hAnsi="Museo Sans 300" w:cs="Times New Roman"/>
        </w:rPr>
        <w:t xml:space="preserve">, S.A. de C.V., corresponde a la cantidad de QUINIENTOS CINCUENTA Y TRES 25/100 DÓLARES DE LOS ESTADOS UNIDOS DE AMÉRICA (USD 553.25) IVA incluido, en concepto de Energía No Registrada por un período comprendido del trece de marzo al veintisiete de abril de dos mil quince. </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Calibri" w:hAnsi="Museo Sans 300" w:cs="Times New Roman"/>
        </w:rPr>
        <w:t>Es pertinente señalar que dicha cantidad fue pagada por el señor Alvarado Guevara el día veintitrés de septiembre de dos mil quince.</w:t>
      </w: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p>
    <w:p w:rsidR="00AE3608" w:rsidRPr="00AE3608" w:rsidRDefault="00AE3608" w:rsidP="00AE3608">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CONCLUSIÓN</w:t>
      </w:r>
    </w:p>
    <w:p w:rsidR="00AE3608" w:rsidRPr="00AE3608" w:rsidRDefault="00AE3608" w:rsidP="00AE3608">
      <w:pPr>
        <w:spacing w:after="0" w:line="240" w:lineRule="auto"/>
        <w:jc w:val="both"/>
        <w:rPr>
          <w:rFonts w:ascii="Museo Sans 300" w:eastAsia="Calibri" w:hAnsi="Museo Sans 300" w:cs="Times New Roman"/>
          <w:b/>
          <w:caps/>
          <w:u w:val="single"/>
        </w:rPr>
      </w:pPr>
    </w:p>
    <w:p w:rsidR="00AE3608" w:rsidRPr="00AE3608" w:rsidRDefault="00AE3608" w:rsidP="00AE3608">
      <w:pPr>
        <w:autoSpaceDE w:val="0"/>
        <w:autoSpaceDN w:val="0"/>
        <w:adjustRightInd w:val="0"/>
        <w:spacing w:after="0" w:line="240" w:lineRule="auto"/>
        <w:ind w:left="426"/>
        <w:jc w:val="both"/>
        <w:rPr>
          <w:rFonts w:ascii="Museo Sans 300" w:eastAsia="Calibri" w:hAnsi="Museo Sans 300" w:cs="Times New Roman"/>
        </w:rPr>
      </w:pPr>
      <w:r w:rsidRPr="00AE3608">
        <w:rPr>
          <w:rFonts w:ascii="Museo Sans 300" w:eastAsia="Times New Roman" w:hAnsi="Museo Sans 300" w:cs="Times New Roman"/>
          <w:lang w:eastAsia="es-ES"/>
        </w:rPr>
        <w:t xml:space="preserve">Con fundamento en el informe técnico N.° IT-075-30387-CAU, rendido por el CAU de la SIGET, esta Superintendencia considera pertinente adherirse a lo dictaminado por dicha instancia técnica, siendo pertinente determinar que en el suministro identificado con el </w:t>
      </w:r>
      <w:r w:rsidRPr="00AE3608">
        <w:rPr>
          <w:rFonts w:ascii="Museo Sans 300" w:eastAsia="Calibri" w:hAnsi="Museo Sans 300" w:cs="Times New Roman"/>
        </w:rPr>
        <w:t xml:space="preserve">NIC </w:t>
      </w:r>
      <w:r w:rsidR="00BA3776">
        <w:rPr>
          <w:rFonts w:ascii="Museo Sans 300" w:eastAsia="Calibri" w:hAnsi="Museo Sans 300" w:cs="Times New Roman"/>
        </w:rPr>
        <w:t>xxxxxxxxxxx</w:t>
      </w:r>
      <w:r w:rsidRPr="00AE3608">
        <w:rPr>
          <w:rFonts w:ascii="Museo Sans 300" w:eastAsia="Calibri" w:hAnsi="Museo Sans 300" w:cs="Times New Roman"/>
        </w:rPr>
        <w:t xml:space="preserve">, </w:t>
      </w:r>
      <w:r w:rsidRPr="00AE3608">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BA3776">
        <w:rPr>
          <w:rFonts w:ascii="Museo Sans 300" w:eastAsia="Times New Roman" w:hAnsi="Museo Sans 300" w:cs="Times New Roman"/>
          <w:lang w:eastAsia="es-ES"/>
        </w:rPr>
        <w:t>XXXXXXXXXXX</w:t>
      </w:r>
      <w:r w:rsidRPr="00AE3608">
        <w:rPr>
          <w:rFonts w:ascii="Museo Sans 300" w:eastAsia="Times New Roman" w:hAnsi="Museo Sans 300" w:cs="Times New Roman"/>
          <w:lang w:eastAsia="es-ES"/>
        </w:rPr>
        <w:t xml:space="preserve">, S.A. de C.V., tiene el derecho a recuperar la cantidad de </w:t>
      </w:r>
      <w:r w:rsidRPr="00AE3608">
        <w:rPr>
          <w:rFonts w:ascii="Museo Sans 300" w:eastAsia="Calibri" w:hAnsi="Museo Sans 300" w:cs="Times New Roman"/>
        </w:rPr>
        <w:t>QUINIENTOS CINCUENTA Y TRES 25/100 DÓLARES DE LOS ESTADOS UNIDOS DE AMÉRICA (USD 553.25) IVA incluido, en concepto de Energía No Registrada.</w:t>
      </w:r>
    </w:p>
    <w:p w:rsidR="00AE3608" w:rsidRPr="00AE3608" w:rsidRDefault="00AE3608" w:rsidP="00AE3608">
      <w:pPr>
        <w:spacing w:after="0" w:line="240" w:lineRule="auto"/>
        <w:ind w:left="567"/>
        <w:contextualSpacing/>
        <w:jc w:val="both"/>
        <w:rPr>
          <w:rFonts w:ascii="Museo Sans 300" w:eastAsia="Calibri" w:hAnsi="Museo Sans 300" w:cs="Times New Roman"/>
        </w:rPr>
      </w:pPr>
    </w:p>
    <w:p w:rsidR="00AE3608" w:rsidRPr="00AE3608" w:rsidRDefault="00AE3608" w:rsidP="00AE3608">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AE3608">
        <w:rPr>
          <w:rFonts w:ascii="Museo Sans 500" w:eastAsia="Times New Roman" w:hAnsi="Museo Sans 500" w:cs="Times New Roman"/>
          <w:b/>
          <w:lang w:val="es-ES" w:eastAsia="es-ES"/>
        </w:rPr>
        <w:t>RECURSOS</w:t>
      </w:r>
    </w:p>
    <w:p w:rsidR="00AE3608" w:rsidRPr="00AE3608" w:rsidRDefault="00AE3608" w:rsidP="00AE3608">
      <w:pPr>
        <w:spacing w:after="0" w:line="240" w:lineRule="auto"/>
        <w:ind w:left="786"/>
        <w:jc w:val="both"/>
        <w:rPr>
          <w:rFonts w:ascii="Museo Sans 300" w:eastAsia="Calibri" w:hAnsi="Museo Sans 300" w:cs="Times New Roman"/>
          <w:lang w:val="es-ES" w:eastAsia="es-ES"/>
        </w:rPr>
      </w:pPr>
    </w:p>
    <w:p w:rsidR="00AE3608" w:rsidRPr="00AE3608" w:rsidRDefault="00AE3608" w:rsidP="00AE3608">
      <w:pPr>
        <w:autoSpaceDE w:val="0"/>
        <w:autoSpaceDN w:val="0"/>
        <w:adjustRightInd w:val="0"/>
        <w:spacing w:after="0" w:line="240" w:lineRule="auto"/>
        <w:ind w:left="426"/>
        <w:jc w:val="both"/>
        <w:rPr>
          <w:rFonts w:ascii="Museo Sans 300" w:eastAsia="Arial" w:hAnsi="Museo Sans 300" w:cs="Times New Roman"/>
        </w:rPr>
      </w:pPr>
      <w:r w:rsidRPr="00AE3608">
        <w:rPr>
          <w:rFonts w:ascii="Museo Sans 300" w:eastAsia="Calibri" w:hAnsi="Museo Sans 300" w:cs="Times New Roman"/>
        </w:rPr>
        <w:t xml:space="preserve">En </w:t>
      </w:r>
      <w:r w:rsidRPr="00AE3608">
        <w:rPr>
          <w:rFonts w:ascii="Museo Sans 300" w:eastAsia="Times New Roman" w:hAnsi="Museo Sans 300" w:cs="Times New Roman"/>
          <w:lang w:eastAsia="es-ES"/>
        </w:rPr>
        <w:t>cumplimiento</w:t>
      </w:r>
      <w:r w:rsidRPr="00AE3608">
        <w:rPr>
          <w:rFonts w:ascii="Museo Sans 300" w:eastAsia="Calibri" w:hAnsi="Museo Sans 300" w:cs="Times New Roman"/>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AE3608" w:rsidRPr="00AE3608" w:rsidRDefault="00AE3608" w:rsidP="00AE3608">
      <w:pPr>
        <w:spacing w:after="0" w:line="240" w:lineRule="auto"/>
        <w:ind w:left="567"/>
        <w:contextualSpacing/>
        <w:jc w:val="both"/>
        <w:rPr>
          <w:rFonts w:ascii="Museo Sans 300" w:eastAsia="Calibri" w:hAnsi="Museo Sans 300" w:cs="Times New Roman"/>
        </w:rPr>
      </w:pPr>
    </w:p>
    <w:p w:rsidR="00AE3608" w:rsidRPr="00AE3608" w:rsidRDefault="00AE3608" w:rsidP="00AE3608">
      <w:pPr>
        <w:tabs>
          <w:tab w:val="left" w:pos="993"/>
        </w:tabs>
        <w:spacing w:after="0" w:line="240" w:lineRule="auto"/>
        <w:jc w:val="both"/>
        <w:rPr>
          <w:rFonts w:ascii="Museo Sans 300" w:eastAsia="Times New Roman" w:hAnsi="Museo Sans 300" w:cs="Times New Roman"/>
          <w:lang w:val="es-ES" w:eastAsia="es-ES"/>
        </w:rPr>
      </w:pPr>
      <w:r w:rsidRPr="00AE3608">
        <w:rPr>
          <w:rFonts w:ascii="Museo Sans 300" w:eastAsia="Times New Roman" w:hAnsi="Museo Sans 300" w:cs="Times New Roman"/>
          <w:b/>
          <w:lang w:val="es-ES" w:eastAsia="es-ES"/>
        </w:rPr>
        <w:t>POR TANTO</w:t>
      </w:r>
      <w:r w:rsidRPr="00AE3608">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AE3608">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BA3776">
        <w:rPr>
          <w:rFonts w:ascii="Museo Sans 300" w:eastAsia="Times New Roman" w:hAnsi="Museo Sans 300" w:cs="Times New Roman"/>
          <w:lang w:val="es-ES" w:eastAsia="es-ES"/>
        </w:rPr>
        <w:t>XXXXXXXXXXX</w:t>
      </w:r>
      <w:r w:rsidRPr="00AE3608">
        <w:rPr>
          <w:rFonts w:ascii="Museo Sans 300" w:eastAsia="Times New Roman" w:hAnsi="Museo Sans 300" w:cs="Times New Roman"/>
          <w:lang w:val="es-ES" w:eastAsia="es-ES"/>
        </w:rPr>
        <w:t xml:space="preserve">, S.A. de C.V., </w:t>
      </w:r>
      <w:r w:rsidRPr="00AE3608">
        <w:rPr>
          <w:rFonts w:ascii="Museo Sans 300" w:eastAsia="Times New Roman" w:hAnsi="Museo Sans 300" w:cs="Times New Roman"/>
          <w:color w:val="000000"/>
          <w:lang w:val="es-ES" w:eastAsia="es-ES"/>
        </w:rPr>
        <w:t xml:space="preserve">la Ley de Protección al Consumidor </w:t>
      </w:r>
      <w:r w:rsidRPr="00AE3608">
        <w:rPr>
          <w:rFonts w:ascii="Museo Sans 300" w:eastAsia="Times New Roman" w:hAnsi="Museo Sans 300" w:cs="Times New Roman"/>
          <w:lang w:val="es-ES" w:eastAsia="es-ES"/>
        </w:rPr>
        <w:t xml:space="preserve">y el informe técnico N.° IT-075-30387-CAU rendido por el Centro de Atención al Usuario, esta Superintendencia </w:t>
      </w:r>
      <w:r w:rsidRPr="00AE3608">
        <w:rPr>
          <w:rFonts w:ascii="Museo Sans 300" w:eastAsia="Times New Roman" w:hAnsi="Museo Sans 300" w:cs="Times New Roman"/>
          <w:b/>
          <w:lang w:val="es-ES" w:eastAsia="es-ES"/>
        </w:rPr>
        <w:t>ACUERDA:</w:t>
      </w:r>
    </w:p>
    <w:p w:rsidR="00AE3608" w:rsidRPr="00AE3608" w:rsidRDefault="00AE3608" w:rsidP="00AE3608">
      <w:pPr>
        <w:widowControl w:val="0"/>
        <w:autoSpaceDE w:val="0"/>
        <w:autoSpaceDN w:val="0"/>
        <w:adjustRightInd w:val="0"/>
        <w:spacing w:after="0" w:line="240" w:lineRule="auto"/>
        <w:jc w:val="both"/>
        <w:rPr>
          <w:rFonts w:ascii="Museo Sans 300" w:eastAsia="Calibri" w:hAnsi="Museo Sans 300" w:cs="Times New Roman"/>
        </w:rPr>
      </w:pPr>
    </w:p>
    <w:p w:rsidR="00AE3608" w:rsidRPr="00AE3608" w:rsidRDefault="00AE3608" w:rsidP="00AE3608">
      <w:pPr>
        <w:numPr>
          <w:ilvl w:val="0"/>
          <w:numId w:val="4"/>
        </w:numPr>
        <w:tabs>
          <w:tab w:val="left" w:pos="709"/>
        </w:tabs>
        <w:spacing w:after="0" w:line="240" w:lineRule="auto"/>
        <w:ind w:left="709" w:hanging="567"/>
        <w:contextualSpacing/>
        <w:jc w:val="both"/>
        <w:rPr>
          <w:rFonts w:ascii="Museo Sans 300" w:eastAsia="Times New Roman" w:hAnsi="Museo Sans 300" w:cs="Times New Roman"/>
          <w:color w:val="000000"/>
          <w:lang w:val="es-ES" w:eastAsia="es-ES"/>
        </w:rPr>
      </w:pPr>
      <w:r w:rsidRPr="00AE3608">
        <w:rPr>
          <w:rFonts w:ascii="Museo Sans 300" w:eastAsia="Times New Roman" w:hAnsi="Museo Sans 300" w:cs="Times New Roman"/>
          <w:color w:val="000000"/>
          <w:lang w:val="es-ES" w:eastAsia="es-ES"/>
        </w:rPr>
        <w:t xml:space="preserve">Determinar que en el suministro identificado con el NIC </w:t>
      </w:r>
      <w:r w:rsidR="00BA3776">
        <w:rPr>
          <w:rFonts w:ascii="Museo Sans 300" w:eastAsia="Times New Roman" w:hAnsi="Museo Sans 300" w:cs="Times New Roman"/>
          <w:color w:val="000000"/>
          <w:lang w:val="es-ES" w:eastAsia="es-ES"/>
        </w:rPr>
        <w:t>xxxxxxxxxxx</w:t>
      </w:r>
      <w:r w:rsidRPr="00AE3608">
        <w:rPr>
          <w:rFonts w:ascii="Museo Sans 300" w:eastAsia="Times New Roman" w:hAnsi="Museo Sans 300" w:cs="Times New Roman"/>
          <w:color w:val="000000"/>
          <w:lang w:val="es-ES" w:eastAsia="es-ES"/>
        </w:rPr>
        <w:t>, se comprobó la existencia de una condición irregular que consistió en la manipulación de los cables conductores en el bloque de terminales, condición que provocó que el equipo de medición N.° 198548 dejara de registrar la energía eléctrica consumida en el inmueble.</w:t>
      </w:r>
    </w:p>
    <w:p w:rsidR="00AE3608" w:rsidRPr="00AE3608" w:rsidRDefault="00AE3608" w:rsidP="00AE3608">
      <w:pPr>
        <w:tabs>
          <w:tab w:val="left" w:pos="993"/>
        </w:tabs>
        <w:spacing w:after="0" w:line="240" w:lineRule="auto"/>
        <w:ind w:left="-1"/>
        <w:jc w:val="both"/>
        <w:rPr>
          <w:rFonts w:ascii="Museo Sans 300" w:eastAsia="Calibri" w:hAnsi="Museo Sans 300" w:cs="Times New Roman"/>
        </w:rPr>
      </w:pPr>
    </w:p>
    <w:p w:rsidR="00AE3608" w:rsidRPr="00AE3608" w:rsidRDefault="00AE3608" w:rsidP="00AE3608">
      <w:pPr>
        <w:numPr>
          <w:ilvl w:val="0"/>
          <w:numId w:val="4"/>
        </w:numPr>
        <w:tabs>
          <w:tab w:val="left" w:pos="709"/>
        </w:tabs>
        <w:spacing w:after="0" w:line="240" w:lineRule="auto"/>
        <w:ind w:left="709" w:hanging="567"/>
        <w:contextualSpacing/>
        <w:jc w:val="both"/>
        <w:rPr>
          <w:rFonts w:ascii="Museo Sans 300" w:eastAsia="Times New Roman" w:hAnsi="Museo Sans 300" w:cs="Times New Roman"/>
          <w:color w:val="000000"/>
          <w:lang w:val="es-ES" w:eastAsia="es-ES"/>
        </w:rPr>
      </w:pPr>
      <w:r w:rsidRPr="00AE3608">
        <w:rPr>
          <w:rFonts w:ascii="Museo Sans 300" w:eastAsia="Times New Roman" w:hAnsi="Museo Sans 300" w:cs="Times New Roman"/>
          <w:color w:val="000000"/>
          <w:lang w:val="es-ES" w:eastAsia="es-ES"/>
        </w:rPr>
        <w:t xml:space="preserve">Establecer que la sociedad </w:t>
      </w:r>
      <w:r w:rsidR="00BA3776">
        <w:rPr>
          <w:rFonts w:ascii="Museo Sans 300" w:eastAsia="Times New Roman" w:hAnsi="Museo Sans 300" w:cs="Times New Roman"/>
          <w:color w:val="000000"/>
          <w:lang w:val="es-ES" w:eastAsia="es-ES"/>
        </w:rPr>
        <w:t>XXXXXXXXXXX</w:t>
      </w:r>
      <w:r w:rsidRPr="00AE3608">
        <w:rPr>
          <w:rFonts w:ascii="Museo Sans 300" w:eastAsia="Times New Roman" w:hAnsi="Museo Sans 300" w:cs="Times New Roman"/>
          <w:color w:val="000000"/>
          <w:lang w:val="es-ES" w:eastAsia="es-ES"/>
        </w:rPr>
        <w:t xml:space="preserve">, S.A. de C.V. tiene el derecho a recuperar la cantidad de </w:t>
      </w:r>
      <w:r w:rsidRPr="00AE3608">
        <w:rPr>
          <w:rFonts w:ascii="Museo Sans 300" w:eastAsia="Times New Roman" w:hAnsi="Museo Sans 300" w:cs="Times New Roman"/>
          <w:lang w:val="es-ES" w:eastAsia="es-ES"/>
        </w:rPr>
        <w:t xml:space="preserve">QUINIENTOS CINCUENTA Y TRES 25/100 DÓLARES DE LOS ESTADOS UNIDOS DE AMÉRICA (USD 553.25) IVA incluido, en concepto de Energía No Registrada. </w:t>
      </w:r>
    </w:p>
    <w:p w:rsidR="00AE3608" w:rsidRPr="00AE3608" w:rsidRDefault="00AE3608" w:rsidP="00AE3608">
      <w:pPr>
        <w:spacing w:after="0" w:line="240" w:lineRule="auto"/>
        <w:ind w:left="708"/>
        <w:rPr>
          <w:rFonts w:ascii="Museo Sans 300" w:eastAsia="Times New Roman" w:hAnsi="Museo Sans 300" w:cs="Times New Roman"/>
          <w:lang w:val="es-ES" w:eastAsia="es-ES"/>
        </w:rPr>
      </w:pPr>
    </w:p>
    <w:p w:rsidR="00AE3608" w:rsidRPr="00AE3608" w:rsidRDefault="00AE3608" w:rsidP="00AE3608">
      <w:pPr>
        <w:tabs>
          <w:tab w:val="left" w:pos="709"/>
        </w:tabs>
        <w:spacing w:after="0" w:line="240" w:lineRule="auto"/>
        <w:ind w:left="709"/>
        <w:contextualSpacing/>
        <w:jc w:val="both"/>
        <w:rPr>
          <w:rFonts w:ascii="Museo Sans 300" w:eastAsia="Times New Roman" w:hAnsi="Museo Sans 300" w:cs="Times New Roman"/>
          <w:color w:val="000000"/>
          <w:lang w:val="es-ES" w:eastAsia="es-ES"/>
        </w:rPr>
      </w:pPr>
      <w:r w:rsidRPr="00AE3608">
        <w:rPr>
          <w:rFonts w:ascii="Museo Sans 300" w:eastAsia="Times New Roman" w:hAnsi="Museo Sans 300" w:cs="Times New Roman"/>
          <w:lang w:val="es-ES" w:eastAsia="es-ES"/>
        </w:rPr>
        <w:t xml:space="preserve">Asimismo, debe apuntarse que la cantidad establecida en el informe técnico N.° IT-075-30387-CAU rendido por el CAU de la SIGET, fue pagada por el señor </w:t>
      </w:r>
      <w:r w:rsidR="00BA3776">
        <w:rPr>
          <w:rFonts w:ascii="Museo Sans 300" w:eastAsia="Times New Roman" w:hAnsi="Museo Sans 300" w:cs="Times New Roman"/>
          <w:lang w:val="es-ES" w:eastAsia="es-ES"/>
        </w:rPr>
        <w:t>xxxx</w:t>
      </w:r>
      <w:r w:rsidRPr="00AE3608">
        <w:rPr>
          <w:rFonts w:ascii="Museo Sans 300" w:eastAsia="Times New Roman" w:hAnsi="Museo Sans 300" w:cs="Times New Roman"/>
          <w:lang w:val="es-ES" w:eastAsia="es-ES"/>
        </w:rPr>
        <w:t xml:space="preserve"> el día veintitrés de septiembre de dos mil quince.</w:t>
      </w:r>
    </w:p>
    <w:p w:rsidR="00AE3608" w:rsidRPr="00AE3608" w:rsidRDefault="00AE3608" w:rsidP="00AE3608">
      <w:pPr>
        <w:tabs>
          <w:tab w:val="left" w:pos="709"/>
        </w:tabs>
        <w:spacing w:after="0" w:line="240" w:lineRule="auto"/>
        <w:ind w:left="709"/>
        <w:contextualSpacing/>
        <w:jc w:val="both"/>
        <w:rPr>
          <w:rFonts w:ascii="Museo Sans 300" w:eastAsia="Times New Roman" w:hAnsi="Museo Sans 300" w:cs="Times New Roman"/>
          <w:color w:val="000000"/>
          <w:lang w:val="es-ES" w:eastAsia="es-ES"/>
        </w:rPr>
      </w:pPr>
    </w:p>
    <w:p w:rsidR="00AE3608" w:rsidRPr="00AE3608" w:rsidRDefault="00AE3608" w:rsidP="00AE3608">
      <w:pPr>
        <w:numPr>
          <w:ilvl w:val="0"/>
          <w:numId w:val="4"/>
        </w:numPr>
        <w:tabs>
          <w:tab w:val="left" w:pos="709"/>
        </w:tabs>
        <w:spacing w:after="0" w:line="240" w:lineRule="auto"/>
        <w:ind w:left="709" w:hanging="567"/>
        <w:contextualSpacing/>
        <w:jc w:val="both"/>
        <w:rPr>
          <w:rFonts w:ascii="Museo Sans 300" w:eastAsia="Times New Roman" w:hAnsi="Museo Sans 300" w:cs="Times New Roman"/>
          <w:color w:val="000000"/>
          <w:lang w:val="es-ES" w:eastAsia="es-ES"/>
        </w:rPr>
      </w:pPr>
      <w:r w:rsidRPr="00AE3608">
        <w:rPr>
          <w:rFonts w:ascii="Museo Sans 300" w:eastAsia="Times New Roman" w:hAnsi="Museo Sans 300" w:cs="Times New Roman"/>
          <w:color w:val="000000"/>
          <w:lang w:val="es-ES" w:eastAsia="es-ES"/>
        </w:rPr>
        <w:t xml:space="preserve">Notificar este acuerdo al señor </w:t>
      </w:r>
      <w:r w:rsidR="00BA3776">
        <w:rPr>
          <w:rFonts w:ascii="Museo Sans 300" w:eastAsia="Times New Roman" w:hAnsi="Museo Sans 300" w:cs="Times New Roman"/>
          <w:color w:val="000000"/>
          <w:lang w:val="es-ES" w:eastAsia="es-ES"/>
        </w:rPr>
        <w:t>Xxxxxxxxxxx</w:t>
      </w:r>
      <w:r w:rsidRPr="00AE3608">
        <w:rPr>
          <w:rFonts w:ascii="Museo Sans 300" w:eastAsia="Times New Roman" w:hAnsi="Museo Sans 300" w:cs="Times New Roman"/>
          <w:color w:val="000000"/>
          <w:lang w:val="es-ES" w:eastAsia="es-ES"/>
        </w:rPr>
        <w:t xml:space="preserve"> y a la sociedad </w:t>
      </w:r>
      <w:r w:rsidR="00BA3776">
        <w:rPr>
          <w:rFonts w:ascii="Museo Sans 300" w:eastAsia="Times New Roman" w:hAnsi="Museo Sans 300" w:cs="Times New Roman"/>
          <w:color w:val="000000"/>
          <w:lang w:val="es-ES" w:eastAsia="es-ES"/>
        </w:rPr>
        <w:t>XXXXXXXXXXX</w:t>
      </w:r>
      <w:r w:rsidRPr="00AE3608">
        <w:rPr>
          <w:rFonts w:ascii="Museo Sans 300" w:eastAsia="Times New Roman" w:hAnsi="Museo Sans 300" w:cs="Times New Roman"/>
          <w:color w:val="000000"/>
          <w:lang w:val="es-ES" w:eastAsia="es-ES"/>
        </w:rPr>
        <w:t xml:space="preserve">, S.A. de C.V.; y, </w:t>
      </w:r>
    </w:p>
    <w:p w:rsidR="00AE3608" w:rsidRPr="00AE3608" w:rsidRDefault="00AE3608" w:rsidP="00AE3608">
      <w:pPr>
        <w:tabs>
          <w:tab w:val="left" w:pos="709"/>
        </w:tabs>
        <w:spacing w:after="0" w:line="240" w:lineRule="auto"/>
        <w:ind w:left="709"/>
        <w:contextualSpacing/>
        <w:jc w:val="both"/>
        <w:rPr>
          <w:rFonts w:ascii="Museo Sans 300" w:eastAsia="Times New Roman" w:hAnsi="Museo Sans 300" w:cs="Times New Roman"/>
          <w:color w:val="000000"/>
          <w:lang w:val="es-ES" w:eastAsia="es-ES"/>
        </w:rPr>
      </w:pPr>
    </w:p>
    <w:p w:rsidR="00AE3608" w:rsidRPr="00AE3608" w:rsidRDefault="00AE3608" w:rsidP="00AE3608">
      <w:pPr>
        <w:numPr>
          <w:ilvl w:val="0"/>
          <w:numId w:val="4"/>
        </w:numPr>
        <w:tabs>
          <w:tab w:val="left" w:pos="709"/>
        </w:tabs>
        <w:spacing w:after="0" w:line="240" w:lineRule="auto"/>
        <w:ind w:left="709" w:hanging="567"/>
        <w:contextualSpacing/>
        <w:jc w:val="both"/>
        <w:rPr>
          <w:rFonts w:ascii="Museo Sans 300" w:eastAsia="Times New Roman" w:hAnsi="Museo Sans 300" w:cs="Times New Roman"/>
          <w:color w:val="000000"/>
          <w:lang w:val="es-ES" w:eastAsia="es-ES"/>
        </w:rPr>
      </w:pPr>
      <w:r w:rsidRPr="00AE3608">
        <w:rPr>
          <w:rFonts w:ascii="Museo Sans 300" w:eastAsia="Times New Roman" w:hAnsi="Museo Sans 300" w:cs="Times New Roman"/>
          <w:color w:val="000000"/>
          <w:lang w:val="es-ES" w:eastAsia="es-ES"/>
        </w:rPr>
        <w:t>Remitir copia de este acuerdo al Centro de Atención al Usuario de la SIGET y a la Defensoría del Consumidor.</w:t>
      </w:r>
    </w:p>
    <w:p w:rsidR="00AE3608" w:rsidRPr="00AE3608" w:rsidRDefault="00AE3608" w:rsidP="00AE3608">
      <w:pPr>
        <w:spacing w:after="0" w:line="240" w:lineRule="auto"/>
        <w:jc w:val="both"/>
        <w:rPr>
          <w:rFonts w:ascii="Museo Sans 300" w:eastAsia="Calibri" w:hAnsi="Museo Sans 300" w:cs="Times New Roman"/>
        </w:rPr>
      </w:pPr>
    </w:p>
    <w:p w:rsidR="00AE3608" w:rsidRPr="00AE3608" w:rsidRDefault="00AE3608" w:rsidP="00AE3608">
      <w:pPr>
        <w:spacing w:after="0" w:line="240" w:lineRule="auto"/>
        <w:jc w:val="both"/>
        <w:rPr>
          <w:rFonts w:ascii="Museo Sans 300" w:eastAsia="Calibri" w:hAnsi="Museo Sans 300" w:cs="Arial"/>
        </w:rPr>
      </w:pPr>
    </w:p>
    <w:p w:rsidR="00AE3608" w:rsidRPr="00AE3608" w:rsidRDefault="00AE3608" w:rsidP="00AE3608">
      <w:pPr>
        <w:spacing w:after="0" w:line="240" w:lineRule="auto"/>
        <w:jc w:val="both"/>
        <w:rPr>
          <w:rFonts w:ascii="Museo Sans 300" w:eastAsia="Calibri" w:hAnsi="Museo Sans 300" w:cs="Times New Roman"/>
        </w:rPr>
      </w:pPr>
    </w:p>
    <w:p w:rsidR="00AE3608" w:rsidRPr="00AE3608" w:rsidRDefault="00AE3608" w:rsidP="00AE3608">
      <w:pPr>
        <w:spacing w:after="0" w:line="240" w:lineRule="auto"/>
        <w:ind w:left="4955" w:firstLine="1"/>
        <w:jc w:val="both"/>
        <w:rPr>
          <w:rFonts w:ascii="Museo Sans 300" w:eastAsia="Calibri" w:hAnsi="Museo Sans 300" w:cs="Times New Roman"/>
        </w:rPr>
      </w:pPr>
      <w:r w:rsidRPr="00AE3608">
        <w:rPr>
          <w:rFonts w:ascii="Museo Sans 300" w:eastAsia="Calibri" w:hAnsi="Museo Sans 300" w:cs="Times New Roman"/>
        </w:rPr>
        <w:t>Manuel Ernesto Aguilar Flores</w:t>
      </w:r>
    </w:p>
    <w:p w:rsidR="00AE3608" w:rsidRPr="00AE3608" w:rsidRDefault="00AE3608" w:rsidP="00AE3608">
      <w:pPr>
        <w:spacing w:after="0" w:line="240" w:lineRule="auto"/>
        <w:ind w:left="4954" w:firstLine="1"/>
        <w:jc w:val="both"/>
        <w:rPr>
          <w:rFonts w:ascii="Museo Sans 300" w:eastAsia="Calibri" w:hAnsi="Museo Sans 300" w:cs="Arial"/>
        </w:rPr>
      </w:pPr>
      <w:r w:rsidRPr="00AE3608">
        <w:rPr>
          <w:rFonts w:ascii="Museo Sans 300" w:eastAsia="Calibri" w:hAnsi="Museo Sans 300" w:cs="Times New Roman"/>
        </w:rPr>
        <w:t>Superintendente</w:t>
      </w:r>
    </w:p>
    <w:p w:rsidR="00AE3608" w:rsidRPr="00AE3608" w:rsidRDefault="00AE3608" w:rsidP="00AE3608">
      <w:pPr>
        <w:spacing w:after="0" w:line="240" w:lineRule="auto"/>
        <w:jc w:val="both"/>
        <w:rPr>
          <w:rFonts w:ascii="Museo Sans 300" w:eastAsia="Calibri" w:hAnsi="Museo Sans 300" w:cs="Times New Roman"/>
          <w:lang w:val="es-ES_tradnl"/>
        </w:rPr>
      </w:pPr>
    </w:p>
    <w:p w:rsidR="00AE3608" w:rsidRPr="00AE3608" w:rsidRDefault="00AE3608" w:rsidP="00AE3608">
      <w:pPr>
        <w:spacing w:after="200" w:line="276" w:lineRule="auto"/>
        <w:rPr>
          <w:rFonts w:ascii="Calibri" w:eastAsia="Calibri" w:hAnsi="Calibri" w:cs="Times New Roman"/>
        </w:rPr>
      </w:pPr>
    </w:p>
    <w:p w:rsidR="00B576DE" w:rsidRDefault="00B576DE"/>
    <w:sectPr w:rsidR="00B576DE" w:rsidSect="002D13F1">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B3" w:rsidRDefault="00AF6DB3">
      <w:pPr>
        <w:spacing w:after="0" w:line="240" w:lineRule="auto"/>
      </w:pPr>
      <w:r>
        <w:separator/>
      </w:r>
    </w:p>
  </w:endnote>
  <w:endnote w:type="continuationSeparator" w:id="0">
    <w:p w:rsidR="00AF6DB3" w:rsidRDefault="00AF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altName w:val="Times New Roman"/>
    <w:panose1 w:val="00000000000000000000"/>
    <w:charset w:val="00"/>
    <w:family w:val="modern"/>
    <w:notTrueType/>
    <w:pitch w:val="variable"/>
    <w:sig w:usb0="00000001" w:usb1="4000004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Default="00AE3608">
    <w:pPr>
      <w:pStyle w:val="Piedepgina"/>
      <w:jc w:val="right"/>
    </w:pPr>
    <w:r>
      <w:fldChar w:fldCharType="begin"/>
    </w:r>
    <w:r>
      <w:instrText>PAGE   \* MERGEFORMAT</w:instrText>
    </w:r>
    <w:r>
      <w:fldChar w:fldCharType="separate"/>
    </w:r>
    <w:r>
      <w:rPr>
        <w:lang w:val="es-ES"/>
      </w:rPr>
      <w:t>2</w:t>
    </w:r>
    <w:r>
      <w:fldChar w:fldCharType="end"/>
    </w:r>
  </w:p>
  <w:p w:rsidR="000F1DCE" w:rsidRDefault="00AF6D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C56C46" w:rsidRDefault="00AE3608" w:rsidP="00CE40E3">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8672F0">
      <w:rPr>
        <w:rFonts w:ascii="Museo Sans 300" w:eastAsia="Arial" w:hAnsi="Museo Sans 300" w:cs="Arial"/>
        <w:b/>
        <w:bCs/>
        <w:noProof/>
        <w:sz w:val="18"/>
        <w:szCs w:val="18"/>
        <w:lang w:eastAsia="es-SV"/>
      </w:rPr>
      <w:t>6</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8672F0">
      <w:rPr>
        <w:rFonts w:ascii="Museo Sans 300" w:eastAsia="Arial" w:hAnsi="Museo Sans 300" w:cs="Arial"/>
        <w:b/>
        <w:bCs/>
        <w:noProof/>
        <w:sz w:val="18"/>
        <w:szCs w:val="18"/>
        <w:lang w:eastAsia="es-SV"/>
      </w:rPr>
      <w:t>6</w:t>
    </w:r>
    <w:r w:rsidRPr="00C56C46">
      <w:rPr>
        <w:rFonts w:ascii="Museo Sans 300" w:eastAsia="Arial" w:hAnsi="Museo Sans 300" w:cs="Arial"/>
        <w:b/>
        <w:bCs/>
        <w:sz w:val="18"/>
        <w:szCs w:val="18"/>
        <w:lang w:eastAsia="es-SV"/>
      </w:rPr>
      <w:fldChar w:fldCharType="end"/>
    </w:r>
  </w:p>
  <w:p w:rsidR="000F1DCE" w:rsidRDefault="00AF6DB3">
    <w:pPr>
      <w:pStyle w:val="Piedepgina"/>
      <w:jc w:val="right"/>
    </w:pPr>
  </w:p>
  <w:p w:rsidR="000F1DCE" w:rsidRDefault="00AF6DB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19525B" w:rsidRDefault="00AE3608" w:rsidP="0019525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 xml:space="preserve">Sexta décima calle poniente y 37 Av. sur #2001, Col. Flor Blanca, San Salvador, El Salvador, C.A. </w:t>
    </w:r>
  </w:p>
  <w:p w:rsidR="00754E7A" w:rsidRPr="0019525B" w:rsidRDefault="00AE3608" w:rsidP="0019525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B3" w:rsidRDefault="00AF6DB3">
      <w:pPr>
        <w:spacing w:after="0" w:line="240" w:lineRule="auto"/>
      </w:pPr>
      <w:r>
        <w:separator/>
      </w:r>
    </w:p>
  </w:footnote>
  <w:footnote w:type="continuationSeparator" w:id="0">
    <w:p w:rsidR="00AF6DB3" w:rsidRDefault="00AF6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AE3608">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AE3608" w:rsidP="00754E7A">
    <w:pPr>
      <w:outlineLvl w:val="1"/>
    </w:pPr>
    <w:r w:rsidRPr="00000A37">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AE3608" w:rsidP="004F15AC">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113D"/>
    <w:multiLevelType w:val="hybridMultilevel"/>
    <w:tmpl w:val="A0B49AB2"/>
    <w:lvl w:ilvl="0" w:tplc="FF085B78">
      <w:start w:val="2"/>
      <w:numFmt w:val="bullet"/>
      <w:lvlText w:val="-"/>
      <w:lvlJc w:val="left"/>
      <w:pPr>
        <w:ind w:left="1069" w:hanging="360"/>
      </w:pPr>
      <w:rPr>
        <w:rFonts w:ascii="Museo Sans 300" w:eastAsia="Times New Roman"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40AC3E60"/>
    <w:multiLevelType w:val="hybridMultilevel"/>
    <w:tmpl w:val="75FA9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08"/>
    <w:rsid w:val="00590C50"/>
    <w:rsid w:val="008672F0"/>
    <w:rsid w:val="00AE3608"/>
    <w:rsid w:val="00AF6DB3"/>
    <w:rsid w:val="00B576DE"/>
    <w:rsid w:val="00BA37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E3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E3608"/>
  </w:style>
  <w:style w:type="paragraph" w:styleId="Piedepgina">
    <w:name w:val="footer"/>
    <w:basedOn w:val="Normal"/>
    <w:link w:val="PiedepginaCar"/>
    <w:uiPriority w:val="99"/>
    <w:semiHidden/>
    <w:unhideWhenUsed/>
    <w:rsid w:val="00AE3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E3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E3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E3608"/>
  </w:style>
  <w:style w:type="paragraph" w:styleId="Piedepgina">
    <w:name w:val="footer"/>
    <w:basedOn w:val="Normal"/>
    <w:link w:val="PiedepginaCar"/>
    <w:uiPriority w:val="99"/>
    <w:semiHidden/>
    <w:unhideWhenUsed/>
    <w:rsid w:val="00AE3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E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14852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2019-11-08T17:19:00Z</dcterms:created>
  <dcterms:modified xsi:type="dcterms:W3CDTF">2019-11-08T17:19:00Z</dcterms:modified>
</cp:coreProperties>
</file>