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F99" w:rsidRPr="00013F99" w:rsidRDefault="00013F99" w:rsidP="00013F99">
      <w:pPr>
        <w:spacing w:after="0" w:line="240" w:lineRule="auto"/>
        <w:jc w:val="both"/>
        <w:rPr>
          <w:rFonts w:ascii="Museo Sans 300" w:eastAsia="Calibri" w:hAnsi="Museo Sans 300" w:cs="Times New Roman"/>
          <w:b/>
          <w:bCs/>
          <w:lang w:val="es-ES_tradnl"/>
        </w:rPr>
      </w:pPr>
      <w:bookmarkStart w:id="0" w:name="_GoBack"/>
      <w:bookmarkEnd w:id="0"/>
    </w:p>
    <w:p w:rsidR="00013F99" w:rsidRPr="00013F99" w:rsidRDefault="00013F99" w:rsidP="00013F99">
      <w:pPr>
        <w:spacing w:after="0" w:line="240" w:lineRule="auto"/>
        <w:jc w:val="both"/>
        <w:rPr>
          <w:rFonts w:ascii="Museo Sans 300" w:eastAsia="Calibri" w:hAnsi="Museo Sans 300" w:cs="Times New Roman"/>
          <w:b/>
          <w:bCs/>
          <w:lang w:val="es-ES_tradnl"/>
        </w:rPr>
      </w:pPr>
    </w:p>
    <w:p w:rsidR="00013F99" w:rsidRPr="00013F99" w:rsidRDefault="00013F99" w:rsidP="00013F99">
      <w:pPr>
        <w:spacing w:after="0" w:line="0" w:lineRule="atLeast"/>
        <w:jc w:val="both"/>
        <w:rPr>
          <w:rFonts w:ascii="Museo Sans 300" w:eastAsia="Times New Roman" w:hAnsi="Museo Sans 300" w:cs="Times New Roman"/>
          <w:lang w:val="es-MX" w:eastAsia="es-ES"/>
        </w:rPr>
      </w:pPr>
      <w:r w:rsidRPr="00013F99">
        <w:rPr>
          <w:rFonts w:ascii="Museo Sans 900" w:eastAsia="Times New Roman" w:hAnsi="Museo Sans 900" w:cs="Times New Roman"/>
          <w:b/>
          <w:bCs/>
          <w:lang w:val="es-MX" w:eastAsia="es-ES"/>
        </w:rPr>
        <w:t xml:space="preserve">ACUERDO N.° E-392-2019-CAU. </w:t>
      </w:r>
      <w:r w:rsidRPr="00013F99">
        <w:rPr>
          <w:rFonts w:ascii="Museo Sans 300" w:eastAsia="Times New Roman" w:hAnsi="Museo Sans 300" w:cs="Times New Roman"/>
          <w:lang w:val="es-MX" w:eastAsia="es-ES"/>
        </w:rPr>
        <w:t>SUPERINTENDENCIA GENERAL DE ELECTRICIDAD Y TELECOMUNICACIONES. San Salvador, a las nueve horas con treinta minutos del día dieciocho de septiembre del año dos mil diecinueve.</w:t>
      </w:r>
    </w:p>
    <w:p w:rsidR="00013F99" w:rsidRPr="00013F99" w:rsidRDefault="00013F99" w:rsidP="00013F99">
      <w:pPr>
        <w:spacing w:after="0" w:line="0" w:lineRule="atLeast"/>
        <w:jc w:val="both"/>
        <w:rPr>
          <w:rFonts w:ascii="Museo Sans 300" w:eastAsia="Times New Roman" w:hAnsi="Museo Sans 300" w:cs="Times New Roman"/>
          <w:lang w:val="es-MX" w:eastAsia="es-ES"/>
        </w:rPr>
      </w:pPr>
    </w:p>
    <w:p w:rsidR="00013F99" w:rsidRPr="00013F99" w:rsidRDefault="00013F99" w:rsidP="00013F99">
      <w:pPr>
        <w:spacing w:after="0" w:line="0" w:lineRule="atLeast"/>
        <w:jc w:val="both"/>
        <w:rPr>
          <w:rFonts w:ascii="Museo Sans 300" w:eastAsia="Times New Roman" w:hAnsi="Museo Sans 300" w:cs="Times New Roman"/>
          <w:lang w:val="es-MX" w:eastAsia="es-ES"/>
        </w:rPr>
      </w:pPr>
      <w:r w:rsidRPr="00013F99">
        <w:rPr>
          <w:rFonts w:ascii="Museo Sans 300" w:eastAsia="Times New Roman" w:hAnsi="Museo Sans 300" w:cs="Times New Roman"/>
          <w:lang w:val="es-MX" w:eastAsia="es-ES"/>
        </w:rPr>
        <w:t>Esta Superintendencia CONSIDERANDO QUE:</w:t>
      </w:r>
    </w:p>
    <w:p w:rsidR="00013F99" w:rsidRPr="00013F99" w:rsidRDefault="00013F99" w:rsidP="00013F99">
      <w:pPr>
        <w:spacing w:after="0" w:line="0" w:lineRule="atLeast"/>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ab/>
      </w:r>
    </w:p>
    <w:p w:rsidR="00013F99" w:rsidRPr="00013F99" w:rsidRDefault="00013F99" w:rsidP="00013F99">
      <w:pPr>
        <w:numPr>
          <w:ilvl w:val="0"/>
          <w:numId w:val="2"/>
        </w:numPr>
        <w:spacing w:after="0" w:line="0" w:lineRule="atLeast"/>
        <w:ind w:left="567" w:hanging="425"/>
        <w:jc w:val="both"/>
        <w:rPr>
          <w:rFonts w:ascii="Museo Sans 300" w:eastAsia="Times New Roman" w:hAnsi="Museo Sans 300" w:cs="Times New Roman"/>
          <w:lang w:val="es-ES" w:eastAsia="es-ES"/>
        </w:rPr>
      </w:pPr>
      <w:r w:rsidRPr="00013F99">
        <w:rPr>
          <w:rFonts w:ascii="Museo Sans 300" w:eastAsia="Times New Roman" w:hAnsi="Museo Sans 300" w:cs="Times New Roman"/>
          <w:lang w:eastAsia="es-SV"/>
        </w:rPr>
        <w:t>Se encuentra en trámite el reclamo</w:t>
      </w:r>
      <w:r w:rsidRPr="00013F99">
        <w:rPr>
          <w:rFonts w:ascii="Museo Sans 300" w:eastAsia="Times New Roman" w:hAnsi="Museo Sans 300" w:cs="Times New Roman"/>
          <w:lang w:val="es-ES" w:eastAsia="es-SV"/>
        </w:rPr>
        <w:t xml:space="preserve"> </w:t>
      </w:r>
      <w:r w:rsidRPr="00013F99">
        <w:rPr>
          <w:rFonts w:ascii="Museo Sans 300" w:eastAsia="Times New Roman" w:hAnsi="Museo Sans 300" w:cs="Times New Roman"/>
          <w:lang w:val="es-MX" w:eastAsia="es-SV"/>
        </w:rPr>
        <w:t xml:space="preserve">interpuesto por la señora </w:t>
      </w:r>
      <w:r w:rsidR="00943869">
        <w:rPr>
          <w:rFonts w:ascii="Museo Sans 300" w:eastAsia="Times New Roman" w:hAnsi="Museo Sans 300" w:cs="Times New Roman"/>
          <w:lang w:eastAsia="es-SV"/>
        </w:rPr>
        <w:t>XXXXXXXXXXXX</w:t>
      </w:r>
      <w:r w:rsidRPr="00013F99">
        <w:rPr>
          <w:rFonts w:ascii="Museo Sans 300" w:eastAsia="Times New Roman" w:hAnsi="Museo Sans 300" w:cs="Times New Roman"/>
          <w:lang w:val="es-MX" w:eastAsia="es-SV"/>
        </w:rPr>
        <w:t xml:space="preserve"> en contra de la sociedad </w:t>
      </w:r>
      <w:r w:rsidR="00943869">
        <w:rPr>
          <w:rFonts w:ascii="Museo Sans 300" w:eastAsia="Times New Roman" w:hAnsi="Museo Sans 300" w:cs="Times New Roman"/>
          <w:lang w:eastAsia="es-SV"/>
        </w:rPr>
        <w:t>XXXXXXXXXXXX</w:t>
      </w:r>
      <w:r w:rsidRPr="00013F99">
        <w:rPr>
          <w:rFonts w:ascii="Museo Sans 300" w:eastAsia="Times New Roman" w:hAnsi="Museo Sans 300" w:cs="Times New Roman"/>
          <w:lang w:eastAsia="es-SV"/>
        </w:rPr>
        <w:t>, S.A. de C.V</w:t>
      </w:r>
      <w:r w:rsidRPr="00013F99">
        <w:rPr>
          <w:rFonts w:ascii="Museo Sans 300" w:eastAsia="Times New Roman" w:hAnsi="Museo Sans 300" w:cs="Times New Roman"/>
          <w:lang w:val="es-MX" w:eastAsia="es-SV"/>
        </w:rPr>
        <w:t>.,</w:t>
      </w:r>
      <w:r w:rsidRPr="00013F99">
        <w:rPr>
          <w:rFonts w:ascii="Museo Sans 300" w:eastAsia="Times New Roman" w:hAnsi="Museo Sans 300" w:cs="Times New Roman"/>
          <w:lang w:val="es-ES" w:eastAsia="es-SV"/>
        </w:rPr>
        <w:t xml:space="preserve"> por no estar conforme con sufragar los costos de la extensión de línea de distribución eléctrica requerida para conectar el servicio de energía eléctrica en el inmueble ubicado en la </w:t>
      </w:r>
      <w:r w:rsidR="00943869">
        <w:rPr>
          <w:rFonts w:ascii="Museo Sans 300" w:eastAsia="Times New Roman" w:hAnsi="Museo Sans 300" w:cs="Times New Roman"/>
          <w:lang w:val="es-ES" w:eastAsia="es-SV"/>
        </w:rPr>
        <w:t>XXXXXXXXXXX</w:t>
      </w:r>
      <w:r w:rsidRPr="00013F99">
        <w:rPr>
          <w:rFonts w:ascii="Museo Sans 300" w:eastAsia="Times New Roman" w:hAnsi="Museo Sans 300" w:cs="Times New Roman"/>
          <w:lang w:val="es-ES" w:eastAsia="es-SV"/>
        </w:rPr>
        <w:t>.</w:t>
      </w:r>
      <w:r w:rsidRPr="00013F99">
        <w:rPr>
          <w:rFonts w:ascii="Museo Sans 300" w:eastAsia="Times New Roman" w:hAnsi="Museo Sans 300" w:cs="Times New Roman"/>
          <w:lang w:eastAsia="es-SV"/>
        </w:rPr>
        <w:t xml:space="preserve"> </w:t>
      </w:r>
    </w:p>
    <w:p w:rsidR="00013F99" w:rsidRPr="00013F99" w:rsidRDefault="00013F99" w:rsidP="00013F99">
      <w:pPr>
        <w:spacing w:after="0" w:line="0" w:lineRule="atLeast"/>
        <w:ind w:left="567"/>
        <w:jc w:val="both"/>
        <w:rPr>
          <w:rFonts w:ascii="Museo Sans 300" w:eastAsia="Times New Roman" w:hAnsi="Museo Sans 300" w:cs="Times New Roman"/>
          <w:lang w:val="es-ES" w:eastAsia="es-ES"/>
        </w:rPr>
      </w:pPr>
    </w:p>
    <w:p w:rsidR="00013F99" w:rsidRPr="00013F99" w:rsidRDefault="00013F99" w:rsidP="00013F99">
      <w:pPr>
        <w:numPr>
          <w:ilvl w:val="0"/>
          <w:numId w:val="2"/>
        </w:numPr>
        <w:spacing w:after="0" w:line="0" w:lineRule="atLeast"/>
        <w:ind w:left="567" w:hanging="425"/>
        <w:jc w:val="both"/>
        <w:rPr>
          <w:rFonts w:ascii="Museo Sans 300" w:eastAsia="Times New Roman" w:hAnsi="Museo Sans 300" w:cs="Times New Roman"/>
          <w:lang w:val="es-ES_tradnl" w:eastAsia="es-ES"/>
        </w:rPr>
      </w:pPr>
      <w:r w:rsidRPr="00013F99">
        <w:rPr>
          <w:rFonts w:ascii="Museo Sans 300" w:eastAsia="Times New Roman" w:hAnsi="Museo Sans 300" w:cs="Times New Roman"/>
          <w:lang w:val="es-ES" w:eastAsia="es-ES"/>
        </w:rPr>
        <w:t xml:space="preserve">Mediante el acuerdo N.° E-235-2019-CAU, se requirió a la sociedad </w:t>
      </w:r>
      <w:r w:rsidR="00943869">
        <w:rPr>
          <w:rFonts w:ascii="Museo Sans 300" w:eastAsia="Times New Roman" w:hAnsi="Museo Sans 300" w:cs="Times New Roman"/>
          <w:lang w:val="es-ES" w:eastAsia="es-ES"/>
        </w:rPr>
        <w:t>XXXXXXXXXXXX</w:t>
      </w:r>
      <w:r w:rsidRPr="00013F99">
        <w:rPr>
          <w:rFonts w:ascii="Museo Sans 300" w:eastAsia="Times New Roman" w:hAnsi="Museo Sans 300" w:cs="Times New Roman"/>
          <w:lang w:val="es-ES" w:eastAsia="es-ES"/>
        </w:rPr>
        <w:t>, S.A. de C.V., que en el plazo de diez días hábiles contados a partir del siguiente a la notificación de dicho acuerdo, manifestara de forma escrita los fundamentos técnicos y jurídicos por los cuales no realizó la conexión del servicio de energía eléctrica solicitada por la</w:t>
      </w:r>
      <w:r w:rsidRPr="00013F99">
        <w:rPr>
          <w:rFonts w:ascii="Museo Sans 300" w:eastAsia="Times New Roman" w:hAnsi="Museo Sans 300" w:cs="Times New Roman"/>
          <w:lang w:val="es-MX" w:eastAsia="es-ES"/>
        </w:rPr>
        <w:t xml:space="preserve"> señora</w:t>
      </w:r>
      <w:r w:rsidRPr="00013F99">
        <w:rPr>
          <w:rFonts w:ascii="Museo Sans 300" w:eastAsia="Times New Roman" w:hAnsi="Museo Sans 300" w:cs="Times New Roman"/>
          <w:lang w:val="es-MX" w:eastAsia="es-SV"/>
        </w:rPr>
        <w:t xml:space="preserve"> </w:t>
      </w:r>
      <w:r w:rsidR="00943869">
        <w:rPr>
          <w:rFonts w:ascii="Museo Sans 300" w:eastAsia="Times New Roman" w:hAnsi="Museo Sans 300" w:cs="Times New Roman"/>
          <w:lang w:eastAsia="es-SV"/>
        </w:rPr>
        <w:t>XXXXXXXXXXXX</w:t>
      </w:r>
      <w:r w:rsidRPr="00013F99">
        <w:rPr>
          <w:rFonts w:ascii="Museo Sans 300" w:eastAsia="Times New Roman" w:hAnsi="Museo Sans 300" w:cs="Times New Roman"/>
          <w:lang w:eastAsia="es-SV"/>
        </w:rPr>
        <w:t>; debiendo anexar la documentación respectiva para respaldar sus argumentos</w:t>
      </w:r>
      <w:r w:rsidRPr="00013F99">
        <w:rPr>
          <w:rFonts w:ascii="Museo Sans 300" w:eastAsia="Times New Roman" w:hAnsi="Museo Sans 300" w:cs="Times New Roman"/>
          <w:lang w:val="es-ES" w:eastAsia="es-ES"/>
        </w:rPr>
        <w:t>.</w:t>
      </w:r>
      <w:r w:rsidRPr="00013F99">
        <w:rPr>
          <w:rFonts w:ascii="Museo Sans 300" w:eastAsia="Calibri" w:hAnsi="Museo Sans 300" w:cs="Times New Roman"/>
          <w:lang w:val="es-ES_tradnl"/>
        </w:rPr>
        <w:t xml:space="preserve"> </w:t>
      </w:r>
      <w:r w:rsidRPr="00013F99">
        <w:rPr>
          <w:rFonts w:ascii="Museo Sans 300" w:eastAsia="Times New Roman" w:hAnsi="Museo Sans 300" w:cs="Times New Roman"/>
          <w:lang w:val="es-ES_tradnl" w:eastAsia="es-ES"/>
        </w:rPr>
        <w:t xml:space="preserve"> </w:t>
      </w:r>
    </w:p>
    <w:p w:rsidR="00013F99" w:rsidRPr="00013F99" w:rsidRDefault="00013F99" w:rsidP="00013F99">
      <w:pPr>
        <w:spacing w:after="0" w:line="0" w:lineRule="atLeast"/>
        <w:ind w:left="567"/>
        <w:contextualSpacing/>
        <w:jc w:val="both"/>
        <w:rPr>
          <w:rFonts w:ascii="Museo Sans 300" w:eastAsia="Times New Roman" w:hAnsi="Museo Sans 300" w:cs="Times New Roman"/>
          <w:lang w:val="es-ES_tradnl" w:eastAsia="es-ES"/>
        </w:rPr>
      </w:pPr>
    </w:p>
    <w:p w:rsidR="00013F99" w:rsidRPr="00013F99" w:rsidRDefault="00013F99" w:rsidP="00013F99">
      <w:pPr>
        <w:numPr>
          <w:ilvl w:val="0"/>
          <w:numId w:val="2"/>
        </w:numPr>
        <w:spacing w:after="0" w:line="0" w:lineRule="atLeast"/>
        <w:ind w:left="567" w:hanging="425"/>
        <w:jc w:val="both"/>
        <w:rPr>
          <w:rFonts w:ascii="Museo Sans 300" w:eastAsia="Times New Roman" w:hAnsi="Museo Sans 300" w:cs="Times New Roman"/>
          <w:lang w:val="es-ES" w:eastAsia="es-ES"/>
        </w:rPr>
      </w:pPr>
      <w:r w:rsidRPr="00013F99">
        <w:rPr>
          <w:rFonts w:ascii="Museo Sans 300" w:eastAsia="Calibri" w:hAnsi="Museo Sans 300" w:cs="Times New Roman"/>
          <w:lang w:val="es-ES_tradnl"/>
        </w:rPr>
        <w:t xml:space="preserve">El </w:t>
      </w:r>
      <w:r w:rsidRPr="00013F99">
        <w:rPr>
          <w:rFonts w:ascii="Museo Sans 300" w:eastAsia="Calibri" w:hAnsi="Museo Sans 300" w:cs="Times New Roman"/>
        </w:rPr>
        <w:t xml:space="preserve">licenciado </w:t>
      </w:r>
      <w:r w:rsidR="00943869">
        <w:rPr>
          <w:rFonts w:ascii="Museo Sans 300" w:eastAsia="Calibri" w:hAnsi="Museo Sans 300" w:cs="Times New Roman"/>
        </w:rPr>
        <w:t>XXXXXXXXXXX</w:t>
      </w:r>
      <w:r w:rsidRPr="00013F99">
        <w:rPr>
          <w:rFonts w:ascii="Museo Sans 300" w:eastAsia="Calibri" w:hAnsi="Museo Sans 300" w:cs="Times New Roman"/>
        </w:rPr>
        <w:t xml:space="preserve">, actuando en su calidad de apoderado general judicial con cláusula especial de la sociedad </w:t>
      </w:r>
      <w:r w:rsidR="00943869">
        <w:rPr>
          <w:rFonts w:ascii="Museo Sans 300" w:eastAsia="Calibri" w:hAnsi="Museo Sans 300" w:cs="Times New Roman"/>
        </w:rPr>
        <w:t>XXXXXXXXXXXX</w:t>
      </w:r>
      <w:r w:rsidRPr="00013F99">
        <w:rPr>
          <w:rFonts w:ascii="Museo Sans 300" w:eastAsia="Calibri" w:hAnsi="Museo Sans 300" w:cs="Times New Roman"/>
          <w:lang w:eastAsia="es-SV"/>
        </w:rPr>
        <w:t>, S.A. de C.V.</w:t>
      </w:r>
      <w:r w:rsidRPr="00013F99">
        <w:rPr>
          <w:rFonts w:ascii="Museo Sans 300" w:eastAsia="Calibri" w:hAnsi="Museo Sans 300" w:cs="Times New Roman"/>
          <w:lang w:val="es-ES_tradnl"/>
        </w:rPr>
        <w:t xml:space="preserve">, expuso, entre otras cosas, que </w:t>
      </w:r>
      <w:r w:rsidRPr="00013F99">
        <w:rPr>
          <w:rFonts w:ascii="Museo Sans 300" w:eastAsia="Times New Roman" w:hAnsi="Museo Sans 300" w:cs="Times New Roman"/>
          <w:lang w:val="es-MX" w:eastAsia="es-ES"/>
        </w:rPr>
        <w:t>la señora</w:t>
      </w:r>
      <w:r w:rsidRPr="00013F99">
        <w:rPr>
          <w:rFonts w:ascii="Museo Sans 300" w:eastAsia="Times New Roman" w:hAnsi="Museo Sans 300" w:cs="Times New Roman"/>
          <w:lang w:val="es-MX" w:eastAsia="es-SV"/>
        </w:rPr>
        <w:t xml:space="preserve"> </w:t>
      </w:r>
      <w:r w:rsidR="00943869">
        <w:rPr>
          <w:rFonts w:ascii="Museo Sans 300" w:eastAsia="Times New Roman" w:hAnsi="Museo Sans 300" w:cs="Times New Roman"/>
          <w:lang w:eastAsia="es-SV"/>
        </w:rPr>
        <w:t>XXXXXXXXXXXX</w:t>
      </w:r>
      <w:r w:rsidRPr="00013F99">
        <w:rPr>
          <w:rFonts w:ascii="Museo Sans 300" w:eastAsia="Times New Roman" w:hAnsi="Museo Sans 300" w:cs="Times New Roman"/>
          <w:lang w:eastAsia="es-SV"/>
        </w:rPr>
        <w:t xml:space="preserve"> podría solicitar la contratación del servicio de energía eléctrica en cualquier agencia de la distribuidora, cuando realice la poda en un tramo de veintitrés metros aproximadamente para el paso de la línea eléctrica.</w:t>
      </w:r>
    </w:p>
    <w:p w:rsidR="00013F99" w:rsidRPr="00013F99" w:rsidRDefault="00013F99" w:rsidP="00013F99">
      <w:pPr>
        <w:spacing w:after="0" w:line="0" w:lineRule="atLeast"/>
        <w:ind w:left="567"/>
        <w:jc w:val="both"/>
        <w:rPr>
          <w:rFonts w:ascii="Museo Sans 300" w:eastAsia="Calibri" w:hAnsi="Museo Sans 300" w:cs="Times New Roman"/>
        </w:rPr>
      </w:pPr>
    </w:p>
    <w:p w:rsidR="00013F99" w:rsidRPr="00013F99" w:rsidRDefault="00013F99" w:rsidP="00013F99">
      <w:pPr>
        <w:numPr>
          <w:ilvl w:val="0"/>
          <w:numId w:val="2"/>
        </w:numPr>
        <w:spacing w:after="0" w:line="0" w:lineRule="atLeast"/>
        <w:ind w:left="567" w:hanging="425"/>
        <w:jc w:val="both"/>
        <w:rPr>
          <w:rFonts w:ascii="Museo Sans 300" w:eastAsia="Calibri" w:hAnsi="Museo Sans 300" w:cs="Times New Roman"/>
        </w:rPr>
      </w:pPr>
      <w:r w:rsidRPr="00013F99">
        <w:rPr>
          <w:rFonts w:ascii="Museo Sans 300" w:eastAsia="Times New Roman" w:hAnsi="Museo Sans 300" w:cs="Times New Roman"/>
          <w:lang w:val="es-ES" w:eastAsia="es-ES"/>
        </w:rPr>
        <w:t xml:space="preserve">Mediante el acuerdo N.° E-311-2019-CAU, se requirió a la señora </w:t>
      </w:r>
      <w:r w:rsidR="00943869">
        <w:rPr>
          <w:rFonts w:ascii="Museo Sans 300" w:eastAsia="Times New Roman" w:hAnsi="Museo Sans 300" w:cs="Times New Roman"/>
          <w:lang w:eastAsia="es-SV"/>
        </w:rPr>
        <w:t>XXXXXXXXXXXX</w:t>
      </w:r>
      <w:r w:rsidRPr="00013F99">
        <w:rPr>
          <w:rFonts w:ascii="Museo Sans 300" w:eastAsia="Times New Roman" w:hAnsi="Museo Sans 300" w:cs="Times New Roman"/>
          <w:lang w:eastAsia="es-SV"/>
        </w:rPr>
        <w:t xml:space="preserve"> que en el plazo de </w:t>
      </w:r>
      <w:r w:rsidRPr="00013F99">
        <w:rPr>
          <w:rFonts w:ascii="Museo Sans 300" w:eastAsia="Times New Roman" w:hAnsi="Museo Sans 300" w:cs="Times New Roman"/>
          <w:lang w:val="es-ES" w:eastAsia="es-ES"/>
        </w:rPr>
        <w:t xml:space="preserve">diez días hábiles contados a partir del siguiente a la notificación de dicho proveído, </w:t>
      </w:r>
      <w:r w:rsidRPr="00013F99">
        <w:rPr>
          <w:rFonts w:ascii="Museo Sans 300" w:eastAsia="Times New Roman" w:hAnsi="Museo Sans 300" w:cs="Times New Roman"/>
          <w:lang w:eastAsia="es-SV"/>
        </w:rPr>
        <w:t xml:space="preserve">se pronunciara respecto a propuesta presentada por </w:t>
      </w:r>
      <w:r w:rsidRPr="00013F99">
        <w:rPr>
          <w:rFonts w:ascii="Museo Sans 300" w:eastAsia="Calibri" w:hAnsi="Museo Sans 300" w:cs="Times New Roman"/>
        </w:rPr>
        <w:t xml:space="preserve">la sociedad </w:t>
      </w:r>
      <w:r w:rsidR="00943869">
        <w:rPr>
          <w:rFonts w:ascii="Museo Sans 300" w:eastAsia="Calibri" w:hAnsi="Museo Sans 300" w:cs="Times New Roman"/>
        </w:rPr>
        <w:t>XXXXXXXXXXXX</w:t>
      </w:r>
      <w:r w:rsidRPr="00013F99">
        <w:rPr>
          <w:rFonts w:ascii="Museo Sans 300" w:eastAsia="Calibri" w:hAnsi="Museo Sans 300" w:cs="Times New Roman"/>
          <w:lang w:eastAsia="es-SV"/>
        </w:rPr>
        <w:t>, S.A. de C.V.</w:t>
      </w:r>
    </w:p>
    <w:p w:rsidR="00013F99" w:rsidRPr="00013F99" w:rsidRDefault="00013F99" w:rsidP="00013F99">
      <w:pPr>
        <w:spacing w:after="0" w:line="240" w:lineRule="auto"/>
        <w:ind w:left="708"/>
        <w:rPr>
          <w:rFonts w:ascii="Museo Sans 300" w:eastAsia="Times New Roman" w:hAnsi="Museo Sans 300" w:cs="Times New Roman"/>
          <w:sz w:val="24"/>
          <w:szCs w:val="24"/>
          <w:lang w:val="es-ES" w:eastAsia="es-ES"/>
        </w:rPr>
      </w:pPr>
    </w:p>
    <w:p w:rsidR="00013F99" w:rsidRPr="00013F99" w:rsidRDefault="00013F99" w:rsidP="00013F99">
      <w:pPr>
        <w:numPr>
          <w:ilvl w:val="0"/>
          <w:numId w:val="2"/>
        </w:numPr>
        <w:spacing w:after="0" w:line="0" w:lineRule="atLeast"/>
        <w:ind w:left="567" w:hanging="425"/>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 xml:space="preserve">La señora </w:t>
      </w:r>
      <w:r w:rsidR="00943869">
        <w:rPr>
          <w:rFonts w:ascii="Museo Sans 300" w:eastAsia="Times New Roman" w:hAnsi="Museo Sans 300" w:cs="Times New Roman"/>
          <w:lang w:eastAsia="es-SV"/>
        </w:rPr>
        <w:t>XXXXXXXXXXXX</w:t>
      </w:r>
      <w:r w:rsidRPr="00013F99">
        <w:rPr>
          <w:rFonts w:ascii="Museo Sans 300" w:eastAsia="Times New Roman" w:hAnsi="Museo Sans 300" w:cs="Times New Roman"/>
          <w:lang w:eastAsia="es-SV"/>
        </w:rPr>
        <w:t xml:space="preserve"> por medio de correo electrónico manifestó que el día dos de septiembre del presente año, la </w:t>
      </w:r>
      <w:r w:rsidRPr="00013F99">
        <w:rPr>
          <w:rFonts w:ascii="Museo Sans 300" w:eastAsia="Calibri" w:hAnsi="Museo Sans 300" w:cs="Times New Roman"/>
        </w:rPr>
        <w:t xml:space="preserve">sociedad </w:t>
      </w:r>
      <w:r w:rsidR="00943869">
        <w:rPr>
          <w:rFonts w:ascii="Museo Sans 300" w:eastAsia="Calibri" w:hAnsi="Museo Sans 300" w:cs="Times New Roman"/>
        </w:rPr>
        <w:t>XXXXXXXXXXXX</w:t>
      </w:r>
      <w:r w:rsidRPr="00013F99">
        <w:rPr>
          <w:rFonts w:ascii="Museo Sans 300" w:eastAsia="Calibri" w:hAnsi="Museo Sans 300" w:cs="Times New Roman"/>
          <w:lang w:eastAsia="es-SV"/>
        </w:rPr>
        <w:t>, S.A. de C.V.</w:t>
      </w:r>
      <w:r w:rsidRPr="00013F99">
        <w:rPr>
          <w:rFonts w:ascii="Museo Sans 300" w:eastAsia="Times New Roman" w:hAnsi="Museo Sans 300" w:cs="Times New Roman"/>
          <w:lang w:eastAsia="es-SV"/>
        </w:rPr>
        <w:t xml:space="preserve">, realizó la conexión del suministro en el inmueble mencionado. </w:t>
      </w:r>
    </w:p>
    <w:p w:rsidR="00013F99" w:rsidRPr="00013F99" w:rsidRDefault="00013F99" w:rsidP="00013F99">
      <w:pPr>
        <w:spacing w:after="0" w:line="240" w:lineRule="auto"/>
        <w:ind w:left="708"/>
        <w:rPr>
          <w:rFonts w:ascii="Museo Sans 300" w:eastAsia="Times New Roman" w:hAnsi="Museo Sans 300" w:cs="Times New Roman"/>
          <w:sz w:val="24"/>
          <w:szCs w:val="24"/>
          <w:lang w:val="es-ES" w:eastAsia="es-ES"/>
        </w:rPr>
      </w:pPr>
    </w:p>
    <w:p w:rsidR="00013F99" w:rsidRPr="00013F99" w:rsidRDefault="00013F99" w:rsidP="00013F99">
      <w:pPr>
        <w:spacing w:after="0" w:line="0" w:lineRule="atLeast"/>
        <w:ind w:left="567"/>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 xml:space="preserve">Asimismo, la usuaria adjunto imagen de la factura de consumidor final 10782388 emitida por la empresa distribuidora el veintinueve de agosto de este año, que consigna el pago de CINCUENTA Y SIETE 27/100 DÓLARES DE LOS ESTADOS UNIDOS DE AMÉRICA (USD 57.27) en concepto de una conexión en baja tensión aérea en pequeña demanda para el suministro de energía eléctrica identificado con el NC </w:t>
      </w:r>
      <w:r w:rsidR="00943869">
        <w:rPr>
          <w:rFonts w:ascii="Museo Sans 300" w:eastAsia="Times New Roman" w:hAnsi="Museo Sans 300" w:cs="Times New Roman"/>
          <w:lang w:val="es-ES" w:eastAsia="es-ES"/>
        </w:rPr>
        <w:t>XXXXXXXXXXXX</w:t>
      </w:r>
      <w:r w:rsidRPr="00013F99">
        <w:rPr>
          <w:rFonts w:ascii="Museo Sans 300" w:eastAsia="Times New Roman" w:hAnsi="Museo Sans 300" w:cs="Times New Roman"/>
          <w:lang w:val="es-ES" w:eastAsia="es-ES"/>
        </w:rPr>
        <w:t>.</w:t>
      </w:r>
    </w:p>
    <w:p w:rsidR="00013F99" w:rsidRPr="00013F99" w:rsidRDefault="00013F99" w:rsidP="00013F99">
      <w:pPr>
        <w:spacing w:after="0" w:line="240" w:lineRule="auto"/>
        <w:ind w:left="708"/>
        <w:rPr>
          <w:rFonts w:ascii="Museo Sans 300" w:eastAsia="Times New Roman" w:hAnsi="Museo Sans 300" w:cs="Times New Roman"/>
          <w:sz w:val="24"/>
          <w:szCs w:val="24"/>
          <w:lang w:val="es-ES" w:eastAsia="es-ES"/>
        </w:rPr>
      </w:pPr>
    </w:p>
    <w:p w:rsidR="00013F99" w:rsidRPr="00013F99" w:rsidRDefault="00013F99" w:rsidP="00013F99">
      <w:pPr>
        <w:numPr>
          <w:ilvl w:val="0"/>
          <w:numId w:val="2"/>
        </w:numPr>
        <w:spacing w:after="0" w:line="0" w:lineRule="atLeast"/>
        <w:ind w:left="567" w:hanging="425"/>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En atención a lo expuesto, esta Superintendencia realiza las valoraciones siguientes:</w:t>
      </w:r>
    </w:p>
    <w:p w:rsidR="00013F99" w:rsidRPr="00013F99" w:rsidRDefault="00013F99" w:rsidP="00013F99">
      <w:pPr>
        <w:tabs>
          <w:tab w:val="left" w:pos="567"/>
        </w:tabs>
        <w:spacing w:after="0" w:line="240" w:lineRule="auto"/>
        <w:ind w:left="567"/>
        <w:contextualSpacing/>
        <w:jc w:val="both"/>
        <w:rPr>
          <w:rFonts w:ascii="Times New Roman" w:eastAsia="Calibri" w:hAnsi="Times New Roman" w:cs="Times New Roman"/>
          <w:lang w:val="es-ES_tradnl"/>
        </w:rPr>
      </w:pPr>
    </w:p>
    <w:p w:rsidR="00013F99" w:rsidRPr="00013F99" w:rsidRDefault="00013F99" w:rsidP="00013F99">
      <w:pPr>
        <w:numPr>
          <w:ilvl w:val="0"/>
          <w:numId w:val="3"/>
        </w:numPr>
        <w:spacing w:after="0" w:line="0" w:lineRule="atLeast"/>
        <w:ind w:left="993" w:hanging="426"/>
        <w:contextualSpacing/>
        <w:jc w:val="center"/>
        <w:rPr>
          <w:rFonts w:ascii="Museo Sans 500" w:eastAsia="Times New Roman" w:hAnsi="Museo Sans 500" w:cs="Times New Roman"/>
          <w:b/>
          <w:lang w:val="es-ES" w:eastAsia="es-ES"/>
        </w:rPr>
      </w:pPr>
      <w:r w:rsidRPr="00013F99">
        <w:rPr>
          <w:rFonts w:ascii="Museo Sans 500" w:eastAsia="Times New Roman" w:hAnsi="Museo Sans 500" w:cs="Times New Roman"/>
          <w:b/>
          <w:lang w:val="es-ES" w:eastAsia="es-ES"/>
        </w:rPr>
        <w:t>MARCO NORMATIVO</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p>
    <w:p w:rsidR="00013F99" w:rsidRPr="00013F99" w:rsidRDefault="00013F99" w:rsidP="00013F99">
      <w:pPr>
        <w:spacing w:after="0" w:line="0" w:lineRule="atLeast"/>
        <w:ind w:firstLine="567"/>
        <w:contextualSpacing/>
        <w:rPr>
          <w:rFonts w:ascii="Museo Sans 500" w:eastAsia="Times New Roman" w:hAnsi="Museo Sans 500" w:cs="Times New Roman"/>
          <w:b/>
          <w:lang w:val="es-ES" w:eastAsia="es-ES"/>
        </w:rPr>
      </w:pPr>
      <w:r w:rsidRPr="00013F99">
        <w:rPr>
          <w:rFonts w:ascii="Museo Sans 500" w:eastAsia="Times New Roman" w:hAnsi="Museo Sans 500" w:cs="Times New Roman"/>
          <w:b/>
          <w:lang w:val="es-ES" w:eastAsia="es-ES"/>
        </w:rPr>
        <w:t>1.A. Ley de Creación de la SIGET.</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 xml:space="preserve">El artículo 4 de la Ley de Creación de la SIGET, determina que esta Superintendencia es la entidad competente para aplicar las normas contenidas en tratados internacionales sobre electricidad y </w:t>
      </w:r>
      <w:r w:rsidRPr="00013F99">
        <w:rPr>
          <w:rFonts w:ascii="Museo Sans 300" w:eastAsia="Times New Roman" w:hAnsi="Museo Sans 300" w:cs="Times New Roman"/>
          <w:lang w:val="es-ES" w:eastAsia="es-ES"/>
        </w:rPr>
        <w:lastRenderedPageBreak/>
        <w:t>telecomunicaciones vigentes en El Salvador; en las leyes que rigen los sectores de Electricidad y de Telecomunicaciones; y sus reglamentos; así como para conocer del incumplimiento de las mismas.</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El artículo 5 letras a), c), d) y h) de la misma Ley, establece entre las atribuciones de la SIGET: Aplicar los tratados, leyes y reglamentos que regulen las actividades de los sectores de electricidad y de telecomunicaciones; Dictar normas y estándares técnicos aplicables a los sectores de electricidad y telecomunicaciones; Dirimir conflictos en el sector de electricidad, de conformidad a lo dispuesto en las normas aplicables; y, Requerir y obtener de las personas que realicen actividades en los sectores de electricidad y de telecomunicaciones, la información necesaria para el cumplimiento de sus objetivos.</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p>
    <w:p w:rsidR="00013F99" w:rsidRPr="00013F99" w:rsidRDefault="00013F99" w:rsidP="00013F99">
      <w:pPr>
        <w:spacing w:after="0" w:line="0" w:lineRule="atLeast"/>
        <w:ind w:firstLine="567"/>
        <w:contextualSpacing/>
        <w:rPr>
          <w:rFonts w:ascii="Museo Sans 500" w:eastAsia="Times New Roman" w:hAnsi="Museo Sans 500" w:cs="Times New Roman"/>
          <w:b/>
          <w:lang w:val="es-ES" w:eastAsia="es-ES"/>
        </w:rPr>
      </w:pPr>
      <w:r w:rsidRPr="00013F99">
        <w:rPr>
          <w:rFonts w:ascii="Museo Sans 500" w:eastAsia="Times New Roman" w:hAnsi="Museo Sans 500" w:cs="Times New Roman"/>
          <w:b/>
          <w:lang w:val="es-ES" w:eastAsia="es-ES"/>
        </w:rPr>
        <w:t>1.B. Ley General de Electricidad</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 xml:space="preserve">El artículo 1 de la Ley General de Electricidad establece que dicha Ley norma las actividades de generación, transmisión, distribución y comercialización de energía eléctrica. </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El artículo 2 letras d) y e) de la misma Ley, dispone que la aplicación de los preceptos contenidos en la mencionada Ley debe tomar en cuenta entre otros objetivos, fomento del acceso al suministro de energía eléctrica para todos los sectores del país y la protección de los derechos de los usuarios.</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El artículo 9 dispone, entre otras cosas, que los cargos por conexión y reconexión de usuarios finales a redes de distribución y para la conexión de nuevas redes de distribución, estarán sujetos a la regulación y aprobación por parte de la SIGET. Determinado que todos aquellos costos asociados a la conexión o reconexión de usuarios finales a redes de distribución, tales como factibilidad del servicio, inspección, elaboración de presupuesto, aprobación de planos, entre otros, serán regulados y aprobados por la SIGET.</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El artículo 77 A, establece que las distribuidoras cobrarán cargos por conexión y reconexión del suministro de energía eléctrica, de conformidad al método establecido por la SIGET mediante acuerdo.</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El artículo 77 B, dispone que las distribuidoras de energía eléctrica, y los usuarios que requieren una conexión y/o reconexión del suministro de energía eléctrica, deberán cumplir con lo establecido en la Ley, su reglamento y con los requerimientos de las normas emitidas por la SIGET.</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El artículo 77 C literalmente determina lo siguiente:</w:t>
      </w:r>
    </w:p>
    <w:p w:rsidR="00013F99" w:rsidRPr="00013F99" w:rsidRDefault="00013F99" w:rsidP="00013F99">
      <w:pPr>
        <w:spacing w:after="0" w:line="240" w:lineRule="auto"/>
        <w:ind w:left="1134" w:right="567"/>
        <w:jc w:val="both"/>
        <w:rPr>
          <w:rFonts w:ascii="Museo 300" w:eastAsia="Arial" w:hAnsi="Museo 300" w:cs="Arial"/>
          <w:b/>
          <w:sz w:val="18"/>
          <w:szCs w:val="18"/>
          <w:lang w:eastAsia="es-SV"/>
        </w:rPr>
      </w:pPr>
    </w:p>
    <w:p w:rsidR="00013F99" w:rsidRPr="00013F99" w:rsidRDefault="00013F99" w:rsidP="00013F99">
      <w:pPr>
        <w:spacing w:after="0" w:line="240" w:lineRule="auto"/>
        <w:ind w:left="1134" w:right="567"/>
        <w:jc w:val="both"/>
        <w:rPr>
          <w:rFonts w:ascii="Museo 300" w:eastAsia="Arial" w:hAnsi="Museo 300" w:cs="Arial"/>
          <w:sz w:val="23"/>
          <w:szCs w:val="23"/>
          <w:lang w:eastAsia="es-SV"/>
        </w:rPr>
      </w:pPr>
      <w:r w:rsidRPr="00013F99">
        <w:rPr>
          <w:rFonts w:ascii="Museo 300" w:eastAsia="Arial" w:hAnsi="Museo 300" w:cs="Arial"/>
          <w:sz w:val="23"/>
          <w:szCs w:val="23"/>
          <w:lang w:eastAsia="es-SV"/>
        </w:rPr>
        <w:t xml:space="preserve">[…] </w:t>
      </w:r>
    </w:p>
    <w:p w:rsidR="00013F99" w:rsidRPr="00013F99" w:rsidRDefault="00013F99" w:rsidP="00013F99">
      <w:pPr>
        <w:spacing w:after="0" w:line="240" w:lineRule="auto"/>
        <w:ind w:left="1134" w:right="567"/>
        <w:jc w:val="both"/>
        <w:rPr>
          <w:rFonts w:ascii="Museo 300" w:eastAsia="Arial" w:hAnsi="Museo 300" w:cs="Arial"/>
          <w:sz w:val="18"/>
          <w:szCs w:val="18"/>
          <w:lang w:eastAsia="es-SV"/>
        </w:rPr>
      </w:pPr>
    </w:p>
    <w:p w:rsidR="00013F99" w:rsidRPr="00013F99" w:rsidRDefault="00013F99" w:rsidP="00013F99">
      <w:pPr>
        <w:spacing w:after="0" w:line="240" w:lineRule="auto"/>
        <w:ind w:left="1134" w:right="567"/>
        <w:jc w:val="both"/>
        <w:rPr>
          <w:rFonts w:ascii="Museo 300" w:eastAsia="Arial" w:hAnsi="Museo 300" w:cs="Arial"/>
          <w:sz w:val="18"/>
          <w:szCs w:val="18"/>
          <w:lang w:eastAsia="es-SV"/>
        </w:rPr>
      </w:pPr>
      <w:r w:rsidRPr="00013F99">
        <w:rPr>
          <w:rFonts w:ascii="Museo 300" w:eastAsia="Arial" w:hAnsi="Museo 300" w:cs="Arial"/>
          <w:sz w:val="18"/>
          <w:szCs w:val="18"/>
          <w:lang w:eastAsia="es-SV"/>
        </w:rPr>
        <w:t xml:space="preserve">El distribuidor estará obligado a expandir sus líneas de distribución hasta una distancia máxima de cien metros a fin de proporcionar el servicio eléctrico a los usuarios que lo soliciten. La extensión de las líneas de distribución hasta esta distancia será a costo del distribuidor, y solamente la conexión del servicio, es decir, la acometida y medidor, será a costo de los usuarios finales. En los casos donde el punto de entrega esté ubicado a una distancia mayor que cien metros de las instalaciones del distribuidor, correrá por cuenta del usuario final la construcción de la infraestructura que exceda a dicha distancia y que sea necesaria para que esté </w:t>
      </w:r>
      <w:proofErr w:type="spellStart"/>
      <w:r w:rsidRPr="00013F99">
        <w:rPr>
          <w:rFonts w:ascii="Museo 300" w:eastAsia="Arial" w:hAnsi="Museo 300" w:cs="Arial"/>
          <w:sz w:val="18"/>
          <w:szCs w:val="18"/>
          <w:lang w:eastAsia="es-SV"/>
        </w:rPr>
        <w:t>accese</w:t>
      </w:r>
      <w:proofErr w:type="spellEnd"/>
      <w:r w:rsidRPr="00013F99">
        <w:rPr>
          <w:rFonts w:ascii="Museo 300" w:eastAsia="Arial" w:hAnsi="Museo 300" w:cs="Arial"/>
          <w:sz w:val="18"/>
          <w:szCs w:val="18"/>
          <w:lang w:eastAsia="es-SV"/>
        </w:rPr>
        <w:t xml:space="preserve"> al servicio de energía eléctrica. […]</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p>
    <w:p w:rsidR="00013F99" w:rsidRPr="00013F99" w:rsidRDefault="00013F99" w:rsidP="00013F99">
      <w:pPr>
        <w:numPr>
          <w:ilvl w:val="0"/>
          <w:numId w:val="3"/>
        </w:numPr>
        <w:spacing w:after="0" w:line="0" w:lineRule="atLeast"/>
        <w:ind w:left="993" w:hanging="426"/>
        <w:contextualSpacing/>
        <w:jc w:val="center"/>
        <w:rPr>
          <w:rFonts w:ascii="Museo Sans 500" w:eastAsia="Times New Roman" w:hAnsi="Museo Sans 500" w:cs="Times New Roman"/>
          <w:b/>
          <w:lang w:val="es-ES" w:eastAsia="es-ES"/>
        </w:rPr>
      </w:pPr>
      <w:r w:rsidRPr="00013F99">
        <w:rPr>
          <w:rFonts w:ascii="Museo Sans 500" w:eastAsia="Times New Roman" w:hAnsi="Museo Sans 500" w:cs="Times New Roman"/>
          <w:b/>
          <w:lang w:val="es-ES" w:eastAsia="es-ES"/>
        </w:rPr>
        <w:t>CASO CONCRETO</w:t>
      </w:r>
    </w:p>
    <w:p w:rsidR="00013F99" w:rsidRPr="00013F99" w:rsidRDefault="00013F99" w:rsidP="00013F99">
      <w:pPr>
        <w:spacing w:after="0" w:line="0" w:lineRule="atLeast"/>
        <w:ind w:left="993"/>
        <w:contextualSpacing/>
        <w:rPr>
          <w:rFonts w:ascii="Museo Sans 500" w:eastAsia="Times New Roman" w:hAnsi="Museo Sans 500" w:cs="Times New Roman"/>
          <w:b/>
          <w:lang w:val="es-ES" w:eastAsia="es-ES"/>
        </w:rPr>
      </w:pP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 xml:space="preserve">Con lo base en lo descrito, esta Institución advierte que la señora </w:t>
      </w:r>
      <w:r w:rsidR="00943869">
        <w:rPr>
          <w:rFonts w:ascii="Museo Sans 300" w:eastAsia="Times New Roman" w:hAnsi="Museo Sans 300" w:cs="Times New Roman"/>
          <w:lang w:eastAsia="es-SV"/>
        </w:rPr>
        <w:t>XXXXXXXXXXXX</w:t>
      </w:r>
      <w:r w:rsidRPr="00013F99">
        <w:rPr>
          <w:rFonts w:ascii="Museo Sans 300" w:eastAsia="Times New Roman" w:hAnsi="Museo Sans 300" w:cs="Times New Roman"/>
          <w:lang w:val="es-ES" w:eastAsia="es-ES"/>
        </w:rPr>
        <w:t xml:space="preserve">, suscribió el contrato para el servicio de energía eléctrica y que el día dos de septiembre del presente año, la </w:t>
      </w:r>
      <w:r w:rsidRPr="00013F99">
        <w:rPr>
          <w:rFonts w:ascii="Museo Sans 300" w:eastAsia="Times New Roman" w:hAnsi="Museo Sans 300" w:cs="Times New Roman"/>
          <w:lang w:val="es-ES" w:eastAsia="es-ES"/>
        </w:rPr>
        <w:lastRenderedPageBreak/>
        <w:t xml:space="preserve">sociedad </w:t>
      </w:r>
      <w:r w:rsidR="00943869">
        <w:rPr>
          <w:rFonts w:ascii="Museo Sans 300" w:eastAsia="Times New Roman" w:hAnsi="Museo Sans 300" w:cs="Times New Roman"/>
          <w:lang w:val="es-ES" w:eastAsia="es-ES"/>
        </w:rPr>
        <w:t>XXXXXXXXXXXX</w:t>
      </w:r>
      <w:r w:rsidRPr="00013F99">
        <w:rPr>
          <w:rFonts w:ascii="Museo Sans 300" w:eastAsia="Times New Roman" w:hAnsi="Museo Sans 300" w:cs="Times New Roman"/>
          <w:lang w:val="es-ES" w:eastAsia="es-ES"/>
        </w:rPr>
        <w:t xml:space="preserve">, S.A. de C.V. realizó la conexión del servicio identificado con el NC </w:t>
      </w:r>
      <w:r w:rsidR="00943869">
        <w:rPr>
          <w:rFonts w:ascii="Museo Sans 300" w:eastAsia="Times New Roman" w:hAnsi="Museo Sans 300" w:cs="Times New Roman"/>
          <w:lang w:val="es-ES" w:eastAsia="es-ES"/>
        </w:rPr>
        <w:t>XXXXXXXXXXXX</w:t>
      </w:r>
      <w:r w:rsidRPr="00013F99">
        <w:rPr>
          <w:rFonts w:ascii="Museo Sans 300" w:eastAsia="Times New Roman" w:hAnsi="Museo Sans 300" w:cs="Times New Roman"/>
          <w:lang w:val="es-ES" w:eastAsia="es-SV"/>
        </w:rPr>
        <w:t xml:space="preserve"> </w:t>
      </w:r>
      <w:r w:rsidRPr="00013F99">
        <w:rPr>
          <w:rFonts w:ascii="Museo Sans 300" w:eastAsia="Times New Roman" w:hAnsi="Museo Sans 300" w:cs="Times New Roman"/>
          <w:lang w:val="es-ES" w:eastAsia="es-ES"/>
        </w:rPr>
        <w:t xml:space="preserve">en el inmueble ubicado en la </w:t>
      </w:r>
      <w:r w:rsidR="00943869">
        <w:rPr>
          <w:rFonts w:ascii="Museo Sans 300" w:eastAsia="Times New Roman" w:hAnsi="Museo Sans 300" w:cs="Times New Roman"/>
          <w:lang w:val="es-ES" w:eastAsia="es-ES"/>
        </w:rPr>
        <w:t>XXXXXXX</w:t>
      </w:r>
      <w:r w:rsidRPr="00013F99">
        <w:rPr>
          <w:rFonts w:ascii="Museo Sans 300" w:eastAsia="Times New Roman" w:hAnsi="Museo Sans 300" w:cs="Times New Roman"/>
          <w:lang w:val="es-ES" w:eastAsia="es-ES"/>
        </w:rPr>
        <w:t xml:space="preserve">. </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Con fundamento en lo expuesto, esta Superintendencia ha constatado que el origen de la controversia ha desaparecido, por lo que es procedente tener por concluido el presente procedimiento administrativo iniciado en el acuerdo N.° E-235-2019-CAU.</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 xml:space="preserve"> </w:t>
      </w:r>
    </w:p>
    <w:p w:rsidR="00013F99" w:rsidRPr="00013F99" w:rsidRDefault="00013F99" w:rsidP="00013F99">
      <w:pPr>
        <w:numPr>
          <w:ilvl w:val="0"/>
          <w:numId w:val="3"/>
        </w:numPr>
        <w:spacing w:after="0" w:line="0" w:lineRule="atLeast"/>
        <w:ind w:left="993" w:hanging="426"/>
        <w:contextualSpacing/>
        <w:jc w:val="center"/>
        <w:rPr>
          <w:rFonts w:ascii="Museo Sans 500" w:eastAsia="Times New Roman" w:hAnsi="Museo Sans 500" w:cs="Times New Roman"/>
          <w:b/>
          <w:lang w:val="es-ES" w:eastAsia="es-ES"/>
        </w:rPr>
      </w:pPr>
      <w:r w:rsidRPr="00013F99">
        <w:rPr>
          <w:rFonts w:ascii="Museo Sans 500" w:eastAsia="Times New Roman" w:hAnsi="Museo Sans 500" w:cs="Times New Roman"/>
          <w:b/>
          <w:lang w:val="es-ES" w:eastAsia="es-ES"/>
        </w:rPr>
        <w:t>RECURSOS</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r w:rsidRPr="00013F99">
        <w:rPr>
          <w:rFonts w:ascii="Museo Sans 300" w:eastAsia="Times New Roman" w:hAnsi="Museo Sans 300" w:cs="Times New Roman"/>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013F99" w:rsidRPr="00013F99" w:rsidRDefault="00013F99" w:rsidP="00013F99">
      <w:pPr>
        <w:spacing w:after="0" w:line="240" w:lineRule="auto"/>
        <w:ind w:left="567"/>
        <w:contextualSpacing/>
        <w:jc w:val="both"/>
        <w:rPr>
          <w:rFonts w:ascii="Museo Sans 300" w:eastAsia="Times New Roman" w:hAnsi="Museo Sans 300" w:cs="Times New Roman"/>
          <w:lang w:val="es-ES" w:eastAsia="es-ES"/>
        </w:rPr>
      </w:pPr>
    </w:p>
    <w:p w:rsidR="00013F99" w:rsidRPr="00013F99" w:rsidRDefault="00013F99" w:rsidP="00013F99">
      <w:pPr>
        <w:spacing w:after="0" w:line="240" w:lineRule="auto"/>
        <w:contextualSpacing/>
        <w:jc w:val="both"/>
        <w:rPr>
          <w:rFonts w:ascii="Museo Sans 300" w:eastAsia="Times New Roman" w:hAnsi="Museo Sans 300" w:cs="Times New Roman"/>
          <w:lang w:val="es-ES" w:eastAsia="es-ES"/>
        </w:rPr>
      </w:pPr>
      <w:r w:rsidRPr="00013F99">
        <w:rPr>
          <w:rFonts w:ascii="Museo Sans 300" w:eastAsia="Times New Roman" w:hAnsi="Museo Sans 300" w:cs="Times New Roman"/>
          <w:b/>
          <w:lang w:val="es-ES" w:eastAsia="es-ES"/>
        </w:rPr>
        <w:t>POR TANTO,</w:t>
      </w:r>
      <w:r w:rsidRPr="00013F99">
        <w:rPr>
          <w:rFonts w:ascii="Museo Sans 300" w:eastAsia="Times New Roman" w:hAnsi="Museo Sans 300" w:cs="Times New Roman"/>
          <w:lang w:val="es-ES" w:eastAsia="es-ES"/>
        </w:rPr>
        <w:t xml:space="preserve"> con fundamento en la Ley de Creación de la SIGET, la Ley General de Electricidad y la Ley de Procedimientos Administrativos, esta Superintendencia </w:t>
      </w:r>
      <w:r w:rsidRPr="00013F99">
        <w:rPr>
          <w:rFonts w:ascii="Museo Sans 300" w:eastAsia="Times New Roman" w:hAnsi="Museo Sans 300" w:cs="Times New Roman"/>
          <w:b/>
          <w:lang w:val="es-ES" w:eastAsia="es-ES"/>
        </w:rPr>
        <w:t>ACUERDA:</w:t>
      </w:r>
    </w:p>
    <w:p w:rsidR="00013F99" w:rsidRPr="00013F99" w:rsidRDefault="00013F99" w:rsidP="00013F99">
      <w:pPr>
        <w:tabs>
          <w:tab w:val="left" w:pos="567"/>
        </w:tabs>
        <w:spacing w:after="0" w:line="0" w:lineRule="atLeast"/>
        <w:contextualSpacing/>
        <w:jc w:val="both"/>
        <w:rPr>
          <w:rFonts w:ascii="Museo Sans 300" w:eastAsia="Calibri" w:hAnsi="Museo Sans 300" w:cs="Times New Roman"/>
        </w:rPr>
      </w:pPr>
    </w:p>
    <w:p w:rsidR="00013F99" w:rsidRPr="00013F99" w:rsidRDefault="00013F99" w:rsidP="00013F99">
      <w:pPr>
        <w:numPr>
          <w:ilvl w:val="0"/>
          <w:numId w:val="1"/>
        </w:numPr>
        <w:spacing w:after="0" w:line="0" w:lineRule="atLeast"/>
        <w:ind w:left="426" w:hanging="426"/>
        <w:contextualSpacing/>
        <w:jc w:val="both"/>
        <w:rPr>
          <w:rFonts w:ascii="Museo Sans 300" w:eastAsia="Calibri" w:hAnsi="Museo Sans 300" w:cs="Times New Roman"/>
          <w:lang w:val="es-ES_tradnl"/>
        </w:rPr>
      </w:pPr>
      <w:r w:rsidRPr="00013F99">
        <w:rPr>
          <w:rFonts w:ascii="Museo Sans 300" w:eastAsia="Times New Roman" w:hAnsi="Museo Sans 300" w:cs="Times New Roman"/>
          <w:lang w:val="es-ES" w:eastAsia="es-ES"/>
        </w:rPr>
        <w:t>Tener por concluido el procedimiento administrativo iniciado en el acuerdo N.° E-235-2019-CAU, por haberse verificado</w:t>
      </w:r>
      <w:r w:rsidRPr="00013F99">
        <w:rPr>
          <w:rFonts w:ascii="Museo Sans 300" w:eastAsia="Calibri" w:hAnsi="Museo Sans 300" w:cs="Times New Roman"/>
          <w:lang w:val="es-ES_tradnl"/>
        </w:rPr>
        <w:t xml:space="preserve"> que</w:t>
      </w:r>
      <w:r w:rsidRPr="00013F99">
        <w:rPr>
          <w:rFonts w:ascii="Museo Sans 300" w:eastAsia="Calibri" w:hAnsi="Museo Sans 300" w:cs="Times New Roman"/>
          <w:lang w:val="es-ES"/>
        </w:rPr>
        <w:t xml:space="preserve"> la</w:t>
      </w:r>
      <w:r w:rsidRPr="00013F99">
        <w:rPr>
          <w:rFonts w:ascii="Museo Sans 300" w:eastAsia="Calibri" w:hAnsi="Museo Sans 300" w:cs="Times New Roman"/>
          <w:lang w:val="es-ES_tradnl"/>
        </w:rPr>
        <w:t xml:space="preserve"> sociedad </w:t>
      </w:r>
      <w:r w:rsidR="00943869">
        <w:rPr>
          <w:rFonts w:ascii="Museo Sans 300" w:eastAsia="Calibri" w:hAnsi="Museo Sans 300" w:cs="Times New Roman"/>
          <w:lang w:val="es-ES_tradnl"/>
        </w:rPr>
        <w:t>XXXXXXXXXXXX</w:t>
      </w:r>
      <w:r w:rsidRPr="00013F99">
        <w:rPr>
          <w:rFonts w:ascii="Museo Sans 300" w:eastAsia="Calibri" w:hAnsi="Museo Sans 300" w:cs="Times New Roman"/>
          <w:lang w:val="es-ES_tradnl"/>
        </w:rPr>
        <w:t xml:space="preserve">, S.A. de C.V. conectó el servicio de energía eléctrica solicitado por </w:t>
      </w:r>
      <w:r w:rsidRPr="00013F99">
        <w:rPr>
          <w:rFonts w:ascii="Museo Sans 300" w:eastAsia="Calibri" w:hAnsi="Museo Sans 300" w:cs="Times New Roman"/>
          <w:lang w:val="es-ES"/>
        </w:rPr>
        <w:t xml:space="preserve">la señora </w:t>
      </w:r>
      <w:r w:rsidR="00943869">
        <w:rPr>
          <w:rFonts w:ascii="Museo Sans 300" w:eastAsia="Calibri" w:hAnsi="Museo Sans 300" w:cs="Times New Roman"/>
        </w:rPr>
        <w:t>XXXXXXXXXXXX</w:t>
      </w:r>
      <w:r w:rsidRPr="00013F99">
        <w:rPr>
          <w:rFonts w:ascii="Museo Sans 300" w:eastAsia="Calibri" w:hAnsi="Museo Sans 300" w:cs="Times New Roman"/>
          <w:lang w:val="es-ES"/>
        </w:rPr>
        <w:t xml:space="preserve"> </w:t>
      </w:r>
      <w:r w:rsidRPr="00013F99">
        <w:rPr>
          <w:rFonts w:ascii="Museo Sans 300" w:eastAsia="Calibri" w:hAnsi="Museo Sans 300" w:cs="Times New Roman"/>
        </w:rPr>
        <w:t xml:space="preserve">en </w:t>
      </w:r>
      <w:r w:rsidRPr="00013F99">
        <w:rPr>
          <w:rFonts w:ascii="Museo Sans 300" w:eastAsia="Calibri" w:hAnsi="Museo Sans 300" w:cs="Times New Roman"/>
          <w:lang w:val="es-ES"/>
        </w:rPr>
        <w:t>el inmueble ubicado en la Colonia San Francisco, pasaje C, casa número dos del municipio de San Marcos, departamento de San Salvador.</w:t>
      </w:r>
    </w:p>
    <w:p w:rsidR="00013F99" w:rsidRPr="00013F99" w:rsidRDefault="00013F99" w:rsidP="00013F99">
      <w:pPr>
        <w:spacing w:after="0" w:line="240" w:lineRule="auto"/>
        <w:ind w:left="708"/>
        <w:rPr>
          <w:rFonts w:ascii="Museo Sans 300" w:eastAsia="Calibri" w:hAnsi="Museo Sans 300" w:cs="Times New Roman"/>
          <w:sz w:val="24"/>
          <w:szCs w:val="24"/>
          <w:lang w:val="es-ES_tradnl" w:eastAsia="es-ES"/>
        </w:rPr>
      </w:pPr>
    </w:p>
    <w:p w:rsidR="00013F99" w:rsidRPr="00013F99" w:rsidRDefault="00013F99" w:rsidP="00013F99">
      <w:pPr>
        <w:numPr>
          <w:ilvl w:val="0"/>
          <w:numId w:val="1"/>
        </w:numPr>
        <w:spacing w:after="0" w:line="0" w:lineRule="atLeast"/>
        <w:ind w:left="426" w:hanging="426"/>
        <w:contextualSpacing/>
        <w:jc w:val="both"/>
        <w:rPr>
          <w:rFonts w:ascii="Museo Sans 300" w:eastAsia="Calibri" w:hAnsi="Museo Sans 300" w:cs="Times New Roman"/>
          <w:lang w:val="es-ES_tradnl"/>
        </w:rPr>
      </w:pPr>
      <w:r w:rsidRPr="00013F99">
        <w:rPr>
          <w:rFonts w:ascii="Museo Sans 300" w:eastAsia="Calibri" w:hAnsi="Museo Sans 300" w:cs="Times New Roman"/>
          <w:lang w:val="es-ES_tradnl"/>
        </w:rPr>
        <w:t>Notificar este acuerdo a</w:t>
      </w:r>
      <w:r w:rsidRPr="00013F99">
        <w:rPr>
          <w:rFonts w:ascii="Museo Sans 300" w:eastAsia="Times New Roman" w:hAnsi="Museo Sans 300" w:cs="Times New Roman"/>
          <w:lang w:eastAsia="es-SV"/>
        </w:rPr>
        <w:t xml:space="preserve"> la señora </w:t>
      </w:r>
      <w:r w:rsidR="00943869">
        <w:rPr>
          <w:rFonts w:ascii="Museo Sans 300" w:eastAsia="Calibri" w:hAnsi="Museo Sans 300" w:cs="Times New Roman"/>
        </w:rPr>
        <w:t>XXXXXXXXXXXX</w:t>
      </w:r>
      <w:r w:rsidRPr="00013F99">
        <w:rPr>
          <w:rFonts w:ascii="Museo Sans 300" w:eastAsia="Times New Roman" w:hAnsi="Museo Sans 300" w:cs="Times New Roman"/>
          <w:lang w:eastAsia="es-SV"/>
        </w:rPr>
        <w:t xml:space="preserve"> y </w:t>
      </w:r>
      <w:r w:rsidRPr="00013F99">
        <w:rPr>
          <w:rFonts w:ascii="Museo Sans 300" w:eastAsia="Calibri" w:hAnsi="Museo Sans 300" w:cs="Times New Roman"/>
          <w:lang w:val="es-ES_tradnl"/>
        </w:rPr>
        <w:t xml:space="preserve">a la sociedad </w:t>
      </w:r>
      <w:r w:rsidR="00943869">
        <w:rPr>
          <w:rFonts w:ascii="Museo Sans 300" w:eastAsia="Calibri" w:hAnsi="Museo Sans 300" w:cs="Times New Roman"/>
          <w:lang w:val="es-ES_tradnl"/>
        </w:rPr>
        <w:t>XXXXXXXXXXXX</w:t>
      </w:r>
      <w:r w:rsidRPr="00013F99">
        <w:rPr>
          <w:rFonts w:ascii="Museo Sans 300" w:eastAsia="Calibri" w:hAnsi="Museo Sans 300" w:cs="Times New Roman"/>
          <w:lang w:val="es-ES_tradnl"/>
        </w:rPr>
        <w:t>, S.A. de C.V., para los efectos correspondientes; y,</w:t>
      </w:r>
    </w:p>
    <w:p w:rsidR="00013F99" w:rsidRPr="00013F99" w:rsidRDefault="00013F99" w:rsidP="00013F99">
      <w:pPr>
        <w:spacing w:after="200" w:line="0" w:lineRule="atLeast"/>
        <w:contextualSpacing/>
        <w:jc w:val="both"/>
        <w:rPr>
          <w:rFonts w:ascii="Museo Sans 300" w:eastAsia="Calibri" w:hAnsi="Museo Sans 300" w:cs="Times New Roman"/>
          <w:lang w:val="es-ES_tradnl"/>
        </w:rPr>
      </w:pPr>
    </w:p>
    <w:p w:rsidR="00013F99" w:rsidRPr="00013F99" w:rsidRDefault="00013F99" w:rsidP="00013F99">
      <w:pPr>
        <w:numPr>
          <w:ilvl w:val="0"/>
          <w:numId w:val="1"/>
        </w:numPr>
        <w:spacing w:after="0" w:line="0" w:lineRule="atLeast"/>
        <w:ind w:left="426" w:hanging="426"/>
        <w:contextualSpacing/>
        <w:jc w:val="both"/>
        <w:rPr>
          <w:rFonts w:ascii="Museo Sans 300" w:eastAsia="Calibri" w:hAnsi="Museo Sans 300" w:cs="Times New Roman"/>
          <w:lang w:val="es-ES_tradnl"/>
        </w:rPr>
      </w:pPr>
      <w:r w:rsidRPr="00013F99">
        <w:rPr>
          <w:rFonts w:ascii="Museo Sans 300" w:eastAsia="Calibri" w:hAnsi="Museo Sans 300" w:cs="Times New Roman"/>
          <w:lang w:val="es-ES_tradnl"/>
        </w:rPr>
        <w:t>Remitir copia de este acuerdo a la Defensoría del Consumidor y al Centro de Atención al Usuario de la SIGET.</w:t>
      </w:r>
    </w:p>
    <w:p w:rsidR="00013F99" w:rsidRPr="00013F99" w:rsidRDefault="00013F99" w:rsidP="00013F99">
      <w:pPr>
        <w:spacing w:after="0" w:line="0" w:lineRule="atLeast"/>
        <w:ind w:left="426" w:hanging="426"/>
        <w:contextualSpacing/>
        <w:jc w:val="both"/>
        <w:rPr>
          <w:rFonts w:ascii="Museo Sans 300" w:eastAsia="Times New Roman" w:hAnsi="Museo Sans 300" w:cs="Times New Roman"/>
          <w:lang w:val="es-ES" w:eastAsia="es-ES"/>
        </w:rPr>
      </w:pPr>
    </w:p>
    <w:p w:rsidR="00013F99" w:rsidRPr="00013F99" w:rsidRDefault="00013F99" w:rsidP="00013F99">
      <w:pPr>
        <w:spacing w:after="0" w:line="0" w:lineRule="atLeast"/>
        <w:ind w:left="426" w:hanging="426"/>
        <w:contextualSpacing/>
        <w:jc w:val="both"/>
        <w:rPr>
          <w:rFonts w:ascii="Museo Sans 300" w:eastAsia="Times New Roman" w:hAnsi="Museo Sans 300" w:cs="Times New Roman"/>
          <w:lang w:val="es-ES" w:eastAsia="es-ES"/>
        </w:rPr>
      </w:pPr>
    </w:p>
    <w:p w:rsidR="00013F99" w:rsidRPr="00013F99" w:rsidRDefault="00013F99" w:rsidP="00013F99">
      <w:pPr>
        <w:spacing w:after="0" w:line="0" w:lineRule="atLeast"/>
        <w:ind w:left="426" w:hanging="426"/>
        <w:contextualSpacing/>
        <w:jc w:val="both"/>
        <w:rPr>
          <w:rFonts w:ascii="Museo Sans 300" w:eastAsia="Times New Roman" w:hAnsi="Museo Sans 300" w:cs="Times New Roman"/>
          <w:lang w:val="es-ES" w:eastAsia="es-ES"/>
        </w:rPr>
      </w:pPr>
    </w:p>
    <w:p w:rsidR="00013F99" w:rsidRPr="00013F99" w:rsidRDefault="00013F99" w:rsidP="00013F99">
      <w:pPr>
        <w:spacing w:after="0" w:line="0" w:lineRule="atLeast"/>
        <w:ind w:left="426" w:hanging="426"/>
        <w:contextualSpacing/>
        <w:jc w:val="both"/>
        <w:rPr>
          <w:rFonts w:ascii="Museo Sans 300" w:eastAsia="Times New Roman" w:hAnsi="Museo Sans 300" w:cs="Times New Roman"/>
          <w:lang w:val="es-ES" w:eastAsia="es-ES"/>
        </w:rPr>
      </w:pPr>
    </w:p>
    <w:p w:rsidR="00013F99" w:rsidRPr="00013F99" w:rsidRDefault="00013F99" w:rsidP="00013F99">
      <w:pPr>
        <w:spacing w:after="0" w:line="240" w:lineRule="auto"/>
        <w:ind w:left="4260" w:firstLine="696"/>
        <w:jc w:val="both"/>
        <w:rPr>
          <w:rFonts w:ascii="Museo Sans 300" w:eastAsia="Arial" w:hAnsi="Museo Sans 300" w:cs="Arial"/>
          <w:lang w:eastAsia="es-SV"/>
        </w:rPr>
      </w:pPr>
      <w:r w:rsidRPr="00013F99">
        <w:rPr>
          <w:rFonts w:ascii="Museo Sans 300" w:eastAsia="Arial" w:hAnsi="Museo Sans 300" w:cs="Arial"/>
          <w:lang w:eastAsia="es-SV"/>
        </w:rPr>
        <w:t>Manuel Ernesto Aguilar Flores</w:t>
      </w:r>
    </w:p>
    <w:p w:rsidR="00013F99" w:rsidRPr="00013F99" w:rsidRDefault="00013F99" w:rsidP="00013F99">
      <w:pPr>
        <w:spacing w:after="0" w:line="240" w:lineRule="auto"/>
        <w:ind w:left="4260" w:firstLine="696"/>
        <w:jc w:val="both"/>
        <w:rPr>
          <w:rFonts w:ascii="Museo Sans 300" w:eastAsia="Arial" w:hAnsi="Museo Sans 300" w:cs="Arial"/>
          <w:lang w:eastAsia="es-SV"/>
        </w:rPr>
      </w:pPr>
      <w:r w:rsidRPr="00013F99">
        <w:rPr>
          <w:rFonts w:ascii="Museo Sans 300" w:eastAsia="Arial" w:hAnsi="Museo Sans 300" w:cs="Arial"/>
          <w:lang w:eastAsia="es-SV"/>
        </w:rPr>
        <w:t xml:space="preserve">Superintendente </w:t>
      </w:r>
    </w:p>
    <w:p w:rsidR="00852C1F" w:rsidRDefault="00852C1F"/>
    <w:sectPr w:rsidR="00852C1F" w:rsidSect="000E26BC">
      <w:headerReference w:type="even" r:id="rId8"/>
      <w:headerReference w:type="default" r:id="rId9"/>
      <w:footerReference w:type="even" r:id="rId10"/>
      <w:footerReference w:type="default" r:id="rId11"/>
      <w:headerReference w:type="first" r:id="rId12"/>
      <w:footerReference w:type="first" r:id="rId13"/>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912" w:rsidRDefault="00704912">
      <w:pPr>
        <w:spacing w:after="0" w:line="240" w:lineRule="auto"/>
      </w:pPr>
      <w:r>
        <w:separator/>
      </w:r>
    </w:p>
  </w:endnote>
  <w:endnote w:type="continuationSeparator" w:id="0">
    <w:p w:rsidR="00704912" w:rsidRDefault="0070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646398"/>
      <w:docPartObj>
        <w:docPartGallery w:val="Page Numbers (Bottom of Page)"/>
        <w:docPartUnique/>
      </w:docPartObj>
    </w:sdtPr>
    <w:sdtEndPr/>
    <w:sdtContent>
      <w:p w:rsidR="000F1DCE" w:rsidRDefault="00013F99">
        <w:pPr>
          <w:pStyle w:val="Piedepgina"/>
          <w:jc w:val="right"/>
        </w:pPr>
        <w:r>
          <w:fldChar w:fldCharType="begin"/>
        </w:r>
        <w:r>
          <w:instrText>PAGE   \* MERGEFORMAT</w:instrText>
        </w:r>
        <w:r>
          <w:fldChar w:fldCharType="separate"/>
        </w:r>
        <w:r>
          <w:rPr>
            <w:lang w:val="es-ES"/>
          </w:rPr>
          <w:t>2</w:t>
        </w:r>
        <w:r>
          <w:fldChar w:fldCharType="end"/>
        </w:r>
      </w:p>
    </w:sdtContent>
  </w:sdt>
  <w:p w:rsidR="000F1DCE" w:rsidRDefault="007049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888084"/>
      <w:docPartObj>
        <w:docPartGallery w:val="Page Numbers (Bottom of Page)"/>
        <w:docPartUnique/>
      </w:docPartObj>
    </w:sdtPr>
    <w:sdtEndPr/>
    <w:sdtContent>
      <w:sdt>
        <w:sdtPr>
          <w:id w:val="1728636285"/>
          <w:docPartObj>
            <w:docPartGallery w:val="Page Numbers (Top of Page)"/>
            <w:docPartUnique/>
          </w:docPartObj>
        </w:sdtPr>
        <w:sdtEndPr/>
        <w:sdtContent>
          <w:p w:rsidR="00E96ACE" w:rsidRDefault="00013F99">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0C3F">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0C3F">
              <w:rPr>
                <w:b/>
                <w:bCs/>
                <w:noProof/>
              </w:rPr>
              <w:t>3</w:t>
            </w:r>
            <w:r>
              <w:rPr>
                <w:b/>
                <w:bCs/>
                <w:sz w:val="24"/>
                <w:szCs w:val="24"/>
              </w:rPr>
              <w:fldChar w:fldCharType="end"/>
            </w:r>
          </w:p>
        </w:sdtContent>
      </w:sdt>
    </w:sdtContent>
  </w:sdt>
  <w:p w:rsidR="000F1DCE" w:rsidRDefault="0070491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4B34C8" w:rsidRDefault="00013F99" w:rsidP="009A54AC">
    <w:pPr>
      <w:shd w:val="clear" w:color="auto" w:fill="FFFFFF" w:themeFill="background1"/>
      <w:tabs>
        <w:tab w:val="left" w:pos="2598"/>
        <w:tab w:val="center" w:pos="4419"/>
        <w:tab w:val="right" w:pos="8838"/>
      </w:tabs>
      <w:spacing w:after="0" w:line="240" w:lineRule="auto"/>
      <w:jc w:val="center"/>
      <w:rPr>
        <w:rFonts w:ascii="Museo Sans 300" w:hAnsi="Museo Sans 300"/>
        <w:b/>
        <w:color w:val="000000" w:themeColor="text1"/>
        <w:sz w:val="18"/>
        <w:szCs w:val="18"/>
      </w:rPr>
    </w:pPr>
    <w:r w:rsidRPr="004B34C8">
      <w:rPr>
        <w:rFonts w:ascii="Museo Sans 300" w:hAnsi="Museo Sans 300"/>
        <w:b/>
        <w:color w:val="000000" w:themeColor="text1"/>
        <w:sz w:val="18"/>
        <w:szCs w:val="18"/>
      </w:rPr>
      <w:t xml:space="preserve">Sexta décima calle poniente y 37 Av. sur #2001, Col. Flor Blanca, San Salvador, El Salvador, C.A. </w:t>
    </w:r>
  </w:p>
  <w:p w:rsidR="00754E7A" w:rsidRPr="004B34C8" w:rsidRDefault="00013F99" w:rsidP="009A54AC">
    <w:pPr>
      <w:shd w:val="clear" w:color="auto" w:fill="FFFFFF" w:themeFill="background1"/>
      <w:tabs>
        <w:tab w:val="left" w:pos="2598"/>
        <w:tab w:val="center" w:pos="4419"/>
        <w:tab w:val="right" w:pos="8838"/>
      </w:tabs>
      <w:spacing w:after="0" w:line="240" w:lineRule="auto"/>
      <w:jc w:val="center"/>
      <w:rPr>
        <w:rFonts w:ascii="Museo Sans 300" w:hAnsi="Museo Sans 300"/>
        <w:b/>
        <w:color w:val="000000" w:themeColor="text1"/>
        <w:sz w:val="18"/>
        <w:szCs w:val="18"/>
      </w:rPr>
    </w:pPr>
    <w:r w:rsidRPr="004B34C8">
      <w:rPr>
        <w:rFonts w:ascii="Museo Sans 300" w:hAnsi="Museo Sans 300"/>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912" w:rsidRDefault="00704912">
      <w:pPr>
        <w:spacing w:after="0" w:line="240" w:lineRule="auto"/>
      </w:pPr>
      <w:r>
        <w:separator/>
      </w:r>
    </w:p>
  </w:footnote>
  <w:footnote w:type="continuationSeparator" w:id="0">
    <w:p w:rsidR="00704912" w:rsidRDefault="00704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013F99">
    <w:pPr>
      <w:pStyle w:val="Encabezado"/>
    </w:pPr>
    <w:r>
      <w:rPr>
        <w:rFonts w:ascii="Times New Roman" w:hAnsi="Times New Roman" w:cs="Times New Roman"/>
        <w:noProof/>
        <w:sz w:val="24"/>
        <w:szCs w:val="24"/>
        <w:lang w:eastAsia="es-SV"/>
      </w:rPr>
      <w:drawing>
        <wp:anchor distT="36576" distB="36576" distL="36576" distR="36576" simplePos="0" relativeHeight="251660288" behindDoc="0" locked="0" layoutInCell="1" allowOverlap="1" wp14:anchorId="18581103" wp14:editId="059161F5">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013F99" w:rsidP="00754E7A">
    <w:pPr>
      <w:outlineLvl w:val="1"/>
    </w:pPr>
    <w:r>
      <w:rPr>
        <w:noProof/>
        <w:lang w:eastAsia="es-SV"/>
      </w:rPr>
      <w:drawing>
        <wp:inline distT="0" distB="0" distL="0" distR="0" wp14:anchorId="35679A85" wp14:editId="629FA1BA">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210C4C5E" wp14:editId="6FDA65EC">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013F99" w:rsidP="004F15AC">
    <w:pPr>
      <w:pStyle w:val="Encabezado"/>
      <w:jc w:val="center"/>
    </w:pPr>
    <w:r>
      <w:rPr>
        <w:noProof/>
        <w:lang w:eastAsia="es-SV"/>
      </w:rPr>
      <w:drawing>
        <wp:anchor distT="0" distB="0" distL="114300" distR="114300" simplePos="0" relativeHeight="251662336" behindDoc="1" locked="0" layoutInCell="1" allowOverlap="1" wp14:anchorId="2884FC48" wp14:editId="10CF1F37">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SV"/>
      </w:rPr>
      <w:drawing>
        <wp:anchor distT="36576" distB="36576" distL="36576" distR="36576" simplePos="0" relativeHeight="251661312" behindDoc="1" locked="0" layoutInCell="1" allowOverlap="1" wp14:anchorId="74ED3846" wp14:editId="4B94D794">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6511"/>
    <w:multiLevelType w:val="hybridMultilevel"/>
    <w:tmpl w:val="7A548CCC"/>
    <w:lvl w:ilvl="0" w:tplc="F044E9D0">
      <w:start w:val="1"/>
      <w:numFmt w:val="upperRoman"/>
      <w:lvlText w:val="%1."/>
      <w:lvlJc w:val="left"/>
      <w:pPr>
        <w:ind w:left="1288"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0D85EE0"/>
    <w:multiLevelType w:val="hybridMultilevel"/>
    <w:tmpl w:val="4BDEEC70"/>
    <w:lvl w:ilvl="0" w:tplc="1DB89A7E">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99"/>
    <w:rsid w:val="00013F99"/>
    <w:rsid w:val="00165D3B"/>
    <w:rsid w:val="002358F2"/>
    <w:rsid w:val="005B05C5"/>
    <w:rsid w:val="00620C3F"/>
    <w:rsid w:val="00704912"/>
    <w:rsid w:val="00852C1F"/>
    <w:rsid w:val="009438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3F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3F99"/>
  </w:style>
  <w:style w:type="paragraph" w:styleId="Piedepgina">
    <w:name w:val="footer"/>
    <w:basedOn w:val="Normal"/>
    <w:link w:val="PiedepginaCar"/>
    <w:uiPriority w:val="99"/>
    <w:unhideWhenUsed/>
    <w:rsid w:val="00013F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3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3F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3F99"/>
  </w:style>
  <w:style w:type="paragraph" w:styleId="Piedepgina">
    <w:name w:val="footer"/>
    <w:basedOn w:val="Normal"/>
    <w:link w:val="PiedepginaCar"/>
    <w:uiPriority w:val="99"/>
    <w:unhideWhenUsed/>
    <w:rsid w:val="00013F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3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6473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2019-11-08T17:12:00Z</dcterms:created>
  <dcterms:modified xsi:type="dcterms:W3CDTF">2019-11-08T17:12:00Z</dcterms:modified>
</cp:coreProperties>
</file>