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01E" w:rsidRPr="00706FB3" w:rsidRDefault="00A7387E" w:rsidP="0098034E">
      <w:pPr>
        <w:spacing w:line="0" w:lineRule="atLeast"/>
        <w:jc w:val="both"/>
        <w:rPr>
          <w:b/>
          <w:bCs/>
          <w:sz w:val="22"/>
          <w:szCs w:val="22"/>
          <w:lang w:val="es-MX"/>
        </w:rPr>
      </w:pPr>
      <w:r w:rsidRPr="00435CE9">
        <w:rPr>
          <w:b/>
          <w:bCs/>
          <w:sz w:val="22"/>
          <w:szCs w:val="22"/>
          <w:lang w:val="es-MX"/>
        </w:rPr>
        <w:t>ACUERDO No. E</w:t>
      </w:r>
      <w:r w:rsidRPr="00706FB3">
        <w:rPr>
          <w:b/>
          <w:bCs/>
          <w:sz w:val="22"/>
          <w:szCs w:val="22"/>
          <w:lang w:val="es-MX"/>
        </w:rPr>
        <w:t>-</w:t>
      </w:r>
      <w:r w:rsidR="008937C3">
        <w:rPr>
          <w:b/>
          <w:bCs/>
          <w:sz w:val="22"/>
          <w:szCs w:val="22"/>
          <w:lang w:val="es-MX"/>
        </w:rPr>
        <w:t>121</w:t>
      </w:r>
      <w:r w:rsidRPr="00706FB3">
        <w:rPr>
          <w:b/>
          <w:bCs/>
          <w:sz w:val="22"/>
          <w:szCs w:val="22"/>
          <w:lang w:val="es-MX"/>
        </w:rPr>
        <w:t>-201</w:t>
      </w:r>
      <w:r w:rsidR="008C432E" w:rsidRPr="00706FB3">
        <w:rPr>
          <w:b/>
          <w:bCs/>
          <w:sz w:val="22"/>
          <w:szCs w:val="22"/>
          <w:lang w:val="es-MX"/>
        </w:rPr>
        <w:t>9</w:t>
      </w:r>
      <w:r w:rsidR="001A101E" w:rsidRPr="00706FB3">
        <w:rPr>
          <w:b/>
          <w:bCs/>
          <w:sz w:val="22"/>
          <w:szCs w:val="22"/>
          <w:lang w:val="es-MX"/>
        </w:rPr>
        <w:t>-CAU</w:t>
      </w:r>
    </w:p>
    <w:p w:rsidR="001A101E" w:rsidRPr="00706FB3" w:rsidRDefault="001A101E" w:rsidP="0098034E">
      <w:pPr>
        <w:spacing w:line="0" w:lineRule="atLeast"/>
        <w:jc w:val="both"/>
        <w:rPr>
          <w:sz w:val="22"/>
          <w:szCs w:val="22"/>
          <w:lang w:val="es-MX"/>
        </w:rPr>
      </w:pPr>
    </w:p>
    <w:p w:rsidR="001A101E" w:rsidRPr="00435CE9" w:rsidRDefault="001A101E" w:rsidP="0098034E">
      <w:pPr>
        <w:spacing w:line="0" w:lineRule="atLeast"/>
        <w:jc w:val="both"/>
        <w:rPr>
          <w:sz w:val="22"/>
          <w:szCs w:val="22"/>
          <w:lang w:val="es-MX"/>
        </w:rPr>
      </w:pPr>
      <w:r w:rsidRPr="00435CE9">
        <w:rPr>
          <w:sz w:val="22"/>
          <w:szCs w:val="22"/>
          <w:lang w:val="es-MX"/>
        </w:rPr>
        <w:t>SUPERINTENDENCIA GENERAL DE</w:t>
      </w:r>
      <w:r w:rsidR="008937C3">
        <w:rPr>
          <w:sz w:val="22"/>
          <w:szCs w:val="22"/>
          <w:lang w:val="es-MX"/>
        </w:rPr>
        <w:t xml:space="preserve">  </w:t>
      </w:r>
      <w:r w:rsidRPr="00435CE9">
        <w:rPr>
          <w:sz w:val="22"/>
          <w:szCs w:val="22"/>
          <w:lang w:val="es-MX"/>
        </w:rPr>
        <w:t xml:space="preserve"> ELECTRICIDAD Y </w:t>
      </w:r>
      <w:r w:rsidR="008937C3">
        <w:rPr>
          <w:sz w:val="22"/>
          <w:szCs w:val="22"/>
          <w:lang w:val="es-MX"/>
        </w:rPr>
        <w:t xml:space="preserve">  </w:t>
      </w:r>
      <w:r w:rsidRPr="00435CE9">
        <w:rPr>
          <w:sz w:val="22"/>
          <w:szCs w:val="22"/>
          <w:lang w:val="es-MX"/>
        </w:rPr>
        <w:t>TELECOMUNICACIONES. San Salvador, a las</w:t>
      </w:r>
      <w:r w:rsidR="008937C3">
        <w:rPr>
          <w:sz w:val="22"/>
          <w:szCs w:val="22"/>
          <w:lang w:val="es-MX"/>
        </w:rPr>
        <w:t xml:space="preserve"> ocho </w:t>
      </w:r>
      <w:r w:rsidRPr="00435CE9">
        <w:rPr>
          <w:sz w:val="22"/>
          <w:szCs w:val="22"/>
          <w:lang w:val="es-MX"/>
        </w:rPr>
        <w:t>horas con</w:t>
      </w:r>
      <w:r w:rsidR="008937C3">
        <w:rPr>
          <w:sz w:val="22"/>
          <w:szCs w:val="22"/>
          <w:lang w:val="es-MX"/>
        </w:rPr>
        <w:t xml:space="preserve"> veinte</w:t>
      </w:r>
      <w:r w:rsidRPr="00435CE9">
        <w:rPr>
          <w:sz w:val="22"/>
          <w:szCs w:val="22"/>
          <w:lang w:val="es-MX"/>
        </w:rPr>
        <w:t xml:space="preserve"> minutos del día</w:t>
      </w:r>
      <w:r w:rsidR="008937C3">
        <w:rPr>
          <w:sz w:val="22"/>
          <w:szCs w:val="22"/>
          <w:lang w:val="es-MX"/>
        </w:rPr>
        <w:t xml:space="preserve"> quince </w:t>
      </w:r>
      <w:r w:rsidR="008431BC" w:rsidRPr="00435CE9">
        <w:rPr>
          <w:sz w:val="22"/>
          <w:szCs w:val="22"/>
          <w:lang w:val="es-MX"/>
        </w:rPr>
        <w:t>de mayo</w:t>
      </w:r>
      <w:r w:rsidRPr="00435CE9">
        <w:rPr>
          <w:sz w:val="22"/>
          <w:szCs w:val="22"/>
          <w:lang w:val="es-MX"/>
        </w:rPr>
        <w:t xml:space="preserve"> del año dos mil </w:t>
      </w:r>
      <w:r w:rsidR="00CF50E3" w:rsidRPr="00435CE9">
        <w:rPr>
          <w:sz w:val="22"/>
          <w:szCs w:val="22"/>
          <w:lang w:val="es-MX"/>
        </w:rPr>
        <w:t>dieci</w:t>
      </w:r>
      <w:r w:rsidR="008C432E" w:rsidRPr="00435CE9">
        <w:rPr>
          <w:sz w:val="22"/>
          <w:szCs w:val="22"/>
          <w:lang w:val="es-MX"/>
        </w:rPr>
        <w:t>nuev</w:t>
      </w:r>
      <w:r w:rsidR="00FD4E10" w:rsidRPr="00435CE9">
        <w:rPr>
          <w:sz w:val="22"/>
          <w:szCs w:val="22"/>
          <w:lang w:val="es-MX"/>
        </w:rPr>
        <w:t>e</w:t>
      </w:r>
      <w:r w:rsidRPr="00435CE9">
        <w:rPr>
          <w:sz w:val="22"/>
          <w:szCs w:val="22"/>
          <w:lang w:val="es-MX"/>
        </w:rPr>
        <w:t>.</w:t>
      </w:r>
    </w:p>
    <w:p w:rsidR="001A101E" w:rsidRPr="00435CE9" w:rsidRDefault="001A101E" w:rsidP="0098034E">
      <w:pPr>
        <w:spacing w:line="0" w:lineRule="atLeast"/>
        <w:jc w:val="both"/>
        <w:rPr>
          <w:sz w:val="22"/>
          <w:szCs w:val="22"/>
          <w:lang w:val="es-MX"/>
        </w:rPr>
      </w:pPr>
    </w:p>
    <w:p w:rsidR="001A101E" w:rsidRPr="00435CE9" w:rsidRDefault="001A101E" w:rsidP="0098034E">
      <w:pPr>
        <w:spacing w:line="0" w:lineRule="atLeast"/>
        <w:jc w:val="both"/>
        <w:rPr>
          <w:sz w:val="22"/>
          <w:szCs w:val="22"/>
          <w:lang w:val="es-MX"/>
        </w:rPr>
      </w:pPr>
      <w:r w:rsidRPr="00435CE9">
        <w:rPr>
          <w:sz w:val="22"/>
          <w:szCs w:val="22"/>
          <w:lang w:val="es-MX"/>
        </w:rPr>
        <w:t>Esta Superintendencia CONSIDERANDO QUE:</w:t>
      </w:r>
    </w:p>
    <w:p w:rsidR="001A101E" w:rsidRPr="00435CE9" w:rsidRDefault="001A101E" w:rsidP="0098034E">
      <w:pPr>
        <w:spacing w:line="0" w:lineRule="atLeast"/>
        <w:jc w:val="both"/>
        <w:rPr>
          <w:sz w:val="22"/>
          <w:szCs w:val="22"/>
        </w:rPr>
      </w:pPr>
    </w:p>
    <w:p w:rsidR="00706FB3" w:rsidRDefault="00A91790" w:rsidP="004F3C0A">
      <w:pPr>
        <w:numPr>
          <w:ilvl w:val="0"/>
          <w:numId w:val="3"/>
        </w:numPr>
        <w:spacing w:after="200" w:line="0" w:lineRule="atLeast"/>
        <w:ind w:left="567" w:hanging="425"/>
        <w:contextualSpacing/>
        <w:jc w:val="both"/>
        <w:rPr>
          <w:sz w:val="22"/>
          <w:szCs w:val="22"/>
        </w:rPr>
      </w:pPr>
      <w:r w:rsidRPr="00435CE9">
        <w:rPr>
          <w:sz w:val="22"/>
          <w:szCs w:val="22"/>
        </w:rPr>
        <w:t xml:space="preserve">La </w:t>
      </w:r>
      <w:r w:rsidR="006F1AAD">
        <w:rPr>
          <w:sz w:val="22"/>
          <w:szCs w:val="22"/>
        </w:rPr>
        <w:t xml:space="preserve">***** </w:t>
      </w:r>
      <w:r w:rsidR="00F86B87" w:rsidRPr="00435CE9">
        <w:rPr>
          <w:sz w:val="22"/>
          <w:szCs w:val="22"/>
        </w:rPr>
        <w:t>presentó un reclamo</w:t>
      </w:r>
      <w:r w:rsidR="00BB3106" w:rsidRPr="00435CE9">
        <w:rPr>
          <w:sz w:val="22"/>
          <w:szCs w:val="22"/>
        </w:rPr>
        <w:t xml:space="preserve"> en contra de la </w:t>
      </w:r>
      <w:r w:rsidR="003E4BB2" w:rsidRPr="00435CE9">
        <w:rPr>
          <w:sz w:val="22"/>
          <w:szCs w:val="22"/>
        </w:rPr>
        <w:t>sociedad</w:t>
      </w:r>
      <w:r w:rsidR="00BB3106" w:rsidRPr="00435CE9">
        <w:rPr>
          <w:sz w:val="22"/>
          <w:szCs w:val="22"/>
        </w:rPr>
        <w:t xml:space="preserve"> </w:t>
      </w:r>
      <w:r w:rsidR="006F1AAD">
        <w:rPr>
          <w:sz w:val="22"/>
          <w:szCs w:val="22"/>
        </w:rPr>
        <w:t xml:space="preserve"> *** </w:t>
      </w:r>
      <w:r w:rsidR="00BB3106" w:rsidRPr="00435CE9">
        <w:rPr>
          <w:sz w:val="22"/>
          <w:szCs w:val="22"/>
        </w:rPr>
        <w:t>por considerar</w:t>
      </w:r>
      <w:r w:rsidR="001B5D40">
        <w:rPr>
          <w:sz w:val="22"/>
          <w:szCs w:val="22"/>
        </w:rPr>
        <w:t xml:space="preserve"> que debido a</w:t>
      </w:r>
      <w:r w:rsidR="006C3F61" w:rsidRPr="00435CE9">
        <w:rPr>
          <w:sz w:val="22"/>
          <w:szCs w:val="22"/>
        </w:rPr>
        <w:t xml:space="preserve"> variaci</w:t>
      </w:r>
      <w:r w:rsidR="002D26E5">
        <w:rPr>
          <w:sz w:val="22"/>
          <w:szCs w:val="22"/>
        </w:rPr>
        <w:t xml:space="preserve">ones en los niveles de tensión e interrupciones en </w:t>
      </w:r>
      <w:r w:rsidR="006C3F61" w:rsidRPr="00435CE9">
        <w:rPr>
          <w:sz w:val="22"/>
          <w:szCs w:val="22"/>
        </w:rPr>
        <w:t>el servicio</w:t>
      </w:r>
      <w:r w:rsidR="002D26E5">
        <w:rPr>
          <w:sz w:val="22"/>
          <w:szCs w:val="22"/>
        </w:rPr>
        <w:t xml:space="preserve"> de e</w:t>
      </w:r>
      <w:bookmarkStart w:id="0" w:name="_GoBack"/>
      <w:bookmarkEnd w:id="0"/>
      <w:r w:rsidR="002D26E5">
        <w:rPr>
          <w:sz w:val="22"/>
          <w:szCs w:val="22"/>
        </w:rPr>
        <w:t>nergía eléctrica ocurrida</w:t>
      </w:r>
      <w:r w:rsidR="00706FB3">
        <w:rPr>
          <w:sz w:val="22"/>
          <w:szCs w:val="22"/>
        </w:rPr>
        <w:t>s</w:t>
      </w:r>
      <w:r w:rsidR="002D26E5">
        <w:rPr>
          <w:sz w:val="22"/>
          <w:szCs w:val="22"/>
        </w:rPr>
        <w:t xml:space="preserve"> </w:t>
      </w:r>
      <w:r w:rsidR="006C3F61" w:rsidRPr="00435CE9">
        <w:rPr>
          <w:sz w:val="22"/>
          <w:szCs w:val="22"/>
        </w:rPr>
        <w:t xml:space="preserve">el veinticuatro de octubre de dos mil quince, </w:t>
      </w:r>
      <w:r w:rsidR="001B5D40">
        <w:rPr>
          <w:sz w:val="22"/>
          <w:szCs w:val="22"/>
        </w:rPr>
        <w:t>se</w:t>
      </w:r>
      <w:r w:rsidR="006C3F61" w:rsidRPr="00435CE9">
        <w:rPr>
          <w:sz w:val="22"/>
          <w:szCs w:val="22"/>
        </w:rPr>
        <w:t xml:space="preserve"> dañ</w:t>
      </w:r>
      <w:r w:rsidR="001B5D40">
        <w:rPr>
          <w:sz w:val="22"/>
          <w:szCs w:val="22"/>
        </w:rPr>
        <w:t>aron</w:t>
      </w:r>
      <w:r w:rsidR="006C3F61" w:rsidRPr="00435CE9">
        <w:rPr>
          <w:sz w:val="22"/>
          <w:szCs w:val="22"/>
        </w:rPr>
        <w:t xml:space="preserve"> los equipos eléctricos </w:t>
      </w:r>
      <w:r w:rsidR="002D26E5">
        <w:rPr>
          <w:sz w:val="22"/>
          <w:szCs w:val="22"/>
        </w:rPr>
        <w:t xml:space="preserve">conectados </w:t>
      </w:r>
      <w:r w:rsidR="002D26E5" w:rsidRPr="00435CE9">
        <w:rPr>
          <w:sz w:val="22"/>
          <w:szCs w:val="22"/>
        </w:rPr>
        <w:t xml:space="preserve">en el suministro identificado con el NIC </w:t>
      </w:r>
      <w:r w:rsidR="006F1AAD">
        <w:rPr>
          <w:sz w:val="22"/>
          <w:szCs w:val="22"/>
        </w:rPr>
        <w:t xml:space="preserve"> ***.</w:t>
      </w:r>
    </w:p>
    <w:p w:rsidR="00706FB3" w:rsidRDefault="00706FB3" w:rsidP="00706FB3">
      <w:pPr>
        <w:spacing w:after="200" w:line="0" w:lineRule="atLeast"/>
        <w:ind w:left="567"/>
        <w:contextualSpacing/>
        <w:jc w:val="both"/>
        <w:rPr>
          <w:sz w:val="22"/>
          <w:szCs w:val="22"/>
        </w:rPr>
      </w:pPr>
    </w:p>
    <w:p w:rsidR="006C3F61" w:rsidRPr="00435CE9" w:rsidRDefault="00706FB3" w:rsidP="00706FB3">
      <w:pPr>
        <w:spacing w:after="200" w:line="0" w:lineRule="atLeast"/>
        <w:ind w:left="567"/>
        <w:contextualSpacing/>
        <w:jc w:val="both"/>
        <w:rPr>
          <w:sz w:val="22"/>
          <w:szCs w:val="22"/>
        </w:rPr>
      </w:pPr>
      <w:r>
        <w:rPr>
          <w:sz w:val="22"/>
          <w:szCs w:val="22"/>
        </w:rPr>
        <w:t>Los apa</w:t>
      </w:r>
      <w:r w:rsidR="002B0E8D">
        <w:rPr>
          <w:sz w:val="22"/>
          <w:szCs w:val="22"/>
        </w:rPr>
        <w:t>rat</w:t>
      </w:r>
      <w:r>
        <w:rPr>
          <w:sz w:val="22"/>
          <w:szCs w:val="22"/>
        </w:rPr>
        <w:t>os reportados como dañados fueron los siguientes:</w:t>
      </w:r>
      <w:r w:rsidR="002D26E5">
        <w:rPr>
          <w:sz w:val="22"/>
          <w:szCs w:val="22"/>
        </w:rPr>
        <w:t xml:space="preserve"> </w:t>
      </w:r>
    </w:p>
    <w:p w:rsidR="006C3F61" w:rsidRPr="00435CE9" w:rsidRDefault="006C3F61" w:rsidP="006C3F61">
      <w:pPr>
        <w:spacing w:after="200" w:line="0" w:lineRule="atLeast"/>
        <w:ind w:left="567"/>
        <w:contextualSpacing/>
        <w:jc w:val="both"/>
        <w:rPr>
          <w:sz w:val="22"/>
          <w:szCs w:val="22"/>
        </w:rPr>
      </w:pPr>
    </w:p>
    <w:tbl>
      <w:tblPr>
        <w:tblW w:w="82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4"/>
        <w:gridCol w:w="1985"/>
        <w:gridCol w:w="1417"/>
        <w:gridCol w:w="1701"/>
        <w:gridCol w:w="1163"/>
      </w:tblGrid>
      <w:tr w:rsidR="006C3F61" w:rsidRPr="00435CE9" w:rsidTr="000F3FCB">
        <w:trPr>
          <w:trHeight w:val="364"/>
        </w:trPr>
        <w:tc>
          <w:tcPr>
            <w:tcW w:w="1984" w:type="dxa"/>
            <w:shd w:val="clear" w:color="auto" w:fill="auto"/>
            <w:tcMar>
              <w:top w:w="0" w:type="dxa"/>
              <w:left w:w="108" w:type="dxa"/>
              <w:bottom w:w="0" w:type="dxa"/>
              <w:right w:w="108" w:type="dxa"/>
            </w:tcMar>
            <w:vAlign w:val="center"/>
          </w:tcPr>
          <w:p w:rsidR="006C3F61" w:rsidRPr="00435CE9" w:rsidRDefault="006C3F61" w:rsidP="00A14E7E">
            <w:pPr>
              <w:jc w:val="center"/>
              <w:rPr>
                <w:b/>
                <w:sz w:val="22"/>
                <w:szCs w:val="22"/>
              </w:rPr>
            </w:pPr>
            <w:r w:rsidRPr="00435CE9">
              <w:rPr>
                <w:b/>
                <w:sz w:val="22"/>
                <w:szCs w:val="22"/>
              </w:rPr>
              <w:t>Equipo</w:t>
            </w:r>
          </w:p>
        </w:tc>
        <w:tc>
          <w:tcPr>
            <w:tcW w:w="1985" w:type="dxa"/>
            <w:vAlign w:val="center"/>
          </w:tcPr>
          <w:p w:rsidR="006C3F61" w:rsidRPr="00435CE9" w:rsidRDefault="006C3F61" w:rsidP="00A14E7E">
            <w:pPr>
              <w:jc w:val="center"/>
              <w:rPr>
                <w:b/>
                <w:sz w:val="22"/>
                <w:szCs w:val="22"/>
              </w:rPr>
            </w:pPr>
            <w:r w:rsidRPr="00435CE9">
              <w:rPr>
                <w:b/>
                <w:sz w:val="22"/>
                <w:szCs w:val="22"/>
              </w:rPr>
              <w:t>Marca</w:t>
            </w:r>
          </w:p>
        </w:tc>
        <w:tc>
          <w:tcPr>
            <w:tcW w:w="1417" w:type="dxa"/>
            <w:shd w:val="clear" w:color="auto" w:fill="auto"/>
            <w:tcMar>
              <w:top w:w="0" w:type="dxa"/>
              <w:left w:w="108" w:type="dxa"/>
              <w:bottom w:w="0" w:type="dxa"/>
              <w:right w:w="108" w:type="dxa"/>
            </w:tcMar>
            <w:vAlign w:val="center"/>
          </w:tcPr>
          <w:p w:rsidR="006C3F61" w:rsidRPr="00435CE9" w:rsidRDefault="006C3F61" w:rsidP="00A14E7E">
            <w:pPr>
              <w:jc w:val="center"/>
              <w:rPr>
                <w:b/>
                <w:sz w:val="22"/>
                <w:szCs w:val="22"/>
              </w:rPr>
            </w:pPr>
            <w:r w:rsidRPr="00435CE9">
              <w:rPr>
                <w:b/>
                <w:sz w:val="22"/>
                <w:szCs w:val="22"/>
              </w:rPr>
              <w:t>Modelo</w:t>
            </w:r>
          </w:p>
        </w:tc>
        <w:tc>
          <w:tcPr>
            <w:tcW w:w="1701" w:type="dxa"/>
            <w:shd w:val="clear" w:color="auto" w:fill="auto"/>
            <w:tcMar>
              <w:top w:w="0" w:type="dxa"/>
              <w:left w:w="108" w:type="dxa"/>
              <w:bottom w:w="0" w:type="dxa"/>
              <w:right w:w="108" w:type="dxa"/>
            </w:tcMar>
            <w:vAlign w:val="center"/>
          </w:tcPr>
          <w:p w:rsidR="006C3F61" w:rsidRPr="00435CE9" w:rsidRDefault="006C3F61" w:rsidP="00A14E7E">
            <w:pPr>
              <w:jc w:val="center"/>
              <w:rPr>
                <w:b/>
                <w:sz w:val="22"/>
                <w:szCs w:val="22"/>
              </w:rPr>
            </w:pPr>
            <w:r w:rsidRPr="00435CE9">
              <w:rPr>
                <w:b/>
                <w:sz w:val="22"/>
                <w:szCs w:val="22"/>
              </w:rPr>
              <w:t>Serie</w:t>
            </w:r>
          </w:p>
        </w:tc>
        <w:tc>
          <w:tcPr>
            <w:tcW w:w="1163" w:type="dxa"/>
            <w:vAlign w:val="center"/>
          </w:tcPr>
          <w:p w:rsidR="006C3F61" w:rsidRPr="00435CE9" w:rsidRDefault="006C3F61" w:rsidP="00A14E7E">
            <w:pPr>
              <w:jc w:val="center"/>
              <w:rPr>
                <w:b/>
                <w:bCs/>
                <w:sz w:val="22"/>
                <w:szCs w:val="22"/>
                <w:lang w:val="es-MX"/>
              </w:rPr>
            </w:pPr>
            <w:r w:rsidRPr="00435CE9">
              <w:rPr>
                <w:b/>
                <w:bCs/>
                <w:sz w:val="22"/>
                <w:szCs w:val="22"/>
                <w:lang w:val="es-MX"/>
              </w:rPr>
              <w:t>Valor</w:t>
            </w:r>
          </w:p>
        </w:tc>
      </w:tr>
      <w:tr w:rsidR="006C3F61" w:rsidRPr="00435CE9" w:rsidTr="000F3FCB">
        <w:trPr>
          <w:trHeight w:val="295"/>
        </w:trPr>
        <w:tc>
          <w:tcPr>
            <w:tcW w:w="1984" w:type="dxa"/>
            <w:shd w:val="clear" w:color="auto" w:fill="auto"/>
            <w:tcMar>
              <w:top w:w="0" w:type="dxa"/>
              <w:left w:w="108" w:type="dxa"/>
              <w:bottom w:w="0" w:type="dxa"/>
              <w:right w:w="108" w:type="dxa"/>
            </w:tcMar>
            <w:vAlign w:val="center"/>
          </w:tcPr>
          <w:p w:rsidR="006C3F61" w:rsidRPr="00435CE9" w:rsidRDefault="006C3F61" w:rsidP="00A14E7E">
            <w:pPr>
              <w:jc w:val="center"/>
              <w:rPr>
                <w:sz w:val="22"/>
                <w:szCs w:val="22"/>
              </w:rPr>
            </w:pPr>
            <w:r w:rsidRPr="00435CE9">
              <w:rPr>
                <w:sz w:val="22"/>
                <w:szCs w:val="22"/>
              </w:rPr>
              <w:t>Equipo de Sonido</w:t>
            </w:r>
          </w:p>
        </w:tc>
        <w:tc>
          <w:tcPr>
            <w:tcW w:w="1985" w:type="dxa"/>
            <w:vAlign w:val="center"/>
          </w:tcPr>
          <w:p w:rsidR="006C3F61" w:rsidRPr="00435CE9" w:rsidRDefault="006C3F61" w:rsidP="00A14E7E">
            <w:pPr>
              <w:jc w:val="center"/>
              <w:rPr>
                <w:sz w:val="22"/>
                <w:szCs w:val="22"/>
              </w:rPr>
            </w:pPr>
            <w:r w:rsidRPr="00435CE9">
              <w:rPr>
                <w:sz w:val="22"/>
                <w:szCs w:val="22"/>
              </w:rPr>
              <w:t>PANASONIC</w:t>
            </w:r>
          </w:p>
        </w:tc>
        <w:tc>
          <w:tcPr>
            <w:tcW w:w="1417" w:type="dxa"/>
            <w:shd w:val="clear" w:color="auto" w:fill="auto"/>
            <w:tcMar>
              <w:top w:w="0" w:type="dxa"/>
              <w:left w:w="108" w:type="dxa"/>
              <w:bottom w:w="0" w:type="dxa"/>
              <w:right w:w="108" w:type="dxa"/>
            </w:tcMar>
            <w:vAlign w:val="center"/>
          </w:tcPr>
          <w:p w:rsidR="006C3F61" w:rsidRPr="00435CE9" w:rsidRDefault="006C3F61" w:rsidP="00A14E7E">
            <w:pPr>
              <w:jc w:val="center"/>
              <w:rPr>
                <w:sz w:val="22"/>
                <w:szCs w:val="22"/>
              </w:rPr>
            </w:pPr>
            <w:r w:rsidRPr="00435CE9">
              <w:rPr>
                <w:sz w:val="22"/>
                <w:szCs w:val="22"/>
              </w:rPr>
              <w:t>SA-AKX76</w:t>
            </w:r>
          </w:p>
        </w:tc>
        <w:tc>
          <w:tcPr>
            <w:tcW w:w="1701" w:type="dxa"/>
            <w:shd w:val="clear" w:color="auto" w:fill="auto"/>
            <w:tcMar>
              <w:top w:w="0" w:type="dxa"/>
              <w:left w:w="108" w:type="dxa"/>
              <w:bottom w:w="0" w:type="dxa"/>
              <w:right w:w="108" w:type="dxa"/>
            </w:tcMar>
            <w:vAlign w:val="center"/>
          </w:tcPr>
          <w:p w:rsidR="006C3F61" w:rsidRPr="00435CE9" w:rsidRDefault="006C3F61" w:rsidP="00A14E7E">
            <w:pPr>
              <w:jc w:val="center"/>
              <w:rPr>
                <w:sz w:val="22"/>
                <w:szCs w:val="22"/>
              </w:rPr>
            </w:pPr>
            <w:r w:rsidRPr="00435CE9">
              <w:rPr>
                <w:sz w:val="22"/>
                <w:szCs w:val="22"/>
              </w:rPr>
              <w:t>LM3CA001349</w:t>
            </w:r>
          </w:p>
        </w:tc>
        <w:tc>
          <w:tcPr>
            <w:tcW w:w="1163" w:type="dxa"/>
            <w:vAlign w:val="center"/>
          </w:tcPr>
          <w:p w:rsidR="006C3F61" w:rsidRPr="00435CE9" w:rsidRDefault="006C3F61" w:rsidP="00A14E7E">
            <w:pPr>
              <w:jc w:val="center"/>
              <w:rPr>
                <w:sz w:val="22"/>
                <w:szCs w:val="22"/>
                <w:lang w:val="es-MX"/>
              </w:rPr>
            </w:pPr>
            <w:r w:rsidRPr="00435CE9">
              <w:rPr>
                <w:sz w:val="22"/>
                <w:szCs w:val="22"/>
                <w:lang w:val="es-MX"/>
              </w:rPr>
              <w:t>USD 419.00</w:t>
            </w:r>
          </w:p>
        </w:tc>
      </w:tr>
      <w:tr w:rsidR="006C3F61" w:rsidRPr="00435CE9" w:rsidTr="000F3FCB">
        <w:trPr>
          <w:trHeight w:val="295"/>
        </w:trPr>
        <w:tc>
          <w:tcPr>
            <w:tcW w:w="1984" w:type="dxa"/>
            <w:shd w:val="clear" w:color="auto" w:fill="auto"/>
            <w:tcMar>
              <w:top w:w="0" w:type="dxa"/>
              <w:left w:w="108" w:type="dxa"/>
              <w:bottom w:w="0" w:type="dxa"/>
              <w:right w:w="108" w:type="dxa"/>
            </w:tcMar>
            <w:vAlign w:val="center"/>
          </w:tcPr>
          <w:p w:rsidR="006C3F61" w:rsidRPr="00435CE9" w:rsidRDefault="006C3F61" w:rsidP="00A14E7E">
            <w:pPr>
              <w:jc w:val="center"/>
              <w:rPr>
                <w:sz w:val="22"/>
                <w:szCs w:val="22"/>
              </w:rPr>
            </w:pPr>
            <w:r w:rsidRPr="00435CE9">
              <w:rPr>
                <w:sz w:val="22"/>
                <w:szCs w:val="22"/>
              </w:rPr>
              <w:t>Computadora</w:t>
            </w:r>
          </w:p>
        </w:tc>
        <w:tc>
          <w:tcPr>
            <w:tcW w:w="1985" w:type="dxa"/>
            <w:vAlign w:val="center"/>
          </w:tcPr>
          <w:p w:rsidR="006C3F61" w:rsidRPr="00435CE9" w:rsidRDefault="006C3F61" w:rsidP="00A14E7E">
            <w:pPr>
              <w:jc w:val="center"/>
              <w:rPr>
                <w:sz w:val="22"/>
                <w:szCs w:val="22"/>
              </w:rPr>
            </w:pPr>
            <w:r w:rsidRPr="00435CE9">
              <w:rPr>
                <w:sz w:val="22"/>
                <w:szCs w:val="22"/>
              </w:rPr>
              <w:t>DELL INSPIRON 20</w:t>
            </w:r>
          </w:p>
        </w:tc>
        <w:tc>
          <w:tcPr>
            <w:tcW w:w="1417" w:type="dxa"/>
            <w:shd w:val="clear" w:color="auto" w:fill="auto"/>
            <w:tcMar>
              <w:top w:w="0" w:type="dxa"/>
              <w:left w:w="108" w:type="dxa"/>
              <w:bottom w:w="0" w:type="dxa"/>
              <w:right w:w="108" w:type="dxa"/>
            </w:tcMar>
            <w:vAlign w:val="center"/>
          </w:tcPr>
          <w:p w:rsidR="006C3F61" w:rsidRPr="00435CE9" w:rsidRDefault="006C3F61" w:rsidP="00A14E7E">
            <w:pPr>
              <w:jc w:val="center"/>
              <w:rPr>
                <w:sz w:val="22"/>
                <w:szCs w:val="22"/>
              </w:rPr>
            </w:pPr>
            <w:r w:rsidRPr="00435CE9">
              <w:rPr>
                <w:sz w:val="22"/>
                <w:szCs w:val="22"/>
              </w:rPr>
              <w:t>3043</w:t>
            </w:r>
          </w:p>
        </w:tc>
        <w:tc>
          <w:tcPr>
            <w:tcW w:w="1701" w:type="dxa"/>
            <w:shd w:val="clear" w:color="auto" w:fill="auto"/>
            <w:tcMar>
              <w:top w:w="0" w:type="dxa"/>
              <w:left w:w="108" w:type="dxa"/>
              <w:bottom w:w="0" w:type="dxa"/>
              <w:right w:w="108" w:type="dxa"/>
            </w:tcMar>
            <w:vAlign w:val="center"/>
          </w:tcPr>
          <w:p w:rsidR="006C3F61" w:rsidRPr="00435CE9" w:rsidRDefault="006C3F61" w:rsidP="00A14E7E">
            <w:pPr>
              <w:jc w:val="center"/>
              <w:rPr>
                <w:sz w:val="22"/>
                <w:szCs w:val="22"/>
              </w:rPr>
            </w:pPr>
          </w:p>
        </w:tc>
        <w:tc>
          <w:tcPr>
            <w:tcW w:w="1163" w:type="dxa"/>
            <w:vAlign w:val="center"/>
          </w:tcPr>
          <w:p w:rsidR="006C3F61" w:rsidRPr="00435CE9" w:rsidRDefault="006C3F61" w:rsidP="00A14E7E">
            <w:pPr>
              <w:jc w:val="center"/>
              <w:rPr>
                <w:sz w:val="22"/>
                <w:szCs w:val="22"/>
                <w:lang w:val="es-MX"/>
              </w:rPr>
            </w:pPr>
            <w:r w:rsidRPr="00435CE9">
              <w:rPr>
                <w:sz w:val="22"/>
                <w:szCs w:val="22"/>
                <w:lang w:val="es-MX"/>
              </w:rPr>
              <w:t>USD 429.00</w:t>
            </w:r>
          </w:p>
        </w:tc>
      </w:tr>
      <w:tr w:rsidR="006C3F61" w:rsidRPr="00435CE9" w:rsidTr="000F3FCB">
        <w:trPr>
          <w:trHeight w:val="295"/>
        </w:trPr>
        <w:tc>
          <w:tcPr>
            <w:tcW w:w="7087" w:type="dxa"/>
            <w:gridSpan w:val="4"/>
            <w:shd w:val="clear" w:color="auto" w:fill="auto"/>
            <w:tcMar>
              <w:top w:w="0" w:type="dxa"/>
              <w:left w:w="108" w:type="dxa"/>
              <w:bottom w:w="0" w:type="dxa"/>
              <w:right w:w="108" w:type="dxa"/>
            </w:tcMar>
            <w:vAlign w:val="center"/>
          </w:tcPr>
          <w:p w:rsidR="006C3F61" w:rsidRPr="00435CE9" w:rsidRDefault="006C3F61" w:rsidP="00A14E7E">
            <w:pPr>
              <w:jc w:val="center"/>
              <w:rPr>
                <w:sz w:val="22"/>
                <w:szCs w:val="22"/>
              </w:rPr>
            </w:pPr>
            <w:r w:rsidRPr="00435CE9">
              <w:rPr>
                <w:b/>
                <w:sz w:val="22"/>
                <w:szCs w:val="22"/>
              </w:rPr>
              <w:t>Total</w:t>
            </w:r>
          </w:p>
        </w:tc>
        <w:tc>
          <w:tcPr>
            <w:tcW w:w="1163" w:type="dxa"/>
            <w:vAlign w:val="center"/>
          </w:tcPr>
          <w:p w:rsidR="006C3F61" w:rsidRPr="00435CE9" w:rsidRDefault="006C3F61" w:rsidP="00A14E7E">
            <w:pPr>
              <w:jc w:val="center"/>
              <w:rPr>
                <w:b/>
                <w:sz w:val="22"/>
                <w:szCs w:val="22"/>
                <w:lang w:val="es-MX"/>
              </w:rPr>
            </w:pPr>
            <w:r w:rsidRPr="00435CE9">
              <w:rPr>
                <w:b/>
                <w:sz w:val="22"/>
                <w:szCs w:val="22"/>
                <w:lang w:val="es-MX"/>
              </w:rPr>
              <w:t>USD 848.00</w:t>
            </w:r>
          </w:p>
        </w:tc>
      </w:tr>
    </w:tbl>
    <w:p w:rsidR="006C3F61" w:rsidRPr="00435CE9" w:rsidRDefault="006C3F61" w:rsidP="006C3F61">
      <w:pPr>
        <w:spacing w:after="200" w:line="0" w:lineRule="atLeast"/>
        <w:ind w:left="567"/>
        <w:contextualSpacing/>
        <w:jc w:val="both"/>
        <w:rPr>
          <w:sz w:val="22"/>
          <w:szCs w:val="22"/>
        </w:rPr>
      </w:pPr>
    </w:p>
    <w:p w:rsidR="00BB3106" w:rsidRPr="00435CE9" w:rsidRDefault="00BB3106" w:rsidP="004F3C0A">
      <w:pPr>
        <w:numPr>
          <w:ilvl w:val="0"/>
          <w:numId w:val="3"/>
        </w:numPr>
        <w:spacing w:after="200" w:line="0" w:lineRule="atLeast"/>
        <w:ind w:left="567" w:hanging="425"/>
        <w:contextualSpacing/>
        <w:jc w:val="both"/>
        <w:rPr>
          <w:sz w:val="22"/>
          <w:szCs w:val="22"/>
        </w:rPr>
      </w:pPr>
      <w:r w:rsidRPr="00435CE9">
        <w:rPr>
          <w:sz w:val="22"/>
          <w:szCs w:val="22"/>
        </w:rPr>
        <w:t>Mediante el</w:t>
      </w:r>
      <w:r w:rsidR="00074A60" w:rsidRPr="00435CE9">
        <w:rPr>
          <w:sz w:val="22"/>
          <w:szCs w:val="22"/>
        </w:rPr>
        <w:t xml:space="preserve"> acuerdo </w:t>
      </w:r>
      <w:r w:rsidRPr="00435CE9">
        <w:rPr>
          <w:sz w:val="22"/>
          <w:szCs w:val="22"/>
        </w:rPr>
        <w:t>No. E-</w:t>
      </w:r>
      <w:r w:rsidR="00A91790" w:rsidRPr="00435CE9">
        <w:rPr>
          <w:sz w:val="22"/>
          <w:szCs w:val="22"/>
        </w:rPr>
        <w:t>096-2016</w:t>
      </w:r>
      <w:r w:rsidRPr="00435CE9">
        <w:rPr>
          <w:sz w:val="22"/>
          <w:szCs w:val="22"/>
        </w:rPr>
        <w:t xml:space="preserve">-CAU, esta Superintendencia concedió audiencia a la sociedad </w:t>
      </w:r>
      <w:r w:rsidR="006F1AAD">
        <w:rPr>
          <w:sz w:val="22"/>
          <w:szCs w:val="22"/>
        </w:rPr>
        <w:t xml:space="preserve"> *** </w:t>
      </w:r>
      <w:r w:rsidRPr="00435CE9">
        <w:rPr>
          <w:sz w:val="22"/>
          <w:szCs w:val="22"/>
        </w:rPr>
        <w:t>para que</w:t>
      </w:r>
      <w:r w:rsidR="00074A60" w:rsidRPr="00435CE9">
        <w:rPr>
          <w:sz w:val="22"/>
          <w:szCs w:val="22"/>
        </w:rPr>
        <w:t>,</w:t>
      </w:r>
      <w:r w:rsidRPr="00435CE9">
        <w:rPr>
          <w:sz w:val="22"/>
          <w:szCs w:val="22"/>
        </w:rPr>
        <w:t xml:space="preserve"> por medio </w:t>
      </w:r>
      <w:r w:rsidR="00074A60" w:rsidRPr="00435CE9">
        <w:rPr>
          <w:sz w:val="22"/>
          <w:szCs w:val="22"/>
        </w:rPr>
        <w:t>de su apoderado o representante legal</w:t>
      </w:r>
      <w:r w:rsidRPr="00435CE9">
        <w:rPr>
          <w:sz w:val="22"/>
          <w:szCs w:val="22"/>
        </w:rPr>
        <w:t>, presentara por escrito los argumentos y pruebas que considerara pertinentes, debiendo remitir a efecto determinada información.</w:t>
      </w:r>
    </w:p>
    <w:p w:rsidR="00BB3106" w:rsidRPr="00435CE9" w:rsidRDefault="00BB3106" w:rsidP="0098034E">
      <w:pPr>
        <w:spacing w:line="0" w:lineRule="atLeast"/>
        <w:ind w:left="720"/>
        <w:contextualSpacing/>
        <w:rPr>
          <w:sz w:val="22"/>
          <w:szCs w:val="22"/>
        </w:rPr>
      </w:pPr>
    </w:p>
    <w:p w:rsidR="00BB3106" w:rsidRPr="00435CE9" w:rsidRDefault="00BB3106" w:rsidP="0098034E">
      <w:pPr>
        <w:spacing w:line="0" w:lineRule="atLeast"/>
        <w:ind w:left="567"/>
        <w:contextualSpacing/>
        <w:jc w:val="both"/>
        <w:rPr>
          <w:sz w:val="22"/>
          <w:szCs w:val="22"/>
        </w:rPr>
      </w:pPr>
      <w:r w:rsidRPr="00435CE9">
        <w:rPr>
          <w:sz w:val="22"/>
          <w:szCs w:val="22"/>
        </w:rPr>
        <w:t xml:space="preserve">En el </w:t>
      </w:r>
      <w:r w:rsidR="005308DC" w:rsidRPr="00435CE9">
        <w:rPr>
          <w:sz w:val="22"/>
          <w:szCs w:val="22"/>
        </w:rPr>
        <w:t>mismo acuerdo</w:t>
      </w:r>
      <w:r w:rsidRPr="00435CE9">
        <w:rPr>
          <w:sz w:val="22"/>
          <w:szCs w:val="22"/>
        </w:rPr>
        <w:t xml:space="preserve">, se requirió al Centro de Atención al Usuario (CAU) de la SIGET, que manifestara por escrito si era necesaria la intervención de un perito externo para resolver el presente diferendo, proponiendo en caso de ser </w:t>
      </w:r>
      <w:r w:rsidR="00B72D88" w:rsidRPr="00435CE9">
        <w:rPr>
          <w:sz w:val="22"/>
          <w:szCs w:val="22"/>
        </w:rPr>
        <w:t>necesario, una terna de peritos; c</w:t>
      </w:r>
      <w:r w:rsidRPr="00435CE9">
        <w:rPr>
          <w:sz w:val="22"/>
          <w:szCs w:val="22"/>
        </w:rPr>
        <w:t>aso contrario, se solicitó que indicara que dicho Centro realizar</w:t>
      </w:r>
      <w:r w:rsidR="00B72D88" w:rsidRPr="00435CE9">
        <w:rPr>
          <w:sz w:val="22"/>
          <w:szCs w:val="22"/>
        </w:rPr>
        <w:t>ía</w:t>
      </w:r>
      <w:r w:rsidRPr="00435CE9">
        <w:rPr>
          <w:sz w:val="22"/>
          <w:szCs w:val="22"/>
        </w:rPr>
        <w:t xml:space="preserve"> la investigación correspondiente.</w:t>
      </w:r>
    </w:p>
    <w:p w:rsidR="00BB3106" w:rsidRPr="00435CE9" w:rsidRDefault="00BB3106" w:rsidP="0098034E">
      <w:pPr>
        <w:spacing w:line="0" w:lineRule="atLeast"/>
        <w:ind w:left="567"/>
        <w:contextualSpacing/>
        <w:jc w:val="both"/>
        <w:rPr>
          <w:sz w:val="22"/>
          <w:szCs w:val="22"/>
        </w:rPr>
      </w:pPr>
    </w:p>
    <w:p w:rsidR="00F53A2D" w:rsidRPr="002D26E5" w:rsidRDefault="00BB3106" w:rsidP="002D26E5">
      <w:pPr>
        <w:numPr>
          <w:ilvl w:val="0"/>
          <w:numId w:val="3"/>
        </w:numPr>
        <w:spacing w:after="200" w:line="0" w:lineRule="atLeast"/>
        <w:ind w:left="567" w:hanging="425"/>
        <w:contextualSpacing/>
        <w:jc w:val="both"/>
        <w:rPr>
          <w:sz w:val="22"/>
          <w:szCs w:val="22"/>
        </w:rPr>
      </w:pPr>
      <w:r w:rsidRPr="00435CE9">
        <w:rPr>
          <w:sz w:val="22"/>
          <w:szCs w:val="22"/>
        </w:rPr>
        <w:t>El licenciado</w:t>
      </w:r>
      <w:r w:rsidR="006F1AAD">
        <w:rPr>
          <w:sz w:val="22"/>
          <w:szCs w:val="22"/>
          <w:lang w:val="es-SV"/>
        </w:rPr>
        <w:t xml:space="preserve"> ***</w:t>
      </w:r>
      <w:r w:rsidR="00A91790" w:rsidRPr="00435CE9">
        <w:rPr>
          <w:sz w:val="22"/>
          <w:szCs w:val="22"/>
          <w:lang w:val="es-SV"/>
        </w:rPr>
        <w:t>, actuando en su calidad de apoderado general judicial con cláusula especial</w:t>
      </w:r>
      <w:r w:rsidR="00A91790" w:rsidRPr="00435CE9">
        <w:rPr>
          <w:sz w:val="22"/>
          <w:szCs w:val="22"/>
        </w:rPr>
        <w:t xml:space="preserve"> de</w:t>
      </w:r>
      <w:r w:rsidR="001B7389" w:rsidRPr="00435CE9">
        <w:rPr>
          <w:sz w:val="22"/>
          <w:szCs w:val="22"/>
        </w:rPr>
        <w:t xml:space="preserve"> la soc</w:t>
      </w:r>
      <w:r w:rsidRPr="00435CE9">
        <w:rPr>
          <w:sz w:val="22"/>
          <w:szCs w:val="22"/>
        </w:rPr>
        <w:t>iedad</w:t>
      </w:r>
      <w:r w:rsidR="006F1AAD">
        <w:rPr>
          <w:sz w:val="22"/>
          <w:szCs w:val="22"/>
        </w:rPr>
        <w:t xml:space="preserve"> ***</w:t>
      </w:r>
      <w:r w:rsidRPr="00435CE9">
        <w:rPr>
          <w:sz w:val="22"/>
          <w:szCs w:val="22"/>
        </w:rPr>
        <w:t>., presentó un escrito indica</w:t>
      </w:r>
      <w:r w:rsidR="00B55EEF" w:rsidRPr="00435CE9">
        <w:rPr>
          <w:sz w:val="22"/>
          <w:szCs w:val="22"/>
        </w:rPr>
        <w:t>ndo</w:t>
      </w:r>
      <w:r w:rsidR="002D26E5">
        <w:rPr>
          <w:sz w:val="22"/>
          <w:szCs w:val="22"/>
        </w:rPr>
        <w:t xml:space="preserve"> que su poderdante no era</w:t>
      </w:r>
      <w:r w:rsidRPr="00435CE9">
        <w:rPr>
          <w:sz w:val="22"/>
          <w:szCs w:val="22"/>
        </w:rPr>
        <w:t xml:space="preserve"> la responsable del daño ocurrido en </w:t>
      </w:r>
      <w:r w:rsidR="00B72D88" w:rsidRPr="00435CE9">
        <w:rPr>
          <w:sz w:val="22"/>
          <w:szCs w:val="22"/>
        </w:rPr>
        <w:t>los</w:t>
      </w:r>
      <w:r w:rsidRPr="00435CE9">
        <w:rPr>
          <w:sz w:val="22"/>
          <w:szCs w:val="22"/>
        </w:rPr>
        <w:t xml:space="preserve"> equipo</w:t>
      </w:r>
      <w:r w:rsidR="00B72D88" w:rsidRPr="00435CE9">
        <w:rPr>
          <w:sz w:val="22"/>
          <w:szCs w:val="22"/>
        </w:rPr>
        <w:t>s</w:t>
      </w:r>
      <w:r w:rsidRPr="00435CE9">
        <w:rPr>
          <w:sz w:val="22"/>
          <w:szCs w:val="22"/>
        </w:rPr>
        <w:t xml:space="preserve"> eléctrico</w:t>
      </w:r>
      <w:r w:rsidR="00B72D88" w:rsidRPr="00435CE9">
        <w:rPr>
          <w:sz w:val="22"/>
          <w:szCs w:val="22"/>
        </w:rPr>
        <w:t>s</w:t>
      </w:r>
      <w:r w:rsidRPr="00435CE9">
        <w:rPr>
          <w:sz w:val="22"/>
          <w:szCs w:val="22"/>
        </w:rPr>
        <w:t xml:space="preserve"> reportado</w:t>
      </w:r>
      <w:r w:rsidR="00B72D88" w:rsidRPr="00435CE9">
        <w:rPr>
          <w:sz w:val="22"/>
          <w:szCs w:val="22"/>
        </w:rPr>
        <w:t>s</w:t>
      </w:r>
      <w:r w:rsidRPr="00435CE9">
        <w:rPr>
          <w:sz w:val="22"/>
          <w:szCs w:val="22"/>
        </w:rPr>
        <w:t xml:space="preserve"> como dañado</w:t>
      </w:r>
      <w:r w:rsidR="00B72D88" w:rsidRPr="00435CE9">
        <w:rPr>
          <w:sz w:val="22"/>
          <w:szCs w:val="22"/>
        </w:rPr>
        <w:t>s</w:t>
      </w:r>
      <w:r w:rsidRPr="00435CE9">
        <w:rPr>
          <w:sz w:val="22"/>
          <w:szCs w:val="22"/>
        </w:rPr>
        <w:t>.</w:t>
      </w:r>
      <w:r w:rsidR="002D26E5">
        <w:rPr>
          <w:sz w:val="22"/>
          <w:szCs w:val="22"/>
        </w:rPr>
        <w:t xml:space="preserve"> Adj</w:t>
      </w:r>
      <w:r w:rsidR="002B0E8D">
        <w:rPr>
          <w:sz w:val="22"/>
          <w:szCs w:val="22"/>
        </w:rPr>
        <w:t>untó</w:t>
      </w:r>
      <w:r w:rsidR="00F53A2D" w:rsidRPr="002D26E5">
        <w:rPr>
          <w:sz w:val="22"/>
          <w:szCs w:val="22"/>
        </w:rPr>
        <w:t xml:space="preserve"> al</w:t>
      </w:r>
      <w:r w:rsidRPr="002D26E5">
        <w:rPr>
          <w:sz w:val="22"/>
          <w:szCs w:val="22"/>
        </w:rPr>
        <w:t xml:space="preserve"> escrito</w:t>
      </w:r>
      <w:r w:rsidR="00F53A2D" w:rsidRPr="002D26E5">
        <w:rPr>
          <w:sz w:val="22"/>
          <w:szCs w:val="22"/>
        </w:rPr>
        <w:t>, diversa información</w:t>
      </w:r>
      <w:r w:rsidR="002B0E8D">
        <w:rPr>
          <w:sz w:val="22"/>
          <w:szCs w:val="22"/>
        </w:rPr>
        <w:t xml:space="preserve"> digital</w:t>
      </w:r>
      <w:r w:rsidR="00F53A2D" w:rsidRPr="002D26E5">
        <w:rPr>
          <w:sz w:val="22"/>
          <w:szCs w:val="22"/>
        </w:rPr>
        <w:t xml:space="preserve"> vinculada con sus alegatos y una copia del informe técnico del caso.</w:t>
      </w:r>
    </w:p>
    <w:p w:rsidR="00BB3106" w:rsidRPr="00435CE9" w:rsidRDefault="00F53A2D" w:rsidP="0098034E">
      <w:pPr>
        <w:spacing w:line="0" w:lineRule="atLeast"/>
        <w:ind w:left="567"/>
        <w:contextualSpacing/>
        <w:jc w:val="both"/>
        <w:rPr>
          <w:sz w:val="22"/>
          <w:szCs w:val="22"/>
        </w:rPr>
      </w:pPr>
      <w:r w:rsidRPr="00435CE9">
        <w:rPr>
          <w:sz w:val="22"/>
          <w:szCs w:val="22"/>
        </w:rPr>
        <w:t xml:space="preserve"> </w:t>
      </w:r>
    </w:p>
    <w:p w:rsidR="00BB3106" w:rsidRPr="00435CE9" w:rsidRDefault="00BB3106" w:rsidP="004F3C0A">
      <w:pPr>
        <w:numPr>
          <w:ilvl w:val="0"/>
          <w:numId w:val="3"/>
        </w:numPr>
        <w:spacing w:after="200" w:line="0" w:lineRule="atLeast"/>
        <w:ind w:left="567" w:hanging="425"/>
        <w:contextualSpacing/>
        <w:jc w:val="both"/>
        <w:rPr>
          <w:sz w:val="22"/>
          <w:szCs w:val="22"/>
        </w:rPr>
      </w:pPr>
      <w:r w:rsidRPr="00435CE9">
        <w:rPr>
          <w:sz w:val="22"/>
          <w:szCs w:val="22"/>
        </w:rPr>
        <w:t>Por su parte, el Centro de Atención al Usuario de esta Superintendencia informó que con base en los argumentos y comentarios expuestos por las partes, no e</w:t>
      </w:r>
      <w:r w:rsidR="00B55EEF" w:rsidRPr="00435CE9">
        <w:rPr>
          <w:sz w:val="22"/>
          <w:szCs w:val="22"/>
        </w:rPr>
        <w:t>ra</w:t>
      </w:r>
      <w:r w:rsidRPr="00435CE9">
        <w:rPr>
          <w:sz w:val="22"/>
          <w:szCs w:val="22"/>
        </w:rPr>
        <w:t xml:space="preserve"> necesaria la intervención de un perito externo para la solución del reclamo en trámite; por lo que la investigación y el dictamen correspondiente ser</w:t>
      </w:r>
      <w:r w:rsidR="00B55EEF" w:rsidRPr="00435CE9">
        <w:rPr>
          <w:sz w:val="22"/>
          <w:szCs w:val="22"/>
        </w:rPr>
        <w:t>ía</w:t>
      </w:r>
      <w:r w:rsidRPr="00435CE9">
        <w:rPr>
          <w:sz w:val="22"/>
          <w:szCs w:val="22"/>
        </w:rPr>
        <w:t xml:space="preserve"> realizado por el área técnica de dicho Centro. </w:t>
      </w:r>
    </w:p>
    <w:p w:rsidR="0000578A" w:rsidRPr="00435CE9" w:rsidRDefault="0000578A" w:rsidP="0098034E">
      <w:pPr>
        <w:spacing w:after="200" w:line="0" w:lineRule="atLeast"/>
        <w:ind w:left="426"/>
        <w:contextualSpacing/>
        <w:jc w:val="both"/>
        <w:rPr>
          <w:rFonts w:eastAsiaTheme="minorEastAsia"/>
          <w:sz w:val="22"/>
          <w:szCs w:val="22"/>
          <w:lang w:eastAsia="es-SV"/>
        </w:rPr>
      </w:pPr>
    </w:p>
    <w:p w:rsidR="007E3BAD" w:rsidRPr="00435CE9" w:rsidRDefault="00BB3106" w:rsidP="004F3C0A">
      <w:pPr>
        <w:numPr>
          <w:ilvl w:val="0"/>
          <w:numId w:val="3"/>
        </w:numPr>
        <w:spacing w:after="200" w:line="0" w:lineRule="atLeast"/>
        <w:ind w:left="567" w:hanging="425"/>
        <w:contextualSpacing/>
        <w:jc w:val="both"/>
        <w:rPr>
          <w:sz w:val="22"/>
          <w:szCs w:val="22"/>
          <w:lang w:val="es-MX"/>
        </w:rPr>
      </w:pPr>
      <w:r w:rsidRPr="00435CE9">
        <w:rPr>
          <w:sz w:val="22"/>
          <w:szCs w:val="22"/>
          <w:lang w:val="es-SV"/>
        </w:rPr>
        <w:t xml:space="preserve">Por medio </w:t>
      </w:r>
      <w:r w:rsidR="006A199A" w:rsidRPr="00435CE9">
        <w:rPr>
          <w:sz w:val="22"/>
          <w:szCs w:val="22"/>
          <w:lang w:val="es-SV"/>
        </w:rPr>
        <w:t xml:space="preserve">del acuerdo </w:t>
      </w:r>
      <w:r w:rsidRPr="00435CE9">
        <w:rPr>
          <w:sz w:val="22"/>
          <w:szCs w:val="22"/>
          <w:lang w:val="es-SV"/>
        </w:rPr>
        <w:t>No. E-</w:t>
      </w:r>
      <w:r w:rsidR="00F53A2D" w:rsidRPr="00435CE9">
        <w:rPr>
          <w:sz w:val="22"/>
          <w:szCs w:val="22"/>
          <w:lang w:val="es-SV"/>
        </w:rPr>
        <w:t>159-2016</w:t>
      </w:r>
      <w:r w:rsidRPr="00435CE9">
        <w:rPr>
          <w:sz w:val="22"/>
          <w:szCs w:val="22"/>
          <w:lang w:val="es-SV"/>
        </w:rPr>
        <w:t xml:space="preserve">-CAU, esta Superintendencia </w:t>
      </w:r>
      <w:r w:rsidR="00F53A2D" w:rsidRPr="00435CE9">
        <w:rPr>
          <w:sz w:val="22"/>
          <w:szCs w:val="22"/>
          <w:lang w:val="es-MX"/>
        </w:rPr>
        <w:t>comisionó al Centro de Atención al Usuario de la SIGET, para que rindiera el informe técnico correspondiente establecie</w:t>
      </w:r>
      <w:r w:rsidR="003A1923" w:rsidRPr="00435CE9">
        <w:rPr>
          <w:sz w:val="22"/>
          <w:szCs w:val="22"/>
          <w:lang w:val="es-MX"/>
        </w:rPr>
        <w:t>ndo</w:t>
      </w:r>
      <w:r w:rsidR="002A17FE" w:rsidRPr="00435CE9">
        <w:rPr>
          <w:sz w:val="22"/>
          <w:szCs w:val="22"/>
          <w:lang w:val="es-MX"/>
        </w:rPr>
        <w:t xml:space="preserve"> el origen </w:t>
      </w:r>
      <w:r w:rsidR="00F53A2D" w:rsidRPr="00435CE9">
        <w:rPr>
          <w:sz w:val="22"/>
          <w:szCs w:val="22"/>
          <w:lang w:val="es-MX"/>
        </w:rPr>
        <w:t>de</w:t>
      </w:r>
      <w:r w:rsidR="00F833F7">
        <w:rPr>
          <w:sz w:val="22"/>
          <w:szCs w:val="22"/>
          <w:lang w:val="es-MX"/>
        </w:rPr>
        <w:t xml:space="preserve"> </w:t>
      </w:r>
      <w:r w:rsidR="00F53A2D" w:rsidRPr="00435CE9">
        <w:rPr>
          <w:sz w:val="22"/>
          <w:szCs w:val="22"/>
          <w:lang w:val="es-MX"/>
        </w:rPr>
        <w:t>l</w:t>
      </w:r>
      <w:r w:rsidR="00F833F7">
        <w:rPr>
          <w:sz w:val="22"/>
          <w:szCs w:val="22"/>
          <w:lang w:val="es-MX"/>
        </w:rPr>
        <w:t>os</w:t>
      </w:r>
      <w:r w:rsidR="00F53A2D" w:rsidRPr="00435CE9">
        <w:rPr>
          <w:sz w:val="22"/>
          <w:szCs w:val="22"/>
          <w:lang w:val="es-MX"/>
        </w:rPr>
        <w:t xml:space="preserve"> daño</w:t>
      </w:r>
      <w:r w:rsidR="00F833F7">
        <w:rPr>
          <w:sz w:val="22"/>
          <w:szCs w:val="22"/>
          <w:lang w:val="es-MX"/>
        </w:rPr>
        <w:t>s</w:t>
      </w:r>
      <w:r w:rsidR="00F53A2D" w:rsidRPr="00435CE9">
        <w:rPr>
          <w:sz w:val="22"/>
          <w:szCs w:val="22"/>
          <w:lang w:val="es-MX"/>
        </w:rPr>
        <w:t xml:space="preserve"> reclamado</w:t>
      </w:r>
      <w:r w:rsidR="00F833F7">
        <w:rPr>
          <w:sz w:val="22"/>
          <w:szCs w:val="22"/>
          <w:lang w:val="es-MX"/>
        </w:rPr>
        <w:t xml:space="preserve">s. </w:t>
      </w:r>
    </w:p>
    <w:p w:rsidR="007E3BAD" w:rsidRPr="00435CE9" w:rsidRDefault="007E3BAD" w:rsidP="0098034E">
      <w:pPr>
        <w:spacing w:line="0" w:lineRule="atLeast"/>
        <w:ind w:left="567"/>
        <w:contextualSpacing/>
        <w:jc w:val="both"/>
        <w:rPr>
          <w:sz w:val="22"/>
          <w:szCs w:val="22"/>
          <w:lang w:val="es-MX"/>
        </w:rPr>
      </w:pPr>
    </w:p>
    <w:p w:rsidR="008A0C88" w:rsidRPr="00435CE9" w:rsidRDefault="00BB3106" w:rsidP="004F3C0A">
      <w:pPr>
        <w:numPr>
          <w:ilvl w:val="0"/>
          <w:numId w:val="3"/>
        </w:numPr>
        <w:spacing w:after="200" w:line="0" w:lineRule="atLeast"/>
        <w:ind w:left="567" w:hanging="425"/>
        <w:contextualSpacing/>
        <w:jc w:val="both"/>
        <w:rPr>
          <w:sz w:val="22"/>
          <w:szCs w:val="22"/>
          <w:lang w:val="es-SV"/>
        </w:rPr>
      </w:pPr>
      <w:r w:rsidRPr="00435CE9">
        <w:rPr>
          <w:sz w:val="22"/>
          <w:szCs w:val="22"/>
          <w:lang w:val="es-SV"/>
        </w:rPr>
        <w:t xml:space="preserve">El CAU de la SIGET </w:t>
      </w:r>
      <w:r w:rsidR="00126BD4" w:rsidRPr="00435CE9">
        <w:rPr>
          <w:sz w:val="22"/>
          <w:szCs w:val="22"/>
          <w:lang w:val="es-SV"/>
        </w:rPr>
        <w:t>rindió el informe técnico No.</w:t>
      </w:r>
      <w:r w:rsidR="0098034E" w:rsidRPr="00435CE9">
        <w:rPr>
          <w:sz w:val="22"/>
          <w:szCs w:val="22"/>
          <w:lang w:val="es-SV"/>
        </w:rPr>
        <w:t xml:space="preserve"> </w:t>
      </w:r>
      <w:r w:rsidR="00B2256D" w:rsidRPr="00435CE9">
        <w:rPr>
          <w:sz w:val="22"/>
          <w:szCs w:val="22"/>
          <w:lang w:val="es-SV"/>
        </w:rPr>
        <w:t>IT-</w:t>
      </w:r>
      <w:r w:rsidR="002A17FE" w:rsidRPr="00435CE9">
        <w:rPr>
          <w:sz w:val="22"/>
          <w:szCs w:val="22"/>
          <w:lang w:val="es-SV"/>
        </w:rPr>
        <w:t>017-32888</w:t>
      </w:r>
      <w:r w:rsidR="00B2256D" w:rsidRPr="00435CE9">
        <w:rPr>
          <w:color w:val="000000"/>
          <w:sz w:val="22"/>
          <w:szCs w:val="22"/>
          <w:lang w:val="es-SV"/>
        </w:rPr>
        <w:t xml:space="preserve">-CAU, </w:t>
      </w:r>
      <w:r w:rsidRPr="00435CE9">
        <w:rPr>
          <w:color w:val="000000"/>
          <w:sz w:val="22"/>
          <w:szCs w:val="22"/>
          <w:lang w:val="es-SV"/>
        </w:rPr>
        <w:t>dictaminando lo siguiente:</w:t>
      </w:r>
    </w:p>
    <w:p w:rsidR="006417A1" w:rsidRPr="00435CE9" w:rsidRDefault="006417A1" w:rsidP="008A0C88">
      <w:pPr>
        <w:spacing w:after="200" w:line="0" w:lineRule="atLeast"/>
        <w:ind w:left="567"/>
        <w:contextualSpacing/>
        <w:jc w:val="both"/>
        <w:rPr>
          <w:i/>
          <w:color w:val="000000"/>
          <w:sz w:val="22"/>
          <w:szCs w:val="22"/>
          <w:lang w:val="es-SV"/>
        </w:rPr>
      </w:pPr>
    </w:p>
    <w:p w:rsidR="00920B65" w:rsidRPr="00435CE9" w:rsidRDefault="00BB3106" w:rsidP="00E62469">
      <w:pPr>
        <w:spacing w:after="200" w:line="0" w:lineRule="atLeast"/>
        <w:ind w:left="567"/>
        <w:contextualSpacing/>
        <w:jc w:val="both"/>
        <w:rPr>
          <w:b/>
          <w:i/>
          <w:sz w:val="22"/>
          <w:szCs w:val="22"/>
          <w:u w:val="single"/>
        </w:rPr>
      </w:pPr>
      <w:r w:rsidRPr="00435CE9">
        <w:rPr>
          <w:i/>
          <w:color w:val="000000"/>
          <w:sz w:val="22"/>
          <w:szCs w:val="22"/>
          <w:lang w:val="es-SV"/>
        </w:rPr>
        <w:t>“…</w:t>
      </w:r>
      <w:bookmarkStart w:id="1" w:name="_Toc444667352"/>
      <w:bookmarkStart w:id="2" w:name="_Toc472608683"/>
      <w:bookmarkStart w:id="3" w:name="_Toc511995951"/>
      <w:r w:rsidR="00E62469" w:rsidRPr="00435CE9">
        <w:rPr>
          <w:i/>
          <w:color w:val="000000"/>
          <w:sz w:val="22"/>
          <w:szCs w:val="22"/>
          <w:lang w:val="es-SV"/>
        </w:rPr>
        <w:t xml:space="preserve"> </w:t>
      </w:r>
      <w:r w:rsidR="008A0C88" w:rsidRPr="00435CE9">
        <w:rPr>
          <w:b/>
          <w:i/>
          <w:sz w:val="22"/>
          <w:szCs w:val="22"/>
          <w:u w:val="single"/>
        </w:rPr>
        <w:t>DICTAMEN</w:t>
      </w:r>
      <w:bookmarkEnd w:id="1"/>
      <w:bookmarkEnd w:id="2"/>
      <w:bookmarkEnd w:id="3"/>
      <w:r w:rsidR="008A0C88" w:rsidRPr="00435CE9">
        <w:rPr>
          <w:b/>
          <w:i/>
          <w:sz w:val="22"/>
          <w:szCs w:val="22"/>
          <w:u w:val="single"/>
        </w:rPr>
        <w:t xml:space="preserve"> </w:t>
      </w:r>
    </w:p>
    <w:p w:rsidR="00920B65" w:rsidRPr="00435CE9" w:rsidRDefault="00920B65" w:rsidP="00920B65">
      <w:pPr>
        <w:spacing w:line="0" w:lineRule="atLeast"/>
        <w:ind w:left="567"/>
        <w:jc w:val="both"/>
        <w:rPr>
          <w:b/>
          <w:i/>
          <w:sz w:val="22"/>
          <w:szCs w:val="22"/>
          <w:u w:val="single"/>
        </w:rPr>
      </w:pPr>
    </w:p>
    <w:p w:rsidR="00920B65" w:rsidRPr="00435CE9" w:rsidRDefault="00920B65" w:rsidP="00920B65">
      <w:pPr>
        <w:spacing w:line="0" w:lineRule="atLeast"/>
        <w:ind w:left="567"/>
        <w:jc w:val="both"/>
        <w:rPr>
          <w:b/>
          <w:i/>
          <w:sz w:val="22"/>
          <w:szCs w:val="22"/>
          <w:u w:val="single"/>
        </w:rPr>
      </w:pPr>
      <w:r w:rsidRPr="00435CE9">
        <w:rPr>
          <w:i/>
          <w:sz w:val="22"/>
          <w:szCs w:val="22"/>
        </w:rPr>
        <w:t>Con base en la normativa aplicable y al análisis realizado al caso, se determina lo siguiente:</w:t>
      </w:r>
    </w:p>
    <w:p w:rsidR="00920B65" w:rsidRPr="00435CE9" w:rsidRDefault="00920B65" w:rsidP="00920B65">
      <w:pPr>
        <w:pStyle w:val="Textoindependiente"/>
        <w:spacing w:line="276" w:lineRule="auto"/>
        <w:rPr>
          <w:i/>
          <w:color w:val="FF0000"/>
          <w:sz w:val="22"/>
          <w:szCs w:val="22"/>
        </w:rPr>
      </w:pPr>
    </w:p>
    <w:p w:rsidR="00920B65" w:rsidRPr="00435CE9" w:rsidRDefault="00920B65" w:rsidP="004F3C0A">
      <w:pPr>
        <w:pStyle w:val="Prrafodelista"/>
        <w:numPr>
          <w:ilvl w:val="0"/>
          <w:numId w:val="2"/>
        </w:numPr>
        <w:spacing w:line="0" w:lineRule="atLeast"/>
        <w:ind w:left="927"/>
        <w:contextualSpacing/>
        <w:jc w:val="both"/>
        <w:rPr>
          <w:i/>
          <w:sz w:val="22"/>
          <w:szCs w:val="22"/>
        </w:rPr>
      </w:pPr>
      <w:r w:rsidRPr="00435CE9">
        <w:rPr>
          <w:i/>
          <w:sz w:val="22"/>
          <w:szCs w:val="22"/>
        </w:rPr>
        <w:t xml:space="preserve">En consideración con lo expuesto, este Centro de Denuncias de la SIGET considera que las pruebas presentadas por la empresa distribuidora son aceptables, ya que por medio de éstas la Distribuidora ha podido comprobar y demostrar fehacientemente que en la fecha en que indica la usuaria que se le dañaron los equipos eléctricos objeto del diferendo que nos ocupa, se registraron tres eventos que corresponde a interrupciones por maniobras para restablecer el servicio debido al retiro de línea de telefonía la cual hacía contacto con la red eléctrica a media tensión  y al cambio de poste chocado por automotor (catalogado por la Gerencia de Electricidad como caso de Fuerza Mayor), en donde se afectó a todos los suministros vinculados con el circuito </w:t>
      </w:r>
      <w:r w:rsidRPr="00435CE9">
        <w:rPr>
          <w:b/>
          <w:i/>
          <w:sz w:val="22"/>
          <w:szCs w:val="22"/>
        </w:rPr>
        <w:t>313-1-43</w:t>
      </w:r>
      <w:r w:rsidRPr="00435CE9">
        <w:rPr>
          <w:i/>
          <w:sz w:val="22"/>
          <w:szCs w:val="22"/>
        </w:rPr>
        <w:t>,</w:t>
      </w:r>
      <w:r w:rsidRPr="00435CE9">
        <w:rPr>
          <w:b/>
          <w:i/>
          <w:sz w:val="22"/>
          <w:szCs w:val="22"/>
        </w:rPr>
        <w:t xml:space="preserve"> </w:t>
      </w:r>
      <w:r w:rsidRPr="00435CE9">
        <w:rPr>
          <w:i/>
          <w:sz w:val="22"/>
          <w:szCs w:val="22"/>
        </w:rPr>
        <w:t xml:space="preserve">de la subestación </w:t>
      </w:r>
      <w:r w:rsidRPr="00435CE9">
        <w:rPr>
          <w:b/>
          <w:i/>
          <w:sz w:val="22"/>
          <w:szCs w:val="22"/>
        </w:rPr>
        <w:t>“San Francisco Gotera”</w:t>
      </w:r>
      <w:r w:rsidRPr="00435CE9">
        <w:rPr>
          <w:i/>
          <w:sz w:val="22"/>
          <w:szCs w:val="22"/>
        </w:rPr>
        <w:t xml:space="preserve">, dicha interrupción tuvo una duración de 2 horas y 3 minutos. </w:t>
      </w:r>
    </w:p>
    <w:p w:rsidR="00920B65" w:rsidRPr="00435CE9" w:rsidRDefault="00920B65" w:rsidP="00920B65">
      <w:pPr>
        <w:pStyle w:val="Textoindependiente"/>
        <w:spacing w:line="0" w:lineRule="atLeast"/>
        <w:ind w:left="567"/>
        <w:rPr>
          <w:i/>
          <w:color w:val="FF0000"/>
          <w:sz w:val="22"/>
          <w:szCs w:val="22"/>
        </w:rPr>
      </w:pPr>
    </w:p>
    <w:p w:rsidR="00920B65" w:rsidRPr="00435CE9" w:rsidRDefault="00920B65" w:rsidP="004F3C0A">
      <w:pPr>
        <w:pStyle w:val="Prrafodelista"/>
        <w:numPr>
          <w:ilvl w:val="0"/>
          <w:numId w:val="2"/>
        </w:numPr>
        <w:spacing w:line="0" w:lineRule="atLeast"/>
        <w:ind w:left="927"/>
        <w:contextualSpacing/>
        <w:jc w:val="both"/>
        <w:rPr>
          <w:i/>
          <w:sz w:val="22"/>
          <w:szCs w:val="22"/>
        </w:rPr>
      </w:pPr>
      <w:r w:rsidRPr="00435CE9">
        <w:rPr>
          <w:i/>
          <w:sz w:val="22"/>
          <w:szCs w:val="22"/>
        </w:rPr>
        <w:t xml:space="preserve">Los eventos registrados en la fecha del 24 de octubre de 2015, corresponden a interrupciones por la incidencia de causas no imputables a la distribuidora, debido al choque de un vehículo con infraestructura eléctrica; dicho suceso ha sido aprobado por esta Superintendencia como un caso de Fuerza Mayor; por lo consiguiente, somos de la opinión que no se le puede atribuir a la distribuidora eléctrica EEO la responsabilidad por el daño en los equipos eléctricos reportados en el suministro identificado con el NIC 3131630, debido a que durante el proceso de nuestra investigación, únicamente se encontró evidencia que el servicio en referencia fue afectado solamente por la falta de suministro de energía eléctrica en tres ocasiones en la fecha del 24 de octubre de 2015, al igual que todos los usuarios relacionados con el circuito </w:t>
      </w:r>
      <w:r w:rsidRPr="00435CE9">
        <w:rPr>
          <w:b/>
          <w:i/>
          <w:sz w:val="22"/>
          <w:szCs w:val="22"/>
        </w:rPr>
        <w:t xml:space="preserve">313-1-43 </w:t>
      </w:r>
      <w:r w:rsidRPr="00435CE9">
        <w:rPr>
          <w:i/>
          <w:sz w:val="22"/>
          <w:szCs w:val="22"/>
        </w:rPr>
        <w:t>de la subestación</w:t>
      </w:r>
      <w:r w:rsidRPr="00435CE9">
        <w:rPr>
          <w:b/>
          <w:i/>
          <w:sz w:val="22"/>
          <w:szCs w:val="22"/>
        </w:rPr>
        <w:t xml:space="preserve"> “San Francisco Gotera”.</w:t>
      </w:r>
    </w:p>
    <w:p w:rsidR="00920B65" w:rsidRPr="00435CE9" w:rsidRDefault="00920B65" w:rsidP="00920B65">
      <w:pPr>
        <w:pStyle w:val="Prrafodelista"/>
        <w:spacing w:line="0" w:lineRule="atLeast"/>
        <w:ind w:left="927" w:hanging="360"/>
        <w:jc w:val="both"/>
        <w:rPr>
          <w:i/>
          <w:sz w:val="22"/>
          <w:szCs w:val="22"/>
        </w:rPr>
      </w:pPr>
    </w:p>
    <w:p w:rsidR="00BB3106" w:rsidRPr="00435CE9" w:rsidRDefault="00920B65" w:rsidP="004F3C0A">
      <w:pPr>
        <w:pStyle w:val="Prrafodelista"/>
        <w:numPr>
          <w:ilvl w:val="0"/>
          <w:numId w:val="2"/>
        </w:numPr>
        <w:spacing w:line="0" w:lineRule="atLeast"/>
        <w:ind w:left="927"/>
        <w:contextualSpacing/>
        <w:jc w:val="both"/>
        <w:rPr>
          <w:i/>
          <w:sz w:val="22"/>
          <w:szCs w:val="22"/>
          <w:lang w:val="es-SV"/>
        </w:rPr>
      </w:pPr>
      <w:r w:rsidRPr="00435CE9">
        <w:rPr>
          <w:i/>
          <w:sz w:val="22"/>
          <w:szCs w:val="22"/>
        </w:rPr>
        <w:t xml:space="preserve">Consecuencia de lo anterior y con base en lo expuesto a lo largo del informe técnico precedente, este Centro de Atención al Usuario de la SIGET, es de la opinión que la sociedad </w:t>
      </w:r>
      <w:r w:rsidR="006F1AAD">
        <w:rPr>
          <w:i/>
          <w:sz w:val="22"/>
          <w:szCs w:val="22"/>
        </w:rPr>
        <w:t xml:space="preserve"> *** </w:t>
      </w:r>
      <w:r w:rsidRPr="00435CE9">
        <w:rPr>
          <w:i/>
          <w:sz w:val="22"/>
          <w:szCs w:val="22"/>
        </w:rPr>
        <w:t xml:space="preserve">no es la responsable por los daños acontecidos en los equipos eléctricos reportados por la señorita </w:t>
      </w:r>
      <w:r w:rsidR="006F1AAD">
        <w:rPr>
          <w:i/>
          <w:sz w:val="22"/>
          <w:szCs w:val="22"/>
        </w:rPr>
        <w:t xml:space="preserve"> ** </w:t>
      </w:r>
      <w:r w:rsidRPr="00435CE9">
        <w:rPr>
          <w:i/>
          <w:sz w:val="22"/>
          <w:szCs w:val="22"/>
        </w:rPr>
        <w:t xml:space="preserve"> correspondiente al suministro identificado con el NIC </w:t>
      </w:r>
      <w:r w:rsidR="006F1AAD">
        <w:rPr>
          <w:i/>
          <w:sz w:val="22"/>
          <w:szCs w:val="22"/>
        </w:rPr>
        <w:t xml:space="preserve"> ** </w:t>
      </w:r>
      <w:r w:rsidRPr="00435CE9">
        <w:rPr>
          <w:i/>
          <w:sz w:val="22"/>
          <w:szCs w:val="22"/>
        </w:rPr>
        <w:t>por lo consiguiente, la compensación por daños reclamados correspondiente a la cantidad de</w:t>
      </w:r>
      <w:r w:rsidR="006F1AAD">
        <w:rPr>
          <w:b/>
          <w:i/>
          <w:sz w:val="22"/>
          <w:szCs w:val="22"/>
        </w:rPr>
        <w:t xml:space="preserve"> ** </w:t>
      </w:r>
      <w:r w:rsidRPr="00435CE9">
        <w:rPr>
          <w:i/>
          <w:sz w:val="22"/>
          <w:szCs w:val="22"/>
        </w:rPr>
        <w:t xml:space="preserve">, no es procedente. </w:t>
      </w:r>
      <w:r w:rsidR="00BB3106" w:rsidRPr="00435CE9">
        <w:rPr>
          <w:i/>
          <w:sz w:val="22"/>
          <w:szCs w:val="22"/>
          <w:lang w:val="es-SV"/>
        </w:rPr>
        <w:t>(…)”</w:t>
      </w:r>
    </w:p>
    <w:p w:rsidR="009C683F" w:rsidRPr="00435CE9" w:rsidRDefault="009C683F" w:rsidP="009C683F">
      <w:pPr>
        <w:pStyle w:val="Prrafodelista"/>
        <w:rPr>
          <w:i/>
          <w:sz w:val="22"/>
          <w:szCs w:val="22"/>
          <w:lang w:val="es-SV"/>
        </w:rPr>
      </w:pPr>
    </w:p>
    <w:p w:rsidR="0098034E" w:rsidRPr="00435CE9" w:rsidRDefault="0098034E" w:rsidP="004F3C0A">
      <w:pPr>
        <w:numPr>
          <w:ilvl w:val="0"/>
          <w:numId w:val="3"/>
        </w:numPr>
        <w:spacing w:after="200" w:line="0" w:lineRule="atLeast"/>
        <w:ind w:left="567" w:hanging="425"/>
        <w:contextualSpacing/>
        <w:jc w:val="both"/>
        <w:rPr>
          <w:sz w:val="22"/>
          <w:szCs w:val="22"/>
        </w:rPr>
      </w:pPr>
      <w:r w:rsidRPr="00435CE9">
        <w:rPr>
          <w:sz w:val="22"/>
          <w:szCs w:val="22"/>
        </w:rPr>
        <w:t>Con fundamento en el informe técnico No. IT-</w:t>
      </w:r>
      <w:r w:rsidR="002A17FE" w:rsidRPr="00435CE9">
        <w:rPr>
          <w:sz w:val="22"/>
          <w:szCs w:val="22"/>
        </w:rPr>
        <w:t>017-32888</w:t>
      </w:r>
      <w:r w:rsidRPr="00435CE9">
        <w:rPr>
          <w:sz w:val="22"/>
          <w:szCs w:val="22"/>
        </w:rPr>
        <w:t>-CAU rendido por el Centro de Atención al Usuario de la SIGET, esta Superintendencia considera pertinente realizar las valoraciones siguientes:</w:t>
      </w:r>
    </w:p>
    <w:p w:rsidR="0098034E" w:rsidRPr="00435CE9" w:rsidRDefault="006417A1" w:rsidP="004F3C0A">
      <w:pPr>
        <w:pStyle w:val="Prrafodelista"/>
        <w:numPr>
          <w:ilvl w:val="0"/>
          <w:numId w:val="8"/>
        </w:numPr>
        <w:spacing w:after="200" w:line="0" w:lineRule="atLeast"/>
        <w:jc w:val="both"/>
        <w:rPr>
          <w:sz w:val="22"/>
          <w:szCs w:val="22"/>
        </w:rPr>
      </w:pPr>
      <w:r w:rsidRPr="00435CE9">
        <w:rPr>
          <w:sz w:val="22"/>
          <w:szCs w:val="22"/>
        </w:rPr>
        <w:t xml:space="preserve">Marco </w:t>
      </w:r>
      <w:r w:rsidR="00B404E9" w:rsidRPr="00435CE9">
        <w:rPr>
          <w:sz w:val="22"/>
          <w:szCs w:val="22"/>
        </w:rPr>
        <w:t xml:space="preserve">jurídico aplicable </w:t>
      </w:r>
    </w:p>
    <w:p w:rsidR="0098034E" w:rsidRPr="00435CE9" w:rsidRDefault="006417A1" w:rsidP="004F3C0A">
      <w:pPr>
        <w:numPr>
          <w:ilvl w:val="0"/>
          <w:numId w:val="4"/>
        </w:numPr>
        <w:spacing w:after="200" w:line="0" w:lineRule="atLeast"/>
        <w:ind w:left="851" w:hanging="283"/>
        <w:contextualSpacing/>
        <w:jc w:val="both"/>
        <w:rPr>
          <w:bCs/>
          <w:sz w:val="22"/>
          <w:szCs w:val="22"/>
          <w:lang w:val="es-SV" w:eastAsia="es-SV"/>
        </w:rPr>
      </w:pPr>
      <w:r w:rsidRPr="00435CE9">
        <w:rPr>
          <w:bCs/>
          <w:sz w:val="22"/>
          <w:szCs w:val="22"/>
          <w:lang w:val="es-SV" w:eastAsia="es-SV"/>
        </w:rPr>
        <w:t xml:space="preserve">Ley General De Electricidad </w:t>
      </w:r>
    </w:p>
    <w:p w:rsidR="0098034E" w:rsidRPr="00435CE9" w:rsidRDefault="0098034E" w:rsidP="0098034E">
      <w:pPr>
        <w:spacing w:line="0" w:lineRule="atLeast"/>
        <w:jc w:val="both"/>
        <w:rPr>
          <w:rFonts w:eastAsia="Calibri"/>
          <w:b/>
          <w:sz w:val="22"/>
          <w:szCs w:val="22"/>
          <w:u w:val="single"/>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s-MX"/>
        </w:rPr>
      </w:pPr>
      <w:r w:rsidRPr="00435CE9">
        <w:rPr>
          <w:rFonts w:eastAsia="Calibri"/>
          <w:sz w:val="22"/>
          <w:szCs w:val="22"/>
          <w:lang w:val="es-SV" w:eastAsia="en-US"/>
        </w:rPr>
        <w:t xml:space="preserve">De acuerdo </w:t>
      </w:r>
      <w:r w:rsidRPr="00435CE9">
        <w:rPr>
          <w:rFonts w:eastAsia="Calibri"/>
          <w:sz w:val="22"/>
          <w:szCs w:val="22"/>
          <w:lang w:val="es-SV" w:eastAsia="es-MX"/>
        </w:rPr>
        <w:t>al artículo 2 letra e)</w:t>
      </w:r>
      <w:r w:rsidRPr="00435CE9">
        <w:rPr>
          <w:rFonts w:eastAsia="Calibri"/>
          <w:sz w:val="22"/>
          <w:szCs w:val="22"/>
          <w:lang w:val="es-SV" w:eastAsia="en-US"/>
        </w:rPr>
        <w:t xml:space="preserve"> de la Ley General de Electricidad</w:t>
      </w:r>
      <w:r w:rsidRPr="00435CE9">
        <w:rPr>
          <w:rFonts w:eastAsia="Calibri"/>
          <w:sz w:val="22"/>
          <w:szCs w:val="22"/>
          <w:lang w:val="es-SV" w:eastAsia="es-MX"/>
        </w:rPr>
        <w:t>, uno de los objetivos de dicho cuerpo legal es la protección de los derechos de los usuarios y de todas las entidades que desarrollan actividades en el sector.</w:t>
      </w:r>
    </w:p>
    <w:p w:rsidR="00CC2C17" w:rsidRPr="00435CE9" w:rsidRDefault="00CC2C17"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CC2C17" w:rsidRPr="00435CE9" w:rsidRDefault="00CC2C17" w:rsidP="00CC2C17">
      <w:pPr>
        <w:spacing w:after="200" w:line="0" w:lineRule="atLeast"/>
        <w:ind w:left="567"/>
        <w:contextualSpacing/>
        <w:jc w:val="both"/>
        <w:rPr>
          <w:rFonts w:eastAsia="Calibri"/>
          <w:sz w:val="22"/>
          <w:szCs w:val="22"/>
          <w:lang w:val="es-SV" w:eastAsia="en-US"/>
        </w:rPr>
      </w:pPr>
    </w:p>
    <w:p w:rsidR="0098034E" w:rsidRPr="00435CE9" w:rsidRDefault="0098034E" w:rsidP="004F3C0A">
      <w:pPr>
        <w:numPr>
          <w:ilvl w:val="0"/>
          <w:numId w:val="4"/>
        </w:numPr>
        <w:spacing w:after="200" w:line="0" w:lineRule="atLeast"/>
        <w:ind w:left="851" w:hanging="283"/>
        <w:contextualSpacing/>
        <w:jc w:val="both"/>
        <w:rPr>
          <w:bCs/>
          <w:sz w:val="22"/>
          <w:szCs w:val="22"/>
          <w:lang w:val="es-SV" w:eastAsia="es-SV"/>
        </w:rPr>
      </w:pPr>
      <w:r w:rsidRPr="00435CE9">
        <w:rPr>
          <w:bCs/>
          <w:sz w:val="22"/>
          <w:szCs w:val="22"/>
          <w:lang w:val="es-SV" w:eastAsia="es-SV"/>
        </w:rPr>
        <w:lastRenderedPageBreak/>
        <w:t>Reglamento de la Ley General de Electricidad</w:t>
      </w:r>
    </w:p>
    <w:p w:rsidR="0098034E" w:rsidRPr="00435CE9" w:rsidRDefault="0098034E" w:rsidP="0098034E">
      <w:pPr>
        <w:spacing w:line="0" w:lineRule="atLeast"/>
        <w:ind w:left="567"/>
        <w:jc w:val="both"/>
        <w:rPr>
          <w:rFonts w:eastAsia="Calibri"/>
          <w:b/>
          <w:bCs/>
          <w:sz w:val="22"/>
          <w:szCs w:val="22"/>
          <w:u w:val="single"/>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El artículo 63 del Reglamento mencionado, establece la forma y condiciones en que cada operador responderá por los daños que causen sus instalaciones o equipos a los de tercero podrán pactarse directamente en cada caso concreto, o se podrá acudir a la SIGET para que resuelva al respecto.</w:t>
      </w:r>
    </w:p>
    <w:p w:rsidR="00CC2C17" w:rsidRPr="00435CE9" w:rsidRDefault="00CC2C17" w:rsidP="00CC2C17">
      <w:pPr>
        <w:spacing w:after="200" w:line="0" w:lineRule="atLeast"/>
        <w:ind w:left="567"/>
        <w:contextualSpacing/>
        <w:jc w:val="both"/>
        <w:rPr>
          <w:rFonts w:eastAsia="Calibri"/>
          <w:sz w:val="22"/>
          <w:szCs w:val="22"/>
          <w:lang w:val="es-SV" w:eastAsia="en-US"/>
        </w:rPr>
      </w:pPr>
    </w:p>
    <w:p w:rsidR="0098034E" w:rsidRPr="00435CE9" w:rsidRDefault="0098034E" w:rsidP="004F3C0A">
      <w:pPr>
        <w:numPr>
          <w:ilvl w:val="0"/>
          <w:numId w:val="4"/>
        </w:numPr>
        <w:spacing w:after="200" w:line="0" w:lineRule="atLeast"/>
        <w:ind w:left="851" w:hanging="283"/>
        <w:contextualSpacing/>
        <w:jc w:val="both"/>
        <w:rPr>
          <w:bCs/>
          <w:sz w:val="22"/>
          <w:szCs w:val="22"/>
          <w:lang w:val="es-SV" w:eastAsia="es-SV"/>
        </w:rPr>
      </w:pPr>
      <w:r w:rsidRPr="00435CE9">
        <w:rPr>
          <w:bCs/>
          <w:sz w:val="22"/>
          <w:szCs w:val="22"/>
          <w:lang w:val="es-SV" w:eastAsia="es-SV"/>
        </w:rPr>
        <w:t>Normativa para la Compensación por Daños Económicos o a Equipos, Artefactos o Instalaciones</w:t>
      </w:r>
    </w:p>
    <w:p w:rsidR="0098034E" w:rsidRPr="00435CE9" w:rsidRDefault="0098034E" w:rsidP="0098034E">
      <w:pPr>
        <w:tabs>
          <w:tab w:val="left" w:pos="1134"/>
        </w:tabs>
        <w:spacing w:line="0" w:lineRule="atLeast"/>
        <w:contextualSpacing/>
        <w:jc w:val="both"/>
        <w:rPr>
          <w:rFonts w:eastAsia="Calibri"/>
          <w:color w:val="000000"/>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 xml:space="preserve">La </w:t>
      </w:r>
      <w:r w:rsidR="006417A1" w:rsidRPr="00435CE9">
        <w:rPr>
          <w:rFonts w:eastAsia="Calibri"/>
          <w:sz w:val="22"/>
          <w:szCs w:val="22"/>
          <w:lang w:val="es-SV" w:eastAsia="en-US"/>
        </w:rPr>
        <w:t>Normativa para la Compensación por Daños Económicos o a Equipos, Artefactos o Instalaciones</w:t>
      </w:r>
      <w:r w:rsidRPr="00435CE9">
        <w:rPr>
          <w:rFonts w:eastAsia="Calibri"/>
          <w:sz w:val="22"/>
          <w:szCs w:val="22"/>
          <w:lang w:val="es-SV" w:eastAsia="en-US"/>
        </w:rPr>
        <w:t xml:space="preserve">, define y establece el procedimiento que deberán seguir las empresas distribuidoras de electricidad, los usuarios finales y esta Superintendencia para la investigación y resolución de casos vinculados a </w:t>
      </w:r>
      <w:r w:rsidR="003A080C" w:rsidRPr="00435CE9">
        <w:rPr>
          <w:rFonts w:eastAsia="Calibri"/>
          <w:sz w:val="22"/>
          <w:szCs w:val="22"/>
          <w:lang w:val="es-SV" w:eastAsia="en-US"/>
        </w:rPr>
        <w:t xml:space="preserve">daños económicos sufridos </w:t>
      </w:r>
      <w:r w:rsidRPr="00435CE9">
        <w:rPr>
          <w:rFonts w:eastAsia="Calibri"/>
          <w:sz w:val="22"/>
          <w:szCs w:val="22"/>
          <w:lang w:val="es-SV" w:eastAsia="en-US"/>
        </w:rPr>
        <w:t>por los usuarios finales, que son atribuibles al suministro de energía eléctrica por causas imputables a un operador de dicho servicio.</w:t>
      </w:r>
    </w:p>
    <w:p w:rsidR="00CC2C17" w:rsidRPr="00435CE9" w:rsidRDefault="00CC2C17"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rsidR="00CC2C17" w:rsidRPr="00435CE9" w:rsidRDefault="00CC2C17"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rsidR="00CC2C17" w:rsidRPr="00435CE9" w:rsidRDefault="00CC2C17"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rsidR="00CC2C17" w:rsidRPr="00435CE9" w:rsidRDefault="00CC2C17"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Asimismo</w:t>
      </w:r>
      <w:r w:rsidR="006417A1" w:rsidRPr="00435CE9">
        <w:rPr>
          <w:rFonts w:eastAsia="Calibri"/>
          <w:sz w:val="22"/>
          <w:szCs w:val="22"/>
          <w:lang w:val="es-SV" w:eastAsia="en-US"/>
        </w:rPr>
        <w:t>,</w:t>
      </w:r>
      <w:r w:rsidRPr="00435CE9">
        <w:rPr>
          <w:rFonts w:eastAsia="Calibri"/>
          <w:sz w:val="22"/>
          <w:szCs w:val="22"/>
          <w:lang w:val="es-SV" w:eastAsia="en-US"/>
        </w:rPr>
        <w:t xml:space="preserve">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rsidR="00CC2C17" w:rsidRPr="00435CE9" w:rsidRDefault="00CC2C17"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o en el informe rendido por la Gerencia de Electricidad o el Centro de Atención al Usuario, según sea el caso, producto de la investigación previa realizada.</w:t>
      </w:r>
    </w:p>
    <w:p w:rsidR="00CC2C17" w:rsidRPr="00435CE9" w:rsidRDefault="00CC2C17" w:rsidP="00CC2C17">
      <w:pPr>
        <w:spacing w:after="200" w:line="0" w:lineRule="atLeast"/>
        <w:ind w:left="567"/>
        <w:contextualSpacing/>
        <w:jc w:val="both"/>
        <w:rPr>
          <w:rFonts w:eastAsia="Calibri"/>
          <w:sz w:val="22"/>
          <w:szCs w:val="22"/>
          <w:lang w:val="es-SV" w:eastAsia="en-US"/>
        </w:rPr>
      </w:pPr>
    </w:p>
    <w:p w:rsidR="0098034E" w:rsidRPr="00435CE9" w:rsidRDefault="0098034E" w:rsidP="004F3C0A">
      <w:pPr>
        <w:numPr>
          <w:ilvl w:val="0"/>
          <w:numId w:val="4"/>
        </w:numPr>
        <w:spacing w:after="200" w:line="0" w:lineRule="atLeast"/>
        <w:ind w:left="851" w:hanging="283"/>
        <w:contextualSpacing/>
        <w:jc w:val="both"/>
        <w:rPr>
          <w:bCs/>
          <w:sz w:val="22"/>
          <w:szCs w:val="22"/>
          <w:lang w:val="es-SV" w:eastAsia="es-SV"/>
        </w:rPr>
      </w:pPr>
      <w:r w:rsidRPr="00435CE9">
        <w:rPr>
          <w:bCs/>
          <w:sz w:val="22"/>
          <w:szCs w:val="22"/>
          <w:lang w:val="es-SV" w:eastAsia="es-SV"/>
        </w:rPr>
        <w:t>Ley de Protección al Consumidor</w:t>
      </w:r>
    </w:p>
    <w:p w:rsidR="0098034E" w:rsidRPr="00435CE9" w:rsidRDefault="0098034E" w:rsidP="0098034E">
      <w:pPr>
        <w:spacing w:line="0" w:lineRule="atLeast"/>
        <w:jc w:val="both"/>
        <w:rPr>
          <w:rFonts w:eastAsia="Calibri"/>
          <w:b/>
          <w:color w:val="000000"/>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De conformidad con lo establecido en las letras j) y k) del artículo 4 de la Ley de Protección al Consumidor, se indica como derechos básicos de los consumidores o usuarios,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w:t>
      </w:r>
    </w:p>
    <w:p w:rsidR="00CC2C17" w:rsidRPr="00435CE9" w:rsidRDefault="00CC2C17"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Siendo lo anterior de obligatoria aplicación por parte de esta Superintendencia, en el marco de funcionamiento del Sistema Nacional de Protección al Consumidor del cual forma parte.</w:t>
      </w:r>
    </w:p>
    <w:p w:rsidR="0098034E" w:rsidRPr="00435CE9" w:rsidRDefault="006417A1" w:rsidP="004F3C0A">
      <w:pPr>
        <w:pStyle w:val="Prrafodelista"/>
        <w:numPr>
          <w:ilvl w:val="0"/>
          <w:numId w:val="8"/>
        </w:numPr>
        <w:spacing w:after="200" w:line="0" w:lineRule="atLeast"/>
        <w:jc w:val="both"/>
        <w:rPr>
          <w:sz w:val="22"/>
          <w:szCs w:val="22"/>
        </w:rPr>
      </w:pPr>
      <w:r w:rsidRPr="00435CE9">
        <w:rPr>
          <w:sz w:val="22"/>
          <w:szCs w:val="22"/>
        </w:rPr>
        <w:t>Análisis</w:t>
      </w:r>
    </w:p>
    <w:p w:rsidR="0098034E" w:rsidRPr="00435CE9" w:rsidRDefault="00495C47"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L</w:t>
      </w:r>
      <w:r w:rsidR="0098034E" w:rsidRPr="00435CE9">
        <w:rPr>
          <w:rFonts w:eastAsia="Calibri"/>
          <w:sz w:val="22"/>
          <w:szCs w:val="22"/>
          <w:lang w:val="es-SV" w:eastAsia="en-US"/>
        </w:rPr>
        <w:t>a figura procesal del dictamen técnico se erige como la prueba fundamental de responsabilidad para establecer la causa de los hechos y los efectos del mismo, y determinar si le corresponde a la distribuidora resarcir económicamente a</w:t>
      </w:r>
      <w:r w:rsidR="007A1B10" w:rsidRPr="00435CE9">
        <w:rPr>
          <w:rFonts w:eastAsia="Calibri"/>
          <w:sz w:val="22"/>
          <w:szCs w:val="22"/>
          <w:lang w:val="es-SV" w:eastAsia="en-US"/>
        </w:rPr>
        <w:t>l</w:t>
      </w:r>
      <w:r w:rsidR="0098034E" w:rsidRPr="00435CE9">
        <w:rPr>
          <w:rFonts w:eastAsia="Calibri"/>
          <w:sz w:val="22"/>
          <w:szCs w:val="22"/>
          <w:lang w:val="es-SV" w:eastAsia="en-US"/>
        </w:rPr>
        <w:t xml:space="preserve"> usuari</w:t>
      </w:r>
      <w:r w:rsidR="007A1B10" w:rsidRPr="00435CE9">
        <w:rPr>
          <w:rFonts w:eastAsia="Calibri"/>
          <w:sz w:val="22"/>
          <w:szCs w:val="22"/>
          <w:lang w:val="es-SV" w:eastAsia="en-US"/>
        </w:rPr>
        <w:t>o</w:t>
      </w:r>
      <w:r w:rsidR="0098034E" w:rsidRPr="00435CE9">
        <w:rPr>
          <w:rFonts w:eastAsia="Calibri"/>
          <w:sz w:val="22"/>
          <w:szCs w:val="22"/>
          <w:lang w:val="es-SV" w:eastAsia="en-US"/>
        </w:rPr>
        <w:t xml:space="preserve"> por los daños reclamados.</w:t>
      </w:r>
    </w:p>
    <w:p w:rsidR="0098034E" w:rsidRPr="00435CE9" w:rsidRDefault="0098034E"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 xml:space="preserve">En dicha investigación, el CAU de la SIGET debe recopilar y valorar en conjunto los elementos materiales probatorios, así como la evidencia física, a efecto de establecer responsabilidades, que deben ser consecuencia lógica de los hechos y fundamentos técnicos comprobados y acreditados en su investigación. </w:t>
      </w:r>
    </w:p>
    <w:p w:rsidR="0098034E" w:rsidRPr="00435CE9" w:rsidRDefault="0098034E"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Lo anterior implica que, un daño debe ser indemnizado</w:t>
      </w:r>
      <w:r w:rsidR="007A1B10" w:rsidRPr="00435CE9">
        <w:rPr>
          <w:rFonts w:eastAsia="Calibri"/>
          <w:sz w:val="22"/>
          <w:szCs w:val="22"/>
          <w:lang w:val="es-SV" w:eastAsia="en-US"/>
        </w:rPr>
        <w:t xml:space="preserve"> </w:t>
      </w:r>
      <w:r w:rsidRPr="00435CE9">
        <w:rPr>
          <w:rFonts w:eastAsia="Calibri"/>
          <w:sz w:val="22"/>
          <w:szCs w:val="22"/>
          <w:lang w:val="es-SV" w:eastAsia="en-US"/>
        </w:rPr>
        <w:t xml:space="preserve">cuando, entre la acción u omisión y el resultado, se establezca terminante, clara e indubitadamente una relación de causalidad, de tal forma que se logre concluir que </w:t>
      </w:r>
      <w:r w:rsidR="008937C3" w:rsidRPr="00435CE9">
        <w:rPr>
          <w:rFonts w:eastAsia="Calibri"/>
          <w:sz w:val="22"/>
          <w:szCs w:val="22"/>
          <w:lang w:val="es-SV" w:eastAsia="en-US"/>
        </w:rPr>
        <w:t>el</w:t>
      </w:r>
      <w:r w:rsidR="008937C3">
        <w:rPr>
          <w:rFonts w:eastAsia="Calibri"/>
          <w:sz w:val="22"/>
          <w:szCs w:val="22"/>
          <w:lang w:val="es-SV" w:eastAsia="en-US"/>
        </w:rPr>
        <w:t xml:space="preserve"> origen de los daños reclamados se debió directamente</w:t>
      </w:r>
      <w:r w:rsidR="002B0E8D">
        <w:rPr>
          <w:rFonts w:eastAsia="Calibri"/>
          <w:sz w:val="22"/>
          <w:szCs w:val="22"/>
          <w:lang w:val="es-SV" w:eastAsia="en-US"/>
        </w:rPr>
        <w:t xml:space="preserve"> a</w:t>
      </w:r>
      <w:r w:rsidRPr="00435CE9">
        <w:rPr>
          <w:rFonts w:eastAsia="Calibri"/>
          <w:sz w:val="22"/>
          <w:szCs w:val="22"/>
          <w:lang w:val="es-SV" w:eastAsia="en-US"/>
        </w:rPr>
        <w:t xml:space="preserve"> la deficiencia en el suministro de energía eléctr</w:t>
      </w:r>
      <w:r w:rsidR="005C7047" w:rsidRPr="00435CE9">
        <w:rPr>
          <w:rFonts w:eastAsia="Calibri"/>
          <w:sz w:val="22"/>
          <w:szCs w:val="22"/>
          <w:lang w:val="es-SV" w:eastAsia="en-US"/>
        </w:rPr>
        <w:t>ica que provee el distribuidor-</w:t>
      </w:r>
      <w:r w:rsidRPr="00435CE9">
        <w:rPr>
          <w:rFonts w:eastAsia="Calibri"/>
          <w:sz w:val="22"/>
          <w:szCs w:val="22"/>
          <w:lang w:val="es-SV" w:eastAsia="en-US"/>
        </w:rPr>
        <w:t>comercializador a quien se le imputa.</w:t>
      </w:r>
    </w:p>
    <w:p w:rsidR="0098034E" w:rsidRPr="00435CE9" w:rsidRDefault="0098034E"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De conformidad con lo expuesto, el área técnica del CAU de la SIGET realizó la investigación correspondiente, teniendo como finalidad establecer si el origen del diferendo planteado está relacionado con deficiencias en la calidad del servicio de energía eléctrica proporcionada por la sociedad</w:t>
      </w:r>
      <w:r w:rsidR="006F1AAD">
        <w:rPr>
          <w:rFonts w:eastAsia="Calibri"/>
          <w:sz w:val="22"/>
          <w:szCs w:val="22"/>
          <w:lang w:val="es-SV" w:eastAsia="en-US"/>
        </w:rPr>
        <w:t xml:space="preserve"> *** </w:t>
      </w:r>
      <w:r w:rsidRPr="00435CE9">
        <w:rPr>
          <w:rFonts w:eastAsia="Calibri"/>
          <w:sz w:val="22"/>
          <w:szCs w:val="22"/>
          <w:lang w:val="es-SV" w:eastAsia="en-US"/>
        </w:rPr>
        <w:t>; o si está relacionado con las deficiencias técnicas en las instalaciones eléctricas internas del inmueble de</w:t>
      </w:r>
      <w:r w:rsidR="00353E1A" w:rsidRPr="00435CE9">
        <w:rPr>
          <w:rFonts w:eastAsia="Calibri"/>
          <w:sz w:val="22"/>
          <w:szCs w:val="22"/>
          <w:lang w:val="es-SV" w:eastAsia="en-US"/>
        </w:rPr>
        <w:t>l</w:t>
      </w:r>
      <w:r w:rsidRPr="00435CE9">
        <w:rPr>
          <w:rFonts w:eastAsia="Calibri"/>
          <w:sz w:val="22"/>
          <w:szCs w:val="22"/>
          <w:lang w:val="es-SV" w:eastAsia="en-US"/>
        </w:rPr>
        <w:t xml:space="preserve"> </w:t>
      </w:r>
      <w:r w:rsidR="00656EA7" w:rsidRPr="00435CE9">
        <w:rPr>
          <w:rFonts w:eastAsia="Calibri"/>
          <w:sz w:val="22"/>
          <w:szCs w:val="22"/>
          <w:lang w:val="es-SV" w:eastAsia="en-US"/>
        </w:rPr>
        <w:t>reclamante</w:t>
      </w:r>
      <w:r w:rsidRPr="00435CE9">
        <w:rPr>
          <w:rFonts w:eastAsia="Calibri"/>
          <w:sz w:val="22"/>
          <w:szCs w:val="22"/>
          <w:lang w:val="es-SV" w:eastAsia="en-US"/>
        </w:rPr>
        <w:t>.</w:t>
      </w:r>
    </w:p>
    <w:p w:rsidR="0098034E" w:rsidRPr="00435CE9" w:rsidRDefault="0098034E" w:rsidP="00CC2C17">
      <w:pPr>
        <w:spacing w:after="200" w:line="0" w:lineRule="atLeast"/>
        <w:ind w:left="567"/>
        <w:contextualSpacing/>
        <w:jc w:val="both"/>
        <w:rPr>
          <w:rFonts w:eastAsia="Calibri"/>
          <w:sz w:val="22"/>
          <w:szCs w:val="22"/>
          <w:lang w:val="es-SV" w:eastAsia="en-US"/>
        </w:rPr>
      </w:pPr>
    </w:p>
    <w:p w:rsidR="0098034E" w:rsidRPr="00435CE9" w:rsidRDefault="0098034E" w:rsidP="00CC2C17">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En el informe técnico No. IT-</w:t>
      </w:r>
      <w:r w:rsidR="002A17FE" w:rsidRPr="00435CE9">
        <w:rPr>
          <w:rFonts w:eastAsia="Calibri"/>
          <w:sz w:val="22"/>
          <w:szCs w:val="22"/>
          <w:lang w:val="es-SV" w:eastAsia="en-US"/>
        </w:rPr>
        <w:t>017-32888</w:t>
      </w:r>
      <w:r w:rsidRPr="00435CE9">
        <w:rPr>
          <w:rFonts w:eastAsia="Calibri"/>
          <w:sz w:val="22"/>
          <w:szCs w:val="22"/>
          <w:lang w:val="es-SV" w:eastAsia="en-US"/>
        </w:rPr>
        <w:t>-CAU, el C</w:t>
      </w:r>
      <w:r w:rsidR="00F074CD" w:rsidRPr="00435CE9">
        <w:rPr>
          <w:rFonts w:eastAsia="Calibri"/>
          <w:sz w:val="22"/>
          <w:szCs w:val="22"/>
          <w:lang w:val="es-SV" w:eastAsia="en-US"/>
        </w:rPr>
        <w:t>entro de Atención al Usuario de la SIGET</w:t>
      </w:r>
      <w:r w:rsidRPr="00435CE9">
        <w:rPr>
          <w:rFonts w:eastAsia="Calibri"/>
          <w:sz w:val="22"/>
          <w:szCs w:val="22"/>
          <w:lang w:val="es-SV" w:eastAsia="en-US"/>
        </w:rPr>
        <w:t xml:space="preserve"> estableció lo siguiente:  </w:t>
      </w:r>
    </w:p>
    <w:p w:rsidR="00B463A9" w:rsidRPr="00435CE9" w:rsidRDefault="00B463A9" w:rsidP="0098034E">
      <w:pPr>
        <w:tabs>
          <w:tab w:val="num" w:pos="1080"/>
        </w:tabs>
        <w:spacing w:line="0" w:lineRule="atLeast"/>
        <w:ind w:left="415"/>
        <w:jc w:val="both"/>
        <w:rPr>
          <w:rFonts w:eastAsia="Calibri"/>
          <w:sz w:val="22"/>
          <w:szCs w:val="22"/>
          <w:lang w:val="es-SV" w:eastAsia="en-US"/>
        </w:rPr>
      </w:pPr>
    </w:p>
    <w:p w:rsidR="009C683F" w:rsidRPr="00435CE9" w:rsidRDefault="009C683F" w:rsidP="009C683F">
      <w:pPr>
        <w:pStyle w:val="Prrafodelista"/>
        <w:numPr>
          <w:ilvl w:val="0"/>
          <w:numId w:val="7"/>
        </w:numPr>
        <w:spacing w:line="0" w:lineRule="atLeast"/>
        <w:ind w:left="993"/>
        <w:contextualSpacing/>
        <w:jc w:val="both"/>
        <w:rPr>
          <w:sz w:val="22"/>
          <w:szCs w:val="22"/>
          <w:lang w:val="es-SV" w:eastAsia="es-SV"/>
        </w:rPr>
      </w:pPr>
      <w:r w:rsidRPr="00435CE9">
        <w:rPr>
          <w:sz w:val="22"/>
          <w:szCs w:val="22"/>
          <w:lang w:val="es-SV" w:eastAsia="es-SV"/>
        </w:rPr>
        <w:t xml:space="preserve">Las condiciones de la red de distribución y </w:t>
      </w:r>
      <w:r w:rsidR="00CA1854">
        <w:rPr>
          <w:rFonts w:eastAsia="Calibri"/>
          <w:sz w:val="22"/>
          <w:szCs w:val="22"/>
          <w:lang w:val="es-SV" w:eastAsia="en-US"/>
        </w:rPr>
        <w:t>el centro de t</w:t>
      </w:r>
      <w:r w:rsidRPr="00435CE9">
        <w:rPr>
          <w:rFonts w:eastAsia="Calibri"/>
          <w:sz w:val="22"/>
          <w:szCs w:val="22"/>
          <w:lang w:val="es-SV" w:eastAsia="en-US"/>
        </w:rPr>
        <w:t xml:space="preserve">ransformación T9641, </w:t>
      </w:r>
      <w:r w:rsidRPr="00435CE9">
        <w:rPr>
          <w:sz w:val="22"/>
          <w:szCs w:val="22"/>
          <w:lang w:val="es-SV" w:eastAsia="es-SV"/>
        </w:rPr>
        <w:t>propiedad de la</w:t>
      </w:r>
      <w:r w:rsidRPr="00435CE9">
        <w:rPr>
          <w:rFonts w:eastAsia="Calibri"/>
          <w:sz w:val="22"/>
          <w:szCs w:val="22"/>
          <w:lang w:val="es-SV" w:eastAsia="en-US"/>
        </w:rPr>
        <w:t xml:space="preserve"> sociedad </w:t>
      </w:r>
      <w:r w:rsidR="006F1AAD">
        <w:rPr>
          <w:rFonts w:eastAsia="Calibri"/>
          <w:sz w:val="22"/>
          <w:szCs w:val="22"/>
          <w:lang w:val="es-SV" w:eastAsia="en-US"/>
        </w:rPr>
        <w:t xml:space="preserve">*** </w:t>
      </w:r>
      <w:r w:rsidRPr="00435CE9">
        <w:rPr>
          <w:sz w:val="22"/>
          <w:szCs w:val="22"/>
          <w:lang w:val="es-SV" w:eastAsia="es-SV"/>
        </w:rPr>
        <w:t xml:space="preserve">cumplen con lo dispuesto en las </w:t>
      </w:r>
      <w:r w:rsidRPr="00435CE9">
        <w:rPr>
          <w:sz w:val="22"/>
          <w:szCs w:val="22"/>
        </w:rPr>
        <w:t>Normas Técnicas de Diseño, Seguridad y Operación de las Instalaciones de Distribución Eléctrica.</w:t>
      </w:r>
    </w:p>
    <w:p w:rsidR="009C683F" w:rsidRPr="00435CE9" w:rsidRDefault="009C683F" w:rsidP="009C683F">
      <w:pPr>
        <w:pStyle w:val="Prrafodelista"/>
        <w:spacing w:line="0" w:lineRule="atLeast"/>
        <w:ind w:left="993"/>
        <w:contextualSpacing/>
        <w:jc w:val="both"/>
        <w:rPr>
          <w:sz w:val="22"/>
          <w:szCs w:val="22"/>
          <w:lang w:val="es-SV" w:eastAsia="es-SV"/>
        </w:rPr>
      </w:pPr>
    </w:p>
    <w:p w:rsidR="009C683F" w:rsidRPr="00435CE9" w:rsidRDefault="009C683F" w:rsidP="00314197">
      <w:pPr>
        <w:pStyle w:val="Prrafodelista"/>
        <w:numPr>
          <w:ilvl w:val="0"/>
          <w:numId w:val="7"/>
        </w:numPr>
        <w:spacing w:line="0" w:lineRule="atLeast"/>
        <w:ind w:left="993"/>
        <w:contextualSpacing/>
        <w:jc w:val="both"/>
        <w:rPr>
          <w:sz w:val="22"/>
          <w:szCs w:val="22"/>
          <w:lang w:val="es-SV" w:eastAsia="es-SV"/>
        </w:rPr>
      </w:pPr>
      <w:r w:rsidRPr="00435CE9">
        <w:rPr>
          <w:rFonts w:eastAsia="Calibri"/>
          <w:sz w:val="22"/>
          <w:szCs w:val="22"/>
          <w:lang w:val="es-SV" w:eastAsia="en-US"/>
        </w:rPr>
        <w:t>La instalación de puesta a tierra ubicada en el tablero principal de distribución de cargas de l</w:t>
      </w:r>
      <w:r w:rsidRPr="00435CE9">
        <w:rPr>
          <w:sz w:val="22"/>
          <w:szCs w:val="22"/>
          <w:lang w:val="es-SV" w:eastAsia="es-SV"/>
        </w:rPr>
        <w:t>a red eléctrica interna</w:t>
      </w:r>
      <w:r w:rsidRPr="00435CE9">
        <w:rPr>
          <w:rFonts w:eastAsia="Calibri"/>
          <w:sz w:val="22"/>
          <w:szCs w:val="22"/>
          <w:lang w:val="es-SV" w:eastAsia="en-US"/>
        </w:rPr>
        <w:t xml:space="preserve"> del inmueble</w:t>
      </w:r>
      <w:r w:rsidR="006F1AAD">
        <w:rPr>
          <w:sz w:val="22"/>
          <w:szCs w:val="22"/>
          <w:lang w:val="es-SV" w:eastAsia="es-SV"/>
        </w:rPr>
        <w:t xml:space="preserve"> vinculado al suministro NIC *** </w:t>
      </w:r>
      <w:r w:rsidRPr="00435CE9">
        <w:rPr>
          <w:sz w:val="22"/>
          <w:szCs w:val="22"/>
          <w:lang w:val="es-SV" w:eastAsia="es-SV"/>
        </w:rPr>
        <w:t xml:space="preserve">, </w:t>
      </w:r>
      <w:r w:rsidRPr="00435CE9">
        <w:rPr>
          <w:rFonts w:eastAsia="Calibri"/>
          <w:sz w:val="22"/>
          <w:szCs w:val="22"/>
          <w:lang w:val="es-SV" w:eastAsia="en-US"/>
        </w:rPr>
        <w:t>no cumple con los parámetros de construcción establecidos en la Norma Técnica de Conexiones y Reconexiones Eléctricas en Redes de Distribución de Baja y Media Tensión.</w:t>
      </w:r>
    </w:p>
    <w:p w:rsidR="009C683F" w:rsidRPr="00435CE9" w:rsidRDefault="009C683F" w:rsidP="009C683F">
      <w:pPr>
        <w:pStyle w:val="Prrafodelista"/>
        <w:rPr>
          <w:sz w:val="22"/>
          <w:szCs w:val="22"/>
          <w:lang w:val="es-SV" w:eastAsia="es-SV"/>
        </w:rPr>
      </w:pPr>
    </w:p>
    <w:p w:rsidR="006C15D5" w:rsidRDefault="009C683F" w:rsidP="00DC53E5">
      <w:pPr>
        <w:pStyle w:val="Prrafodelista"/>
        <w:numPr>
          <w:ilvl w:val="0"/>
          <w:numId w:val="7"/>
        </w:numPr>
        <w:spacing w:line="0" w:lineRule="atLeast"/>
        <w:ind w:left="993"/>
        <w:contextualSpacing/>
        <w:jc w:val="both"/>
        <w:rPr>
          <w:sz w:val="22"/>
          <w:szCs w:val="22"/>
          <w:lang w:val="es-SV" w:eastAsia="es-SV"/>
        </w:rPr>
      </w:pPr>
      <w:r w:rsidRPr="00C1663D">
        <w:rPr>
          <w:sz w:val="22"/>
          <w:szCs w:val="22"/>
          <w:lang w:val="es-SV" w:eastAsia="es-SV"/>
        </w:rPr>
        <w:lastRenderedPageBreak/>
        <w:t xml:space="preserve">Las interrupciones del servicio de energía eléctrica ocurridas el veinticuatro de octubre de dos mil quince, </w:t>
      </w:r>
      <w:r w:rsidR="00314197" w:rsidRPr="00C1663D">
        <w:rPr>
          <w:sz w:val="22"/>
          <w:szCs w:val="22"/>
          <w:lang w:val="es-SV" w:eastAsia="es-SV"/>
        </w:rPr>
        <w:t xml:space="preserve">se originaron por </w:t>
      </w:r>
      <w:r w:rsidR="00C1663D" w:rsidRPr="00C1663D">
        <w:rPr>
          <w:sz w:val="22"/>
          <w:szCs w:val="22"/>
          <w:lang w:val="es-SV" w:eastAsia="es-SV"/>
        </w:rPr>
        <w:t xml:space="preserve">la colisión </w:t>
      </w:r>
      <w:r w:rsidR="00314197" w:rsidRPr="00C1663D">
        <w:rPr>
          <w:sz w:val="22"/>
          <w:szCs w:val="22"/>
          <w:lang w:val="es-SV" w:eastAsia="es-SV"/>
        </w:rPr>
        <w:t>de un vehículo contra un poste que soportaba líneas de di</w:t>
      </w:r>
      <w:r w:rsidR="006C15D5">
        <w:rPr>
          <w:sz w:val="22"/>
          <w:szCs w:val="22"/>
          <w:lang w:val="es-SV" w:eastAsia="es-SV"/>
        </w:rPr>
        <w:t xml:space="preserve">stribución eléctrica de 13.2 kV. </w:t>
      </w:r>
    </w:p>
    <w:p w:rsidR="006C15D5" w:rsidRPr="006C15D5" w:rsidRDefault="006C15D5" w:rsidP="006C15D5">
      <w:pPr>
        <w:pStyle w:val="Prrafodelista"/>
        <w:rPr>
          <w:sz w:val="22"/>
          <w:szCs w:val="22"/>
          <w:lang w:val="es-SV" w:eastAsia="es-SV"/>
        </w:rPr>
      </w:pPr>
    </w:p>
    <w:p w:rsidR="009C683F" w:rsidRPr="00C1663D" w:rsidRDefault="006C15D5" w:rsidP="006C15D5">
      <w:pPr>
        <w:pStyle w:val="Prrafodelista"/>
        <w:spacing w:line="0" w:lineRule="atLeast"/>
        <w:ind w:left="993"/>
        <w:contextualSpacing/>
        <w:jc w:val="both"/>
        <w:rPr>
          <w:sz w:val="22"/>
          <w:szCs w:val="22"/>
          <w:lang w:val="es-SV" w:eastAsia="es-SV"/>
        </w:rPr>
      </w:pPr>
      <w:r>
        <w:rPr>
          <w:sz w:val="22"/>
          <w:szCs w:val="22"/>
          <w:lang w:val="es-SV" w:eastAsia="es-SV"/>
        </w:rPr>
        <w:t xml:space="preserve">El evento fue </w:t>
      </w:r>
      <w:r w:rsidR="00C1663D" w:rsidRPr="00C1663D">
        <w:rPr>
          <w:sz w:val="22"/>
          <w:szCs w:val="22"/>
          <w:lang w:val="es-SV" w:eastAsia="es-SV"/>
        </w:rPr>
        <w:t>catalogado</w:t>
      </w:r>
      <w:r w:rsidR="009C683F" w:rsidRPr="00C1663D">
        <w:rPr>
          <w:sz w:val="22"/>
          <w:szCs w:val="22"/>
          <w:lang w:val="es-SV" w:eastAsia="es-SV"/>
        </w:rPr>
        <w:t xml:space="preserve"> por la Gerencia de Electricidad de esta Superintendencia como un caso de Fuerza Mayor.</w:t>
      </w:r>
    </w:p>
    <w:p w:rsidR="009C683F" w:rsidRPr="00435CE9" w:rsidRDefault="009C683F" w:rsidP="009C683F">
      <w:pPr>
        <w:pStyle w:val="Prrafodelista"/>
        <w:rPr>
          <w:sz w:val="22"/>
          <w:szCs w:val="22"/>
          <w:lang w:val="es-SV" w:eastAsia="es-SV"/>
        </w:rPr>
      </w:pPr>
    </w:p>
    <w:p w:rsidR="00DA12AF" w:rsidRDefault="009C683F" w:rsidP="00DA12AF">
      <w:pPr>
        <w:pStyle w:val="Prrafodelista"/>
        <w:numPr>
          <w:ilvl w:val="0"/>
          <w:numId w:val="7"/>
        </w:numPr>
        <w:spacing w:line="0" w:lineRule="atLeast"/>
        <w:ind w:left="993"/>
        <w:contextualSpacing/>
        <w:jc w:val="both"/>
        <w:rPr>
          <w:sz w:val="22"/>
          <w:szCs w:val="22"/>
          <w:lang w:val="es-SV" w:eastAsia="es-SV"/>
        </w:rPr>
      </w:pPr>
      <w:r w:rsidRPr="00DA12AF">
        <w:rPr>
          <w:sz w:val="22"/>
          <w:szCs w:val="22"/>
          <w:lang w:val="es-SV" w:eastAsia="es-SV"/>
        </w:rPr>
        <w:t xml:space="preserve">De los treinta y un mil novecientos setenta y seis (31, 976) usuarios afectados por la interrupción ocurrida el veinticuatro de octubre de dos mil quince, solo </w:t>
      </w:r>
      <w:r w:rsidR="006C15D5">
        <w:rPr>
          <w:sz w:val="22"/>
          <w:szCs w:val="22"/>
          <w:lang w:val="es-SV" w:eastAsia="es-SV"/>
        </w:rPr>
        <w:t xml:space="preserve">se reportaron daños en el </w:t>
      </w:r>
      <w:r w:rsidRPr="00DA12AF">
        <w:rPr>
          <w:sz w:val="22"/>
          <w:szCs w:val="22"/>
          <w:lang w:val="es-SV" w:eastAsia="es-SV"/>
        </w:rPr>
        <w:t xml:space="preserve">suministro </w:t>
      </w:r>
      <w:r w:rsidR="002B0E8D">
        <w:rPr>
          <w:sz w:val="22"/>
          <w:szCs w:val="22"/>
          <w:lang w:val="es-SV" w:eastAsia="es-SV"/>
        </w:rPr>
        <w:t xml:space="preserve">identificado con el </w:t>
      </w:r>
      <w:r w:rsidRPr="00DA12AF">
        <w:rPr>
          <w:sz w:val="22"/>
          <w:szCs w:val="22"/>
          <w:lang w:val="es-SV" w:eastAsia="es-SV"/>
        </w:rPr>
        <w:t xml:space="preserve">NIC </w:t>
      </w:r>
      <w:r w:rsidR="007C1C59" w:rsidRPr="00DA12AF">
        <w:rPr>
          <w:sz w:val="22"/>
          <w:szCs w:val="22"/>
          <w:lang w:val="es-SV" w:eastAsia="es-SV"/>
        </w:rPr>
        <w:t>3131630</w:t>
      </w:r>
      <w:r w:rsidRPr="00DA12AF">
        <w:rPr>
          <w:sz w:val="22"/>
          <w:szCs w:val="22"/>
          <w:lang w:val="es-SV" w:eastAsia="es-SV"/>
        </w:rPr>
        <w:t>.</w:t>
      </w:r>
    </w:p>
    <w:p w:rsidR="00DA12AF" w:rsidRPr="00DA12AF" w:rsidRDefault="00DA12AF" w:rsidP="00DA12AF">
      <w:pPr>
        <w:pStyle w:val="Prrafodelista"/>
        <w:rPr>
          <w:sz w:val="22"/>
          <w:szCs w:val="22"/>
          <w:lang w:val="es-SV" w:eastAsia="es-SV"/>
        </w:rPr>
      </w:pPr>
    </w:p>
    <w:p w:rsidR="009C683F" w:rsidRPr="00435CE9" w:rsidRDefault="009C683F" w:rsidP="009C683F">
      <w:pPr>
        <w:spacing w:after="200" w:line="0" w:lineRule="atLeast"/>
        <w:ind w:left="567"/>
        <w:contextualSpacing/>
        <w:jc w:val="both"/>
        <w:rPr>
          <w:sz w:val="22"/>
          <w:szCs w:val="22"/>
          <w:lang w:val="es-SV" w:eastAsia="es-SV"/>
        </w:rPr>
      </w:pPr>
      <w:r w:rsidRPr="00435CE9">
        <w:rPr>
          <w:sz w:val="22"/>
          <w:szCs w:val="22"/>
          <w:lang w:val="es-SV" w:eastAsia="es-SV"/>
        </w:rPr>
        <w:t xml:space="preserve">Con base en la investigación efectuada, el CAU de la SIGET determinó que los </w:t>
      </w:r>
      <w:r w:rsidRPr="00435CE9">
        <w:rPr>
          <w:sz w:val="22"/>
          <w:szCs w:val="22"/>
        </w:rPr>
        <w:t xml:space="preserve">daños sufridos en: 1) Un equipo de sonido, marca Panasonic, modelo SA-AKX76, número de serie LM3CA001349, y 2) Una computadora, marca Dell Inspiron 20, modelo 3043, número de serie BN5CZ22, reclamados por la señorita </w:t>
      </w:r>
      <w:r w:rsidR="006F1AAD">
        <w:rPr>
          <w:sz w:val="22"/>
          <w:szCs w:val="22"/>
        </w:rPr>
        <w:t xml:space="preserve">*** </w:t>
      </w:r>
      <w:r w:rsidRPr="00435CE9">
        <w:rPr>
          <w:sz w:val="22"/>
          <w:szCs w:val="22"/>
          <w:lang w:val="es-SV" w:eastAsia="es-SV"/>
        </w:rPr>
        <w:t xml:space="preserve">no se originaron por problemas en las instalaciones de la red de distribución </w:t>
      </w:r>
      <w:r w:rsidR="006C15D5">
        <w:rPr>
          <w:sz w:val="22"/>
          <w:szCs w:val="22"/>
          <w:lang w:val="es-SV" w:eastAsia="es-SV"/>
        </w:rPr>
        <w:t xml:space="preserve">de </w:t>
      </w:r>
      <w:r w:rsidRPr="00435CE9">
        <w:rPr>
          <w:sz w:val="22"/>
          <w:szCs w:val="22"/>
          <w:lang w:val="es-SV" w:eastAsia="es-SV"/>
        </w:rPr>
        <w:t>la sociedad</w:t>
      </w:r>
      <w:r w:rsidR="006F1AAD">
        <w:rPr>
          <w:sz w:val="22"/>
          <w:szCs w:val="22"/>
          <w:lang w:val="es-SV" w:eastAsia="es-SV"/>
        </w:rPr>
        <w:t xml:space="preserve"> ***</w:t>
      </w:r>
      <w:r w:rsidRPr="00435CE9">
        <w:rPr>
          <w:sz w:val="22"/>
          <w:szCs w:val="22"/>
          <w:lang w:val="es-SV" w:eastAsia="es-SV"/>
        </w:rPr>
        <w:t>.</w:t>
      </w:r>
    </w:p>
    <w:p w:rsidR="009C683F" w:rsidRPr="00435CE9" w:rsidRDefault="009C683F" w:rsidP="009C683F">
      <w:pPr>
        <w:spacing w:after="200" w:line="0" w:lineRule="atLeast"/>
        <w:ind w:left="567"/>
        <w:contextualSpacing/>
        <w:jc w:val="both"/>
        <w:rPr>
          <w:sz w:val="22"/>
          <w:szCs w:val="22"/>
          <w:lang w:val="es-SV" w:eastAsia="es-SV"/>
        </w:rPr>
      </w:pPr>
    </w:p>
    <w:p w:rsidR="00495F7E" w:rsidRDefault="002B0E8D" w:rsidP="002B0E8D">
      <w:pPr>
        <w:spacing w:after="200" w:line="0" w:lineRule="atLeast"/>
        <w:ind w:left="567"/>
        <w:contextualSpacing/>
        <w:jc w:val="both"/>
        <w:rPr>
          <w:sz w:val="22"/>
          <w:szCs w:val="22"/>
          <w:lang w:val="es-SV" w:eastAsia="es-SV"/>
        </w:rPr>
      </w:pPr>
      <w:r>
        <w:rPr>
          <w:sz w:val="22"/>
          <w:szCs w:val="22"/>
          <w:lang w:val="es-SV" w:eastAsia="es-SV"/>
        </w:rPr>
        <w:t>De las</w:t>
      </w:r>
      <w:r w:rsidR="009C683F" w:rsidRPr="00435CE9">
        <w:rPr>
          <w:sz w:val="22"/>
          <w:szCs w:val="22"/>
          <w:lang w:val="es-SV" w:eastAsia="es-SV"/>
        </w:rPr>
        <w:t xml:space="preserve"> pruebas y hechos analizados </w:t>
      </w:r>
      <w:r>
        <w:rPr>
          <w:sz w:val="22"/>
          <w:szCs w:val="22"/>
          <w:lang w:val="es-SV" w:eastAsia="es-SV"/>
        </w:rPr>
        <w:t xml:space="preserve">dicha instancia técnica concluyó </w:t>
      </w:r>
      <w:r w:rsidR="009C683F" w:rsidRPr="00435CE9">
        <w:rPr>
          <w:sz w:val="22"/>
          <w:szCs w:val="22"/>
          <w:lang w:val="es-SV" w:eastAsia="es-SV"/>
        </w:rPr>
        <w:t xml:space="preserve">que </w:t>
      </w:r>
      <w:r w:rsidR="00495F7E">
        <w:rPr>
          <w:sz w:val="22"/>
          <w:szCs w:val="22"/>
          <w:lang w:val="es-SV" w:eastAsia="es-SV"/>
        </w:rPr>
        <w:t>el servicio en referencia fue afectado solamente por la interrupción del servicio de energía eléctrica, al igual que todos los suministros de usuarios relacionados con el circuito 313-1-43 de la subestación “San Francisco Gotera”.</w:t>
      </w:r>
    </w:p>
    <w:p w:rsidR="00665212" w:rsidRPr="002B0E8D" w:rsidRDefault="00665212" w:rsidP="002B0E8D">
      <w:pPr>
        <w:pStyle w:val="Prrafodelista"/>
        <w:numPr>
          <w:ilvl w:val="0"/>
          <w:numId w:val="8"/>
        </w:numPr>
        <w:spacing w:after="200" w:line="0" w:lineRule="atLeast"/>
        <w:contextualSpacing/>
        <w:jc w:val="both"/>
        <w:rPr>
          <w:sz w:val="22"/>
          <w:szCs w:val="22"/>
        </w:rPr>
      </w:pPr>
      <w:r w:rsidRPr="002B0E8D">
        <w:rPr>
          <w:sz w:val="22"/>
          <w:szCs w:val="22"/>
        </w:rPr>
        <w:t>Responsabilidad por los daños reclamados</w:t>
      </w:r>
    </w:p>
    <w:p w:rsidR="00665212" w:rsidRPr="00435CE9" w:rsidRDefault="008012F7" w:rsidP="00665212">
      <w:pPr>
        <w:spacing w:after="200" w:line="0" w:lineRule="atLeast"/>
        <w:ind w:left="567"/>
        <w:contextualSpacing/>
        <w:jc w:val="both"/>
        <w:rPr>
          <w:rFonts w:eastAsia="Calibri"/>
          <w:sz w:val="22"/>
          <w:szCs w:val="22"/>
          <w:lang w:val="es-SV" w:eastAsia="en-US"/>
        </w:rPr>
      </w:pPr>
      <w:r>
        <w:rPr>
          <w:sz w:val="22"/>
          <w:szCs w:val="22"/>
          <w:lang w:val="es-SV" w:eastAsia="es-SV"/>
        </w:rPr>
        <w:t>D</w:t>
      </w:r>
      <w:r w:rsidR="00665212" w:rsidRPr="00435CE9">
        <w:rPr>
          <w:sz w:val="22"/>
          <w:szCs w:val="22"/>
          <w:lang w:val="es-SV" w:eastAsia="es-SV"/>
        </w:rPr>
        <w:t>ebe indicarse que l</w:t>
      </w:r>
      <w:r w:rsidR="004A14CF" w:rsidRPr="00435CE9">
        <w:rPr>
          <w:rFonts w:eastAsia="Calibri"/>
          <w:sz w:val="22"/>
          <w:szCs w:val="22"/>
          <w:lang w:val="es-SV" w:eastAsia="en-US"/>
        </w:rPr>
        <w:t xml:space="preserve">a doctrina y jurisprudencia es unánime en reconocer que no hay sujeto responsable si la conducta por la cual se reclama, no puede atribuírsele o imputársele; la imputación resulta ser entonces, un fenómeno jurídico, que consiste en atribuir </w:t>
      </w:r>
      <w:r w:rsidR="006C15D5">
        <w:rPr>
          <w:rFonts w:eastAsia="Calibri"/>
          <w:sz w:val="22"/>
          <w:szCs w:val="22"/>
          <w:lang w:val="es-SV" w:eastAsia="en-US"/>
        </w:rPr>
        <w:t>a un sujeto determinado</w:t>
      </w:r>
      <w:r w:rsidR="004A14CF" w:rsidRPr="00435CE9">
        <w:rPr>
          <w:rFonts w:eastAsia="Calibri"/>
          <w:sz w:val="22"/>
          <w:szCs w:val="22"/>
          <w:lang w:val="es-SV" w:eastAsia="en-US"/>
        </w:rPr>
        <w:t xml:space="preserve"> deber de reparar un daño </w:t>
      </w:r>
      <w:r w:rsidR="00145D4B" w:rsidRPr="00435CE9">
        <w:rPr>
          <w:rFonts w:eastAsia="Calibri"/>
          <w:sz w:val="22"/>
          <w:szCs w:val="22"/>
          <w:lang w:val="es-SV" w:eastAsia="en-US"/>
        </w:rPr>
        <w:t>con</w:t>
      </w:r>
      <w:r w:rsidR="004A14CF" w:rsidRPr="00435CE9">
        <w:rPr>
          <w:rFonts w:eastAsia="Calibri"/>
          <w:sz w:val="22"/>
          <w:szCs w:val="22"/>
          <w:lang w:val="es-SV" w:eastAsia="en-US"/>
        </w:rPr>
        <w:t xml:space="preserve"> base a la relació</w:t>
      </w:r>
      <w:r w:rsidR="00665212" w:rsidRPr="00435CE9">
        <w:rPr>
          <w:rFonts w:eastAsia="Calibri"/>
          <w:sz w:val="22"/>
          <w:szCs w:val="22"/>
          <w:lang w:val="es-SV" w:eastAsia="en-US"/>
        </w:rPr>
        <w:t xml:space="preserve">n existente entre </w:t>
      </w:r>
      <w:r w:rsidR="00E541D4" w:rsidRPr="00435CE9">
        <w:rPr>
          <w:rFonts w:eastAsia="Calibri"/>
          <w:sz w:val="22"/>
          <w:szCs w:val="22"/>
          <w:lang w:val="es-SV" w:eastAsia="en-US"/>
        </w:rPr>
        <w:t xml:space="preserve">la </w:t>
      </w:r>
      <w:r w:rsidR="00EA3A44" w:rsidRPr="00435CE9">
        <w:rPr>
          <w:rFonts w:eastAsia="Calibri"/>
          <w:sz w:val="22"/>
          <w:szCs w:val="22"/>
          <w:lang w:val="es-SV" w:eastAsia="en-US"/>
        </w:rPr>
        <w:t xml:space="preserve">acción u omisión </w:t>
      </w:r>
      <w:r w:rsidR="00665212" w:rsidRPr="00435CE9">
        <w:rPr>
          <w:rFonts w:eastAsia="Calibri"/>
          <w:sz w:val="22"/>
          <w:szCs w:val="22"/>
          <w:lang w:val="es-SV" w:eastAsia="en-US"/>
        </w:rPr>
        <w:t xml:space="preserve">y </w:t>
      </w:r>
      <w:r w:rsidR="00E541D4" w:rsidRPr="00435CE9">
        <w:rPr>
          <w:rFonts w:eastAsia="Calibri"/>
          <w:sz w:val="22"/>
          <w:szCs w:val="22"/>
          <w:lang w:val="es-SV" w:eastAsia="en-US"/>
        </w:rPr>
        <w:t>el efecto resultante</w:t>
      </w:r>
      <w:r w:rsidR="00665212" w:rsidRPr="00435CE9">
        <w:rPr>
          <w:rFonts w:eastAsia="Calibri"/>
          <w:sz w:val="22"/>
          <w:szCs w:val="22"/>
          <w:lang w:val="es-SV" w:eastAsia="en-US"/>
        </w:rPr>
        <w:t>.</w:t>
      </w:r>
    </w:p>
    <w:p w:rsidR="00665212" w:rsidRPr="00435CE9" w:rsidRDefault="00665212" w:rsidP="00665212">
      <w:pPr>
        <w:spacing w:after="200" w:line="0" w:lineRule="atLeast"/>
        <w:ind w:left="567"/>
        <w:contextualSpacing/>
        <w:jc w:val="both"/>
        <w:rPr>
          <w:rFonts w:eastAsia="Calibri"/>
          <w:sz w:val="22"/>
          <w:szCs w:val="22"/>
          <w:lang w:val="es-SV" w:eastAsia="en-US"/>
        </w:rPr>
      </w:pPr>
    </w:p>
    <w:p w:rsidR="00665212" w:rsidRPr="00435CE9" w:rsidRDefault="004A14CF" w:rsidP="00665212">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Siendo así, la responsabilidad está condicionada a una relación de causalidad adecuada; es decir, que entre el obrar del agente, imputable a un factor objetivo o subjetivo, y el daño, debe mediar, para que la responsabilidad surja, una relación de causa a efecto, adecuada, razonable y previsible. Dichas condiciones resultan fundamentales para no extender la responsabilidad a quien no es el causante del perjuici</w:t>
      </w:r>
      <w:r w:rsidR="00665212" w:rsidRPr="00435CE9">
        <w:rPr>
          <w:rFonts w:eastAsia="Calibri"/>
          <w:sz w:val="22"/>
          <w:szCs w:val="22"/>
          <w:lang w:val="es-SV" w:eastAsia="en-US"/>
        </w:rPr>
        <w:t>o, por ser un obrar ajeno a él.</w:t>
      </w:r>
    </w:p>
    <w:p w:rsidR="00665212" w:rsidRPr="00435CE9" w:rsidRDefault="00665212" w:rsidP="00665212">
      <w:pPr>
        <w:spacing w:after="200" w:line="0" w:lineRule="atLeast"/>
        <w:ind w:left="567"/>
        <w:contextualSpacing/>
        <w:jc w:val="both"/>
        <w:rPr>
          <w:rFonts w:eastAsia="Calibri"/>
          <w:sz w:val="22"/>
          <w:szCs w:val="22"/>
          <w:lang w:val="es-SV" w:eastAsia="en-US"/>
        </w:rPr>
      </w:pPr>
    </w:p>
    <w:p w:rsidR="00665212" w:rsidRPr="00435CE9" w:rsidRDefault="004A14CF" w:rsidP="00665212">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Para establecer la causa del daño es necesario hacer un juicio de probabilidad, determinando que aquél se halla en conexión causal adecuada con el acto ilícito; es decir, que el efecto dañoso es aquél que debía resultar normalmente de la acción y omisión antijurídica, según el orden natural y ordinario de las cosas.</w:t>
      </w:r>
    </w:p>
    <w:p w:rsidR="00665212" w:rsidRPr="00435CE9" w:rsidRDefault="00665212" w:rsidP="00665212">
      <w:pPr>
        <w:spacing w:after="200" w:line="0" w:lineRule="atLeast"/>
        <w:ind w:left="567"/>
        <w:contextualSpacing/>
        <w:jc w:val="both"/>
        <w:rPr>
          <w:rFonts w:eastAsia="Calibri"/>
          <w:sz w:val="22"/>
          <w:szCs w:val="22"/>
          <w:lang w:val="es-SV" w:eastAsia="en-US"/>
        </w:rPr>
      </w:pPr>
    </w:p>
    <w:p w:rsidR="00665212" w:rsidRPr="00435CE9" w:rsidRDefault="006C15D5" w:rsidP="00665212">
      <w:pPr>
        <w:spacing w:after="200" w:line="0" w:lineRule="atLeast"/>
        <w:ind w:left="567"/>
        <w:contextualSpacing/>
        <w:jc w:val="both"/>
        <w:rPr>
          <w:rFonts w:eastAsia="Calibri"/>
          <w:i/>
          <w:sz w:val="22"/>
          <w:szCs w:val="22"/>
          <w:lang w:val="es-SV" w:eastAsia="en-US"/>
        </w:rPr>
      </w:pPr>
      <w:r>
        <w:rPr>
          <w:rFonts w:eastAsia="Calibri"/>
          <w:sz w:val="22"/>
          <w:szCs w:val="22"/>
          <w:lang w:val="es-SV" w:eastAsia="en-US"/>
        </w:rPr>
        <w:t>E</w:t>
      </w:r>
      <w:r w:rsidR="004A14CF" w:rsidRPr="00435CE9">
        <w:rPr>
          <w:rFonts w:eastAsia="Calibri"/>
          <w:sz w:val="22"/>
          <w:szCs w:val="22"/>
          <w:lang w:val="es-SV" w:eastAsia="en-US"/>
        </w:rPr>
        <w:t xml:space="preserve">n el libro Teoría General de la Responsabilidad Civil, 9° edición de Abeledo-Perrot, páginas 563 y 564 se establece lo siguiente: </w:t>
      </w:r>
      <w:r w:rsidR="004A14CF" w:rsidRPr="00435CE9">
        <w:rPr>
          <w:rFonts w:eastAsia="Calibri"/>
          <w:i/>
          <w:sz w:val="22"/>
          <w:szCs w:val="22"/>
          <w:lang w:val="es-SV" w:eastAsia="en-US"/>
        </w:rPr>
        <w:t xml:space="preserve">“““a) Damnificado directo. (…) La obligación de indemnizar existe un primer lugar respecto de aquel que el delito ha damnificado directamente. El damnificado directo es la </w:t>
      </w:r>
      <w:r w:rsidR="00190365" w:rsidRPr="00435CE9">
        <w:rPr>
          <w:rFonts w:eastAsia="Calibri"/>
          <w:i/>
          <w:sz w:val="22"/>
          <w:szCs w:val="22"/>
          <w:lang w:val="es-SV" w:eastAsia="en-US"/>
        </w:rPr>
        <w:t>víctima</w:t>
      </w:r>
      <w:r w:rsidR="004A14CF" w:rsidRPr="00435CE9">
        <w:rPr>
          <w:rFonts w:eastAsia="Calibri"/>
          <w:i/>
          <w:sz w:val="22"/>
          <w:szCs w:val="22"/>
          <w:lang w:val="es-SV" w:eastAsia="en-US"/>
        </w:rPr>
        <w:t xml:space="preserve"> del delito o cuasidelito, es decir, la persona que padece como sujeto pasivo la acción ilícita, sea que ésta recaiga sobre su persona o sobre las cosas que le pertenecen. b) Damnificado indirecto. En segundo lugar, la obligación de indemnizar por los perjuicios causados por el delito o cuasidelito existe también respecto de toda persona que por él hubiese sufrido, aunque sea de una manera indirecta. (…) Es decir, que también tienen derecho a </w:t>
      </w:r>
      <w:r w:rsidR="004A14CF" w:rsidRPr="00435CE9">
        <w:rPr>
          <w:rFonts w:eastAsia="Calibri"/>
          <w:i/>
          <w:sz w:val="22"/>
          <w:szCs w:val="22"/>
          <w:lang w:val="es-SV" w:eastAsia="en-US"/>
        </w:rPr>
        <w:lastRenderedPageBreak/>
        <w:t xml:space="preserve">ejercer la acción todos aquellos, que sin haber sido </w:t>
      </w:r>
      <w:r w:rsidR="00190365" w:rsidRPr="00435CE9">
        <w:rPr>
          <w:rFonts w:eastAsia="Calibri"/>
          <w:i/>
          <w:sz w:val="22"/>
          <w:szCs w:val="22"/>
          <w:lang w:val="es-SV" w:eastAsia="en-US"/>
        </w:rPr>
        <w:t>víctimas</w:t>
      </w:r>
      <w:r w:rsidR="004A14CF" w:rsidRPr="00435CE9">
        <w:rPr>
          <w:rFonts w:eastAsia="Calibri"/>
          <w:i/>
          <w:sz w:val="22"/>
          <w:szCs w:val="22"/>
          <w:lang w:val="es-SV" w:eastAsia="en-US"/>
        </w:rPr>
        <w:t xml:space="preserve"> o damnificaos directos, sufren un daño como</w:t>
      </w:r>
      <w:r w:rsidR="00665212" w:rsidRPr="00435CE9">
        <w:rPr>
          <w:rFonts w:eastAsia="Calibri"/>
          <w:i/>
          <w:sz w:val="22"/>
          <w:szCs w:val="22"/>
          <w:lang w:val="es-SV" w:eastAsia="en-US"/>
        </w:rPr>
        <w:t xml:space="preserve"> consecuencia del hecho. (…)”””</w:t>
      </w:r>
    </w:p>
    <w:p w:rsidR="00665212" w:rsidRPr="00435CE9" w:rsidRDefault="00665212" w:rsidP="00665212">
      <w:pPr>
        <w:spacing w:after="200" w:line="0" w:lineRule="atLeast"/>
        <w:ind w:left="567"/>
        <w:contextualSpacing/>
        <w:jc w:val="both"/>
        <w:rPr>
          <w:rFonts w:eastAsia="Calibri"/>
          <w:i/>
          <w:sz w:val="22"/>
          <w:szCs w:val="22"/>
          <w:lang w:val="es-SV" w:eastAsia="en-US"/>
        </w:rPr>
      </w:pPr>
    </w:p>
    <w:p w:rsidR="00665212" w:rsidRPr="00435CE9" w:rsidRDefault="004A14CF" w:rsidP="00665212">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De l</w:t>
      </w:r>
      <w:r w:rsidR="006C15D5">
        <w:rPr>
          <w:rFonts w:eastAsia="Calibri"/>
          <w:sz w:val="22"/>
          <w:szCs w:val="22"/>
          <w:lang w:val="es-SV" w:eastAsia="en-US"/>
        </w:rPr>
        <w:t>o expuesto</w:t>
      </w:r>
      <w:r w:rsidRPr="00435CE9">
        <w:rPr>
          <w:rFonts w:eastAsia="Calibri"/>
          <w:sz w:val="22"/>
          <w:szCs w:val="22"/>
          <w:lang w:val="es-SV" w:eastAsia="en-US"/>
        </w:rPr>
        <w:t>,</w:t>
      </w:r>
      <w:r w:rsidR="00706FB3">
        <w:rPr>
          <w:rFonts w:eastAsia="Calibri"/>
          <w:sz w:val="22"/>
          <w:szCs w:val="22"/>
          <w:lang w:val="es-SV" w:eastAsia="en-US"/>
        </w:rPr>
        <w:t xml:space="preserve"> esta Superintendencia,</w:t>
      </w:r>
      <w:r w:rsidRPr="00435CE9">
        <w:rPr>
          <w:rFonts w:eastAsia="Calibri"/>
          <w:sz w:val="22"/>
          <w:szCs w:val="22"/>
          <w:lang w:val="es-SV" w:eastAsia="en-US"/>
        </w:rPr>
        <w:t xml:space="preserve"> a modo </w:t>
      </w:r>
      <w:r w:rsidR="00706FB3">
        <w:rPr>
          <w:rFonts w:eastAsia="Calibri"/>
          <w:sz w:val="22"/>
          <w:szCs w:val="22"/>
          <w:lang w:val="es-SV" w:eastAsia="en-US"/>
        </w:rPr>
        <w:t>de conclusión, debe establecer</w:t>
      </w:r>
      <w:r w:rsidRPr="00435CE9">
        <w:rPr>
          <w:rFonts w:eastAsia="Calibri"/>
          <w:sz w:val="22"/>
          <w:szCs w:val="22"/>
          <w:lang w:val="es-SV" w:eastAsia="en-US"/>
        </w:rPr>
        <w:t xml:space="preserve"> </w:t>
      </w:r>
      <w:r w:rsidR="00483ABC" w:rsidRPr="00435CE9">
        <w:rPr>
          <w:rFonts w:eastAsia="Calibri"/>
          <w:sz w:val="22"/>
          <w:szCs w:val="22"/>
          <w:lang w:val="es-SV" w:eastAsia="en-US"/>
        </w:rPr>
        <w:t>que,</w:t>
      </w:r>
      <w:r w:rsidRPr="00435CE9">
        <w:rPr>
          <w:rFonts w:eastAsia="Calibri"/>
          <w:sz w:val="22"/>
          <w:szCs w:val="22"/>
          <w:lang w:val="es-SV" w:eastAsia="en-US"/>
        </w:rPr>
        <w:t xml:space="preserve"> para </w:t>
      </w:r>
      <w:r w:rsidR="00E832B3">
        <w:rPr>
          <w:rFonts w:eastAsia="Calibri"/>
          <w:sz w:val="22"/>
          <w:szCs w:val="22"/>
          <w:lang w:val="es-SV" w:eastAsia="en-US"/>
        </w:rPr>
        <w:t>defini</w:t>
      </w:r>
      <w:r w:rsidRPr="00435CE9">
        <w:rPr>
          <w:rFonts w:eastAsia="Calibri"/>
          <w:sz w:val="22"/>
          <w:szCs w:val="22"/>
          <w:lang w:val="es-SV" w:eastAsia="en-US"/>
        </w:rPr>
        <w:t xml:space="preserve">r la responsabilidad de </w:t>
      </w:r>
      <w:r w:rsidR="00E832B3" w:rsidRPr="00435CE9">
        <w:rPr>
          <w:rFonts w:eastAsia="Calibri"/>
          <w:sz w:val="22"/>
          <w:szCs w:val="22"/>
          <w:lang w:val="es-SV" w:eastAsia="en-US"/>
        </w:rPr>
        <w:t>la distribuidora</w:t>
      </w:r>
      <w:r w:rsidR="00E832B3">
        <w:rPr>
          <w:rFonts w:eastAsia="Calibri"/>
          <w:sz w:val="22"/>
          <w:szCs w:val="22"/>
          <w:lang w:val="es-SV" w:eastAsia="en-US"/>
        </w:rPr>
        <w:t xml:space="preserve"> </w:t>
      </w:r>
      <w:r w:rsidR="00483ABC">
        <w:rPr>
          <w:rFonts w:eastAsia="Calibri"/>
          <w:sz w:val="22"/>
          <w:szCs w:val="22"/>
          <w:lang w:val="es-SV" w:eastAsia="en-US"/>
        </w:rPr>
        <w:t xml:space="preserve">para compensar </w:t>
      </w:r>
      <w:r w:rsidRPr="00435CE9">
        <w:rPr>
          <w:rFonts w:eastAsia="Calibri"/>
          <w:sz w:val="22"/>
          <w:szCs w:val="22"/>
          <w:lang w:val="es-SV" w:eastAsia="en-US"/>
        </w:rPr>
        <w:t>un daño económico a un usuario, se requiere básicamente la acreditación dentro del procedimiento correspondiente de tres elementos: a) Acción u omisión ilícita o antijurídica; b) Que se produzca un daño; y, c) Que exista una relación de causalidad entre la acción y el resultado dañoso.</w:t>
      </w:r>
    </w:p>
    <w:p w:rsidR="00665212" w:rsidRPr="00435CE9" w:rsidRDefault="00665212" w:rsidP="00665212">
      <w:pPr>
        <w:spacing w:after="200" w:line="0" w:lineRule="atLeast"/>
        <w:ind w:left="567"/>
        <w:contextualSpacing/>
        <w:jc w:val="both"/>
        <w:rPr>
          <w:rFonts w:eastAsia="Calibri"/>
          <w:sz w:val="22"/>
          <w:szCs w:val="22"/>
          <w:lang w:val="es-SV" w:eastAsia="en-US"/>
        </w:rPr>
      </w:pPr>
    </w:p>
    <w:p w:rsidR="00665212" w:rsidRPr="00435CE9" w:rsidRDefault="004A14CF" w:rsidP="00665212">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Esbozado lo anterior, en el presente cas</w:t>
      </w:r>
      <w:r w:rsidR="00190365" w:rsidRPr="00435CE9">
        <w:rPr>
          <w:rFonts w:eastAsia="Calibri"/>
          <w:sz w:val="22"/>
          <w:szCs w:val="22"/>
          <w:lang w:val="es-SV" w:eastAsia="en-US"/>
        </w:rPr>
        <w:t>o se comprobó y determinó que la</w:t>
      </w:r>
      <w:r w:rsidRPr="00435CE9">
        <w:rPr>
          <w:rFonts w:eastAsia="Calibri"/>
          <w:sz w:val="22"/>
          <w:szCs w:val="22"/>
          <w:lang w:val="es-SV" w:eastAsia="en-US"/>
        </w:rPr>
        <w:t xml:space="preserve">s </w:t>
      </w:r>
      <w:r w:rsidR="00665212" w:rsidRPr="00435CE9">
        <w:rPr>
          <w:rFonts w:eastAsia="Calibri"/>
          <w:sz w:val="22"/>
          <w:szCs w:val="22"/>
          <w:lang w:val="es-SV" w:eastAsia="en-US"/>
        </w:rPr>
        <w:t>interrupciones</w:t>
      </w:r>
      <w:r w:rsidRPr="00435CE9">
        <w:rPr>
          <w:rFonts w:eastAsia="Calibri"/>
          <w:sz w:val="22"/>
          <w:szCs w:val="22"/>
          <w:lang w:val="es-SV" w:eastAsia="en-US"/>
        </w:rPr>
        <w:t xml:space="preserve"> ocurrid</w:t>
      </w:r>
      <w:r w:rsidR="00665212" w:rsidRPr="00435CE9">
        <w:rPr>
          <w:rFonts w:eastAsia="Calibri"/>
          <w:sz w:val="22"/>
          <w:szCs w:val="22"/>
          <w:lang w:val="es-SV" w:eastAsia="en-US"/>
        </w:rPr>
        <w:t>a</w:t>
      </w:r>
      <w:r w:rsidRPr="00435CE9">
        <w:rPr>
          <w:rFonts w:eastAsia="Calibri"/>
          <w:sz w:val="22"/>
          <w:szCs w:val="22"/>
          <w:lang w:val="es-SV" w:eastAsia="en-US"/>
        </w:rPr>
        <w:t>s en la residencia del usuario</w:t>
      </w:r>
      <w:r w:rsidR="00495F7E">
        <w:rPr>
          <w:rFonts w:eastAsia="Calibri"/>
          <w:sz w:val="22"/>
          <w:szCs w:val="22"/>
          <w:lang w:val="es-SV" w:eastAsia="en-US"/>
        </w:rPr>
        <w:t xml:space="preserve">, </w:t>
      </w:r>
      <w:r w:rsidRPr="00435CE9">
        <w:rPr>
          <w:rFonts w:eastAsia="Calibri"/>
          <w:sz w:val="22"/>
          <w:szCs w:val="22"/>
          <w:lang w:val="es-SV" w:eastAsia="en-US"/>
        </w:rPr>
        <w:t xml:space="preserve">no se debieron a deficiencias técnicas en las instalaciones eléctricas de la distribuidora, o en la calidad del suministro de energía eléctrica que le provee </w:t>
      </w:r>
      <w:r w:rsidR="00665212" w:rsidRPr="00435CE9">
        <w:rPr>
          <w:rFonts w:eastAsia="Calibri"/>
          <w:sz w:val="22"/>
          <w:szCs w:val="22"/>
          <w:lang w:val="es-SV" w:eastAsia="en-US"/>
        </w:rPr>
        <w:t>al usuario final</w:t>
      </w:r>
      <w:r w:rsidRPr="00435CE9">
        <w:rPr>
          <w:rFonts w:eastAsia="Calibri"/>
          <w:sz w:val="22"/>
          <w:szCs w:val="22"/>
          <w:lang w:val="es-SV" w:eastAsia="en-US"/>
        </w:rPr>
        <w:t>, sino que se originaron por un hecho externo provocado por un tercero -colisión de un vehículo contra la infraestructura eléctrica</w:t>
      </w:r>
      <w:r w:rsidR="00190365" w:rsidRPr="00435CE9">
        <w:rPr>
          <w:rFonts w:eastAsia="Calibri"/>
          <w:sz w:val="22"/>
          <w:szCs w:val="22"/>
          <w:lang w:val="es-SV" w:eastAsia="en-US"/>
        </w:rPr>
        <w:t xml:space="preserve"> que soporta líneas de distribución de 13.2 kV</w:t>
      </w:r>
      <w:r w:rsidRPr="00435CE9">
        <w:rPr>
          <w:rFonts w:eastAsia="Calibri"/>
          <w:sz w:val="22"/>
          <w:szCs w:val="22"/>
          <w:lang w:val="es-SV" w:eastAsia="en-US"/>
        </w:rPr>
        <w:t xml:space="preserve">-. </w:t>
      </w:r>
    </w:p>
    <w:p w:rsidR="00665212" w:rsidRPr="00435CE9" w:rsidRDefault="00665212" w:rsidP="00665212">
      <w:pPr>
        <w:spacing w:after="200" w:line="0" w:lineRule="atLeast"/>
        <w:ind w:left="567"/>
        <w:contextualSpacing/>
        <w:jc w:val="both"/>
        <w:rPr>
          <w:rFonts w:eastAsia="Calibri"/>
          <w:sz w:val="22"/>
          <w:szCs w:val="22"/>
          <w:lang w:val="es-SV" w:eastAsia="en-US"/>
        </w:rPr>
      </w:pPr>
    </w:p>
    <w:p w:rsidR="00E541D4" w:rsidRPr="00435CE9" w:rsidRDefault="004A14CF" w:rsidP="00E541D4">
      <w:pPr>
        <w:spacing w:after="200" w:line="0" w:lineRule="atLeast"/>
        <w:ind w:left="567"/>
        <w:contextualSpacing/>
        <w:jc w:val="both"/>
        <w:rPr>
          <w:rFonts w:eastAsia="Calibri"/>
          <w:sz w:val="22"/>
          <w:szCs w:val="22"/>
          <w:lang w:val="es-SV" w:eastAsia="en-US"/>
        </w:rPr>
      </w:pPr>
      <w:r w:rsidRPr="00435CE9">
        <w:rPr>
          <w:rFonts w:eastAsia="Calibri"/>
          <w:sz w:val="22"/>
          <w:szCs w:val="22"/>
          <w:lang w:val="es-SV" w:eastAsia="en-US"/>
        </w:rPr>
        <w:t xml:space="preserve">Lo expuesto se traduce en primer lugar, en que la sociedad </w:t>
      </w:r>
      <w:r w:rsidR="006F1AAD">
        <w:rPr>
          <w:rFonts w:eastAsia="Calibri"/>
          <w:sz w:val="22"/>
          <w:szCs w:val="22"/>
          <w:lang w:val="es-SV" w:eastAsia="en-US"/>
        </w:rPr>
        <w:t xml:space="preserve">*** </w:t>
      </w:r>
      <w:r w:rsidRPr="00435CE9">
        <w:rPr>
          <w:rFonts w:eastAsia="Calibri"/>
          <w:sz w:val="22"/>
          <w:szCs w:val="22"/>
          <w:lang w:val="es-SV" w:eastAsia="en-US"/>
        </w:rPr>
        <w:t xml:space="preserve">es la victima directa por la colisión del vehículo en sus redes eléctricas e indirectamente es el usuario; y, en segundo lugar, no se le puede imputar a la distribuidora el origen de la falla en el suministro de energía eléctrica acontecida el día </w:t>
      </w:r>
      <w:r w:rsidR="00E541D4" w:rsidRPr="00435CE9">
        <w:rPr>
          <w:rFonts w:eastAsia="Calibri"/>
          <w:sz w:val="22"/>
          <w:szCs w:val="22"/>
          <w:lang w:val="es-SV" w:eastAsia="en-US"/>
        </w:rPr>
        <w:t>veinticuatro de octubre de dos mil quince</w:t>
      </w:r>
      <w:r w:rsidRPr="00435CE9">
        <w:rPr>
          <w:rFonts w:eastAsia="Calibri"/>
          <w:sz w:val="22"/>
          <w:szCs w:val="22"/>
          <w:lang w:val="es-SV" w:eastAsia="en-US"/>
        </w:rPr>
        <w:t>, por no existir una acción y relación causal que vincule a la distribuidora con los daños en los aparatos eléctricos del usuario.</w:t>
      </w:r>
    </w:p>
    <w:p w:rsidR="009C1897" w:rsidRPr="00435CE9" w:rsidRDefault="009C1897" w:rsidP="009C1897">
      <w:pPr>
        <w:pStyle w:val="Prrafodelista"/>
        <w:numPr>
          <w:ilvl w:val="0"/>
          <w:numId w:val="8"/>
        </w:numPr>
        <w:spacing w:after="200" w:line="0" w:lineRule="atLeast"/>
        <w:jc w:val="both"/>
        <w:rPr>
          <w:sz w:val="22"/>
          <w:szCs w:val="22"/>
          <w:lang w:val="es-SV" w:eastAsia="es-SV"/>
        </w:rPr>
      </w:pPr>
      <w:r w:rsidRPr="00435CE9">
        <w:rPr>
          <w:sz w:val="22"/>
          <w:szCs w:val="22"/>
          <w:lang w:val="es-SV" w:eastAsia="es-SV"/>
        </w:rPr>
        <w:t>Conclusión</w:t>
      </w:r>
    </w:p>
    <w:p w:rsidR="0098034E" w:rsidRPr="00435CE9" w:rsidRDefault="0098034E" w:rsidP="006623A4">
      <w:pPr>
        <w:spacing w:after="200" w:line="0" w:lineRule="atLeast"/>
        <w:ind w:left="567"/>
        <w:contextualSpacing/>
        <w:jc w:val="both"/>
        <w:rPr>
          <w:sz w:val="22"/>
          <w:szCs w:val="22"/>
          <w:lang w:val="es-SV" w:eastAsia="es-SV"/>
        </w:rPr>
      </w:pPr>
      <w:r w:rsidRPr="00435CE9">
        <w:rPr>
          <w:sz w:val="22"/>
          <w:szCs w:val="22"/>
          <w:lang w:val="es-SV" w:eastAsia="es-SV"/>
        </w:rPr>
        <w:t xml:space="preserve">En este punto es importante señalar de conformidad con el artículo 20 de la </w:t>
      </w:r>
      <w:r w:rsidR="006623A4" w:rsidRPr="00435CE9">
        <w:rPr>
          <w:sz w:val="22"/>
          <w:szCs w:val="22"/>
          <w:lang w:val="es-SV" w:eastAsia="es-SV"/>
        </w:rPr>
        <w:t>Normativa para la Compensación por Daños Económicos a Equipos, Artefactos o Instalaciones,</w:t>
      </w:r>
      <w:r w:rsidRPr="00435CE9">
        <w:rPr>
          <w:sz w:val="22"/>
          <w:szCs w:val="22"/>
          <w:lang w:val="es-SV" w:eastAsia="es-SV"/>
        </w:rPr>
        <w:t xml:space="preserve"> la resolución final deberá definir si es procedente una compensación económica, para lo cual dicha resolución será fundamentada en el dictamen técnico del CAU.</w:t>
      </w:r>
    </w:p>
    <w:p w:rsidR="0098034E" w:rsidRPr="00435CE9" w:rsidRDefault="0098034E" w:rsidP="006623A4">
      <w:pPr>
        <w:spacing w:after="200" w:line="0" w:lineRule="atLeast"/>
        <w:ind w:left="567"/>
        <w:contextualSpacing/>
        <w:jc w:val="both"/>
        <w:rPr>
          <w:sz w:val="22"/>
          <w:szCs w:val="22"/>
          <w:lang w:val="es-SV" w:eastAsia="es-SV"/>
        </w:rPr>
      </w:pPr>
    </w:p>
    <w:p w:rsidR="0098034E" w:rsidRPr="00435CE9" w:rsidRDefault="0098034E" w:rsidP="006623A4">
      <w:pPr>
        <w:spacing w:after="200" w:line="0" w:lineRule="atLeast"/>
        <w:ind w:left="567"/>
        <w:contextualSpacing/>
        <w:jc w:val="both"/>
        <w:rPr>
          <w:sz w:val="22"/>
          <w:szCs w:val="22"/>
          <w:lang w:val="es-SV" w:eastAsia="es-SV"/>
        </w:rPr>
      </w:pPr>
      <w:r w:rsidRPr="00435CE9">
        <w:rPr>
          <w:sz w:val="22"/>
          <w:szCs w:val="22"/>
          <w:lang w:val="es-SV" w:eastAsia="es-SV"/>
        </w:rPr>
        <w:t>En atención a los fundamentos expuestos en el informe técnico No. IT-</w:t>
      </w:r>
      <w:r w:rsidR="002A17FE" w:rsidRPr="00435CE9">
        <w:rPr>
          <w:sz w:val="22"/>
          <w:szCs w:val="22"/>
          <w:lang w:val="es-SV" w:eastAsia="es-SV"/>
        </w:rPr>
        <w:t>017-32888</w:t>
      </w:r>
      <w:r w:rsidRPr="00435CE9">
        <w:rPr>
          <w:sz w:val="22"/>
          <w:szCs w:val="22"/>
          <w:lang w:val="es-SV" w:eastAsia="es-SV"/>
        </w:rPr>
        <w:t xml:space="preserve">-CAU, esta Superintendencia se adhiere al dictamen emitido por el CAU de la SIGET, de conformidad con la </w:t>
      </w:r>
      <w:r w:rsidR="006623A4" w:rsidRPr="00435CE9">
        <w:rPr>
          <w:sz w:val="22"/>
          <w:szCs w:val="22"/>
          <w:lang w:val="es-SV" w:eastAsia="es-SV"/>
        </w:rPr>
        <w:t>Normativa para la Compensación por Daños Económicos a Equipos, Artefactos o Instalaciones</w:t>
      </w:r>
      <w:r w:rsidRPr="00435CE9">
        <w:rPr>
          <w:sz w:val="22"/>
          <w:szCs w:val="22"/>
          <w:lang w:val="es-SV" w:eastAsia="es-SV"/>
        </w:rPr>
        <w:t xml:space="preserve">, siendo procedente absolver a la sociedad </w:t>
      </w:r>
      <w:r w:rsidR="006F1AAD">
        <w:rPr>
          <w:sz w:val="22"/>
          <w:szCs w:val="22"/>
          <w:lang w:val="es-SV" w:eastAsia="es-SV"/>
        </w:rPr>
        <w:t xml:space="preserve"> **** </w:t>
      </w:r>
      <w:r w:rsidRPr="00435CE9">
        <w:rPr>
          <w:sz w:val="22"/>
          <w:szCs w:val="22"/>
          <w:lang w:val="es-SV" w:eastAsia="es-SV"/>
        </w:rPr>
        <w:t xml:space="preserve">por no existir relación de causalidad directa entre el servicio prestado y el daño ocurrido en </w:t>
      </w:r>
      <w:r w:rsidR="00B63B23" w:rsidRPr="00435CE9">
        <w:rPr>
          <w:sz w:val="22"/>
          <w:szCs w:val="22"/>
          <w:lang w:val="es-SV" w:eastAsia="es-SV"/>
        </w:rPr>
        <w:t xml:space="preserve">los </w:t>
      </w:r>
      <w:r w:rsidRPr="00435CE9">
        <w:rPr>
          <w:sz w:val="22"/>
          <w:szCs w:val="22"/>
          <w:lang w:val="es-SV" w:eastAsia="es-SV"/>
        </w:rPr>
        <w:t>equipo</w:t>
      </w:r>
      <w:r w:rsidR="00B63B23" w:rsidRPr="00435CE9">
        <w:rPr>
          <w:sz w:val="22"/>
          <w:szCs w:val="22"/>
          <w:lang w:val="es-SV" w:eastAsia="es-SV"/>
        </w:rPr>
        <w:t>s</w:t>
      </w:r>
      <w:r w:rsidRPr="00435CE9">
        <w:rPr>
          <w:sz w:val="22"/>
          <w:szCs w:val="22"/>
          <w:lang w:val="es-SV" w:eastAsia="es-SV"/>
        </w:rPr>
        <w:t xml:space="preserve"> eléctrico</w:t>
      </w:r>
      <w:r w:rsidR="00B63B23" w:rsidRPr="00435CE9">
        <w:rPr>
          <w:sz w:val="22"/>
          <w:szCs w:val="22"/>
          <w:lang w:val="es-SV" w:eastAsia="es-SV"/>
        </w:rPr>
        <w:t>s</w:t>
      </w:r>
      <w:r w:rsidRPr="00435CE9">
        <w:rPr>
          <w:sz w:val="22"/>
          <w:szCs w:val="22"/>
          <w:lang w:val="es-SV" w:eastAsia="es-SV"/>
        </w:rPr>
        <w:t xml:space="preserve"> propiedad </w:t>
      </w:r>
      <w:r w:rsidR="006C62E8" w:rsidRPr="00435CE9">
        <w:rPr>
          <w:sz w:val="22"/>
          <w:szCs w:val="22"/>
        </w:rPr>
        <w:t>d</w:t>
      </w:r>
      <w:r w:rsidR="00706FB3">
        <w:rPr>
          <w:sz w:val="22"/>
          <w:szCs w:val="22"/>
        </w:rPr>
        <w:t>el señor</w:t>
      </w:r>
      <w:r w:rsidR="006F1AAD">
        <w:rPr>
          <w:sz w:val="22"/>
          <w:szCs w:val="22"/>
        </w:rPr>
        <w:t xml:space="preserve"> ****</w:t>
      </w:r>
      <w:r w:rsidRPr="00435CE9">
        <w:rPr>
          <w:sz w:val="22"/>
          <w:szCs w:val="22"/>
          <w:lang w:val="es-SV" w:eastAsia="es-SV"/>
        </w:rPr>
        <w:t>.</w:t>
      </w:r>
    </w:p>
    <w:p w:rsidR="0098034E" w:rsidRPr="00435CE9" w:rsidRDefault="00B04EFB" w:rsidP="004F3C0A">
      <w:pPr>
        <w:pStyle w:val="Prrafodelista"/>
        <w:numPr>
          <w:ilvl w:val="0"/>
          <w:numId w:val="8"/>
        </w:numPr>
        <w:spacing w:after="200" w:line="0" w:lineRule="atLeast"/>
        <w:jc w:val="both"/>
        <w:rPr>
          <w:rFonts w:eastAsia="Calibri"/>
          <w:sz w:val="22"/>
          <w:szCs w:val="22"/>
          <w:lang w:val="es-SV" w:eastAsia="en-US"/>
        </w:rPr>
      </w:pPr>
      <w:r w:rsidRPr="00435CE9">
        <w:rPr>
          <w:rFonts w:eastAsia="Calibri"/>
          <w:sz w:val="22"/>
          <w:szCs w:val="22"/>
          <w:lang w:val="es-SV" w:eastAsia="en-US"/>
        </w:rPr>
        <w:t>Recursos</w:t>
      </w:r>
    </w:p>
    <w:p w:rsidR="00B04EFB" w:rsidRPr="00435CE9" w:rsidRDefault="00B04EFB" w:rsidP="00B04EFB">
      <w:pPr>
        <w:tabs>
          <w:tab w:val="left" w:pos="284"/>
        </w:tabs>
        <w:ind w:left="567"/>
        <w:jc w:val="both"/>
        <w:rPr>
          <w:sz w:val="22"/>
          <w:szCs w:val="22"/>
          <w:lang w:val="es-SV" w:eastAsia="es-SV"/>
        </w:rPr>
      </w:pPr>
      <w:r w:rsidRPr="00435CE9">
        <w:rPr>
          <w:sz w:val="22"/>
          <w:szCs w:val="22"/>
          <w:lang w:val="es-SV" w:eastAsia="es-SV"/>
        </w:rPr>
        <w:t>En cumplimiento de los artículos 104 y 123 de la Ley de Procedimientos Administrativos (LPA), es pertinente informar que el presente acuerdo es un acto administrativo definitivo, por tal motivo, en caso de inconformidad con su contenido, la misma puede ser impugnada mediante:</w:t>
      </w:r>
    </w:p>
    <w:p w:rsidR="00B04EFB" w:rsidRPr="00435CE9" w:rsidRDefault="00B04EFB" w:rsidP="00B04EFB">
      <w:pPr>
        <w:tabs>
          <w:tab w:val="left" w:pos="284"/>
        </w:tabs>
        <w:ind w:left="567"/>
        <w:jc w:val="both"/>
        <w:rPr>
          <w:sz w:val="22"/>
          <w:szCs w:val="22"/>
          <w:lang w:val="es-SV" w:eastAsia="es-SV"/>
        </w:rPr>
      </w:pPr>
    </w:p>
    <w:p w:rsidR="00B04EFB" w:rsidRPr="00435CE9" w:rsidRDefault="00B04EFB" w:rsidP="00B04EFB">
      <w:pPr>
        <w:tabs>
          <w:tab w:val="left" w:pos="284"/>
        </w:tabs>
        <w:ind w:left="567"/>
        <w:jc w:val="both"/>
        <w:rPr>
          <w:sz w:val="22"/>
          <w:szCs w:val="22"/>
          <w:lang w:val="es-SV" w:eastAsia="es-SV"/>
        </w:rPr>
      </w:pPr>
      <w:r w:rsidRPr="00435CE9">
        <w:rPr>
          <w:sz w:val="22"/>
          <w:szCs w:val="22"/>
          <w:lang w:val="es-SV" w:eastAsia="es-SV"/>
        </w:rPr>
        <w:t>Recurso de Reconsideración: el cual se puede interponer en el plazo máximo y perentorio de diez días hábiles contados a partir del día siguiente a la fecha de notificación de esta resolución, con base en los artículos 132 y 133 LPA.</w:t>
      </w:r>
    </w:p>
    <w:p w:rsidR="00B04EFB" w:rsidRPr="00435CE9" w:rsidRDefault="00B04EFB" w:rsidP="00B04EFB">
      <w:pPr>
        <w:tabs>
          <w:tab w:val="left" w:pos="284"/>
        </w:tabs>
        <w:ind w:left="567"/>
        <w:jc w:val="both"/>
        <w:rPr>
          <w:sz w:val="22"/>
          <w:szCs w:val="22"/>
          <w:lang w:val="es-SV" w:eastAsia="es-SV"/>
        </w:rPr>
      </w:pPr>
    </w:p>
    <w:p w:rsidR="00B04EFB" w:rsidRPr="00435CE9" w:rsidRDefault="00B04EFB" w:rsidP="00B04EFB">
      <w:pPr>
        <w:tabs>
          <w:tab w:val="left" w:pos="284"/>
        </w:tabs>
        <w:ind w:left="567"/>
        <w:jc w:val="both"/>
        <w:rPr>
          <w:sz w:val="22"/>
          <w:szCs w:val="22"/>
          <w:lang w:val="es-SV" w:eastAsia="es-SV"/>
        </w:rPr>
      </w:pPr>
      <w:r w:rsidRPr="00435CE9">
        <w:rPr>
          <w:sz w:val="22"/>
          <w:szCs w:val="22"/>
          <w:lang w:val="es-SV" w:eastAsia="es-SV"/>
        </w:rPr>
        <w:t>Recurso de Apelación: el cual se puede interponer en el plazo máximo y perentorio de quince días hábiles contados a partir del día siguiente a la fecha de notificación esta resolución, con base en los artículos artículo 134 y 135 LPA.</w:t>
      </w:r>
    </w:p>
    <w:p w:rsidR="00B04EFB" w:rsidRPr="00435CE9" w:rsidRDefault="00B04EFB" w:rsidP="0098034E">
      <w:pPr>
        <w:spacing w:line="0" w:lineRule="atLeast"/>
        <w:jc w:val="both"/>
        <w:rPr>
          <w:rFonts w:eastAsia="Arial Unicode MS"/>
          <w:sz w:val="22"/>
          <w:szCs w:val="22"/>
          <w:lang w:val="es-MX" w:eastAsia="en-US"/>
        </w:rPr>
      </w:pPr>
    </w:p>
    <w:p w:rsidR="0098034E" w:rsidRPr="00435CE9" w:rsidRDefault="0098034E" w:rsidP="0098034E">
      <w:pPr>
        <w:spacing w:line="0" w:lineRule="atLeast"/>
        <w:jc w:val="both"/>
        <w:rPr>
          <w:rFonts w:eastAsia="Arial Unicode MS"/>
          <w:sz w:val="22"/>
          <w:szCs w:val="22"/>
          <w:lang w:val="es-MX" w:eastAsia="en-US"/>
        </w:rPr>
      </w:pPr>
      <w:r w:rsidRPr="00435CE9">
        <w:rPr>
          <w:rFonts w:eastAsia="Arial Unicode MS"/>
          <w:sz w:val="22"/>
          <w:szCs w:val="22"/>
          <w:lang w:val="es-MX" w:eastAsia="en-US"/>
        </w:rPr>
        <w:lastRenderedPageBreak/>
        <w:t>POR TANTO, en uso de sus facultades legales, de conformidad con</w:t>
      </w:r>
      <w:r w:rsidR="00B63B23" w:rsidRPr="00435CE9">
        <w:rPr>
          <w:rFonts w:eastAsia="Arial Unicode MS"/>
          <w:sz w:val="22"/>
          <w:szCs w:val="22"/>
          <w:lang w:val="es-MX" w:eastAsia="en-US"/>
        </w:rPr>
        <w:t xml:space="preserve"> la Ley de Procedimientos Administrativos, </w:t>
      </w:r>
      <w:r w:rsidRPr="00435CE9">
        <w:rPr>
          <w:rFonts w:eastAsia="Arial Unicode MS"/>
          <w:sz w:val="22"/>
          <w:szCs w:val="22"/>
          <w:lang w:val="es-MX" w:eastAsia="en-US"/>
        </w:rPr>
        <w:t xml:space="preserve">el artículo 4 y 5 de la Ley de Creación de la SIGET; artículos 2 literal e), 31, 84 y siguientes de la Ley General de Electricidad; 63 del Reglamento de la Ley General de Electricidad; </w:t>
      </w:r>
      <w:r w:rsidR="006623A4" w:rsidRPr="00435CE9">
        <w:rPr>
          <w:rFonts w:eastAsia="Arial Unicode MS"/>
          <w:sz w:val="22"/>
          <w:szCs w:val="22"/>
          <w:lang w:val="es-MX" w:eastAsia="en-US"/>
        </w:rPr>
        <w:t xml:space="preserve">4 </w:t>
      </w:r>
      <w:r w:rsidR="006623A4" w:rsidRPr="00435CE9">
        <w:rPr>
          <w:rFonts w:eastAsia="Calibri"/>
          <w:sz w:val="22"/>
          <w:szCs w:val="22"/>
          <w:lang w:val="es-SV" w:eastAsia="en-US"/>
        </w:rPr>
        <w:t>letras j) y k) del</w:t>
      </w:r>
      <w:r w:rsidR="006623A4" w:rsidRPr="00435CE9">
        <w:rPr>
          <w:rFonts w:eastAsia="Arial Unicode MS"/>
          <w:sz w:val="22"/>
          <w:szCs w:val="22"/>
          <w:lang w:val="es-MX" w:eastAsia="en-US"/>
        </w:rPr>
        <w:t xml:space="preserve"> Ley de Protección al Consumidor;</w:t>
      </w:r>
      <w:r w:rsidR="006623A4" w:rsidRPr="00435CE9">
        <w:rPr>
          <w:rFonts w:eastAsia="Calibri"/>
          <w:sz w:val="22"/>
          <w:szCs w:val="22"/>
          <w:lang w:val="es-SV" w:eastAsia="en-US"/>
        </w:rPr>
        <w:t xml:space="preserve"> las Normas Técnicas de Diseño, Seguridad y Operación de las Instalaciones de Distribución Eléctrica; </w:t>
      </w:r>
      <w:r w:rsidRPr="00435CE9">
        <w:rPr>
          <w:rFonts w:eastAsia="Calibri"/>
          <w:sz w:val="22"/>
          <w:szCs w:val="22"/>
          <w:lang w:val="es-MX" w:eastAsia="en-US"/>
        </w:rPr>
        <w:t xml:space="preserve">la </w:t>
      </w:r>
      <w:r w:rsidR="006417A1" w:rsidRPr="00435CE9">
        <w:rPr>
          <w:rFonts w:eastAsia="Calibri"/>
          <w:sz w:val="22"/>
          <w:szCs w:val="22"/>
          <w:lang w:val="es-MX" w:eastAsia="en-US"/>
        </w:rPr>
        <w:t>Normativa para la Compensación por Daños Económicos o a Equipos, Artefactos o Instalaciones</w:t>
      </w:r>
      <w:r w:rsidRPr="00435CE9">
        <w:rPr>
          <w:rFonts w:eastAsia="Calibri"/>
          <w:sz w:val="22"/>
          <w:szCs w:val="22"/>
          <w:lang w:val="es-MX" w:eastAsia="en-US"/>
        </w:rPr>
        <w:t>;</w:t>
      </w:r>
      <w:r w:rsidRPr="00435CE9">
        <w:rPr>
          <w:rFonts w:eastAsia="Arial Unicode MS"/>
          <w:sz w:val="22"/>
          <w:szCs w:val="22"/>
          <w:lang w:val="es-MX" w:eastAsia="en-US"/>
        </w:rPr>
        <w:t xml:space="preserve"> y, el informe técnico No.  IT-</w:t>
      </w:r>
      <w:r w:rsidR="002A17FE" w:rsidRPr="00435CE9">
        <w:rPr>
          <w:rFonts w:eastAsia="Arial Unicode MS"/>
          <w:sz w:val="22"/>
          <w:szCs w:val="22"/>
          <w:lang w:val="es-MX" w:eastAsia="en-US"/>
        </w:rPr>
        <w:t>017-32888</w:t>
      </w:r>
      <w:r w:rsidRPr="00435CE9">
        <w:rPr>
          <w:rFonts w:eastAsia="Arial Unicode MS"/>
          <w:sz w:val="22"/>
          <w:szCs w:val="22"/>
          <w:lang w:val="es-MX" w:eastAsia="en-US"/>
        </w:rPr>
        <w:t xml:space="preserve">-CAU rendido por el CAU </w:t>
      </w:r>
      <w:r w:rsidRPr="00435CE9">
        <w:rPr>
          <w:rFonts w:eastAsia="Calibri"/>
          <w:sz w:val="22"/>
          <w:szCs w:val="22"/>
          <w:lang w:val="es-MX" w:eastAsia="en-US"/>
        </w:rPr>
        <w:t>de la SIGET</w:t>
      </w:r>
      <w:r w:rsidRPr="00435CE9">
        <w:rPr>
          <w:rFonts w:eastAsia="Arial Unicode MS"/>
          <w:sz w:val="22"/>
          <w:szCs w:val="22"/>
          <w:lang w:val="es-MX" w:eastAsia="en-US"/>
        </w:rPr>
        <w:t>,</w:t>
      </w:r>
      <w:r w:rsidRPr="00435CE9">
        <w:rPr>
          <w:rFonts w:eastAsia="Calibri"/>
          <w:sz w:val="22"/>
          <w:szCs w:val="22"/>
          <w:lang w:val="es-MX" w:eastAsia="en-US"/>
        </w:rPr>
        <w:t xml:space="preserve"> </w:t>
      </w:r>
      <w:r w:rsidRPr="00435CE9">
        <w:rPr>
          <w:rFonts w:eastAsia="Arial Unicode MS"/>
          <w:sz w:val="22"/>
          <w:szCs w:val="22"/>
          <w:lang w:val="es-MX" w:eastAsia="en-US"/>
        </w:rPr>
        <w:t>esta Superintendencia ACUERDA:</w:t>
      </w:r>
    </w:p>
    <w:p w:rsidR="0098034E" w:rsidRPr="00435CE9" w:rsidRDefault="0098034E" w:rsidP="0098034E">
      <w:pPr>
        <w:spacing w:line="0" w:lineRule="atLeast"/>
        <w:jc w:val="both"/>
        <w:rPr>
          <w:rFonts w:eastAsia="Arial Unicode MS"/>
          <w:sz w:val="22"/>
          <w:szCs w:val="22"/>
          <w:lang w:val="es-MX" w:eastAsia="en-US"/>
        </w:rPr>
      </w:pPr>
    </w:p>
    <w:p w:rsidR="0098034E" w:rsidRPr="00435CE9" w:rsidRDefault="00706FB3" w:rsidP="004F3C0A">
      <w:pPr>
        <w:numPr>
          <w:ilvl w:val="0"/>
          <w:numId w:val="5"/>
        </w:numPr>
        <w:spacing w:after="200" w:line="0" w:lineRule="atLeast"/>
        <w:ind w:left="426" w:hanging="426"/>
        <w:contextualSpacing/>
        <w:jc w:val="both"/>
        <w:rPr>
          <w:sz w:val="22"/>
          <w:szCs w:val="22"/>
          <w:lang w:val="es-SV" w:eastAsia="es-SV"/>
        </w:rPr>
      </w:pPr>
      <w:r>
        <w:rPr>
          <w:sz w:val="22"/>
          <w:szCs w:val="22"/>
          <w:lang w:val="es-SV" w:eastAsia="es-SV"/>
        </w:rPr>
        <w:t xml:space="preserve">Determinar que </w:t>
      </w:r>
      <w:r w:rsidR="0098034E" w:rsidRPr="00435CE9">
        <w:rPr>
          <w:sz w:val="22"/>
          <w:szCs w:val="22"/>
          <w:lang w:val="es-SV" w:eastAsia="es-SV"/>
        </w:rPr>
        <w:t>l</w:t>
      </w:r>
      <w:r>
        <w:rPr>
          <w:sz w:val="22"/>
          <w:szCs w:val="22"/>
          <w:lang w:val="es-SV" w:eastAsia="es-SV"/>
        </w:rPr>
        <w:t>os</w:t>
      </w:r>
      <w:r w:rsidR="0098034E" w:rsidRPr="00435CE9">
        <w:rPr>
          <w:sz w:val="22"/>
          <w:szCs w:val="22"/>
          <w:lang w:val="es-SV" w:eastAsia="es-SV"/>
        </w:rPr>
        <w:t xml:space="preserve"> daño</w:t>
      </w:r>
      <w:r>
        <w:rPr>
          <w:sz w:val="22"/>
          <w:szCs w:val="22"/>
          <w:lang w:val="es-SV" w:eastAsia="es-SV"/>
        </w:rPr>
        <w:t xml:space="preserve">s reclamados por </w:t>
      </w:r>
      <w:r w:rsidR="006F1AAD">
        <w:rPr>
          <w:sz w:val="22"/>
          <w:szCs w:val="22"/>
        </w:rPr>
        <w:t>***</w:t>
      </w:r>
      <w:r w:rsidRPr="00435CE9">
        <w:rPr>
          <w:sz w:val="22"/>
          <w:szCs w:val="22"/>
        </w:rPr>
        <w:t xml:space="preserve">, </w:t>
      </w:r>
      <w:r>
        <w:rPr>
          <w:sz w:val="22"/>
          <w:szCs w:val="22"/>
        </w:rPr>
        <w:t xml:space="preserve">consistentes </w:t>
      </w:r>
      <w:r w:rsidR="00B63B23" w:rsidRPr="00435CE9">
        <w:rPr>
          <w:sz w:val="22"/>
          <w:szCs w:val="22"/>
        </w:rPr>
        <w:t>en: 1) Un equipo de sonido, marca Panasonic, modelo SA-AKX76, número de serie LM3CA001349, y 2) Una computadora, marca Dell Inspiron 20, modelo 3043, número de serie BN5CZ22</w:t>
      </w:r>
      <w:r>
        <w:rPr>
          <w:sz w:val="22"/>
          <w:szCs w:val="22"/>
          <w:lang w:val="es-SV" w:eastAsia="es-SV"/>
        </w:rPr>
        <w:t xml:space="preserve">, no se originaron </w:t>
      </w:r>
      <w:r w:rsidR="0098034E" w:rsidRPr="00435CE9">
        <w:rPr>
          <w:sz w:val="22"/>
          <w:szCs w:val="22"/>
          <w:lang w:val="es-SV" w:eastAsia="es-SV"/>
        </w:rPr>
        <w:t xml:space="preserve">por </w:t>
      </w:r>
      <w:r>
        <w:rPr>
          <w:sz w:val="22"/>
          <w:szCs w:val="22"/>
          <w:lang w:val="es-SV" w:eastAsia="es-SV"/>
        </w:rPr>
        <w:t>una</w:t>
      </w:r>
      <w:r w:rsidR="00B04EFB" w:rsidRPr="00435CE9">
        <w:rPr>
          <w:sz w:val="22"/>
          <w:szCs w:val="22"/>
          <w:lang w:val="es-SV" w:eastAsia="es-SV"/>
        </w:rPr>
        <w:t xml:space="preserve"> calidad deficiente en la prestación del servicio de energía eléctrica </w:t>
      </w:r>
      <w:r w:rsidR="0098034E" w:rsidRPr="00435CE9">
        <w:rPr>
          <w:sz w:val="22"/>
          <w:szCs w:val="22"/>
          <w:lang w:val="es-SV" w:eastAsia="es-SV"/>
        </w:rPr>
        <w:t>suministrado por la sociedad</w:t>
      </w:r>
      <w:r w:rsidR="006F1AAD">
        <w:rPr>
          <w:sz w:val="22"/>
          <w:szCs w:val="22"/>
          <w:lang w:val="es-SV" w:eastAsia="es-SV"/>
        </w:rPr>
        <w:t>***</w:t>
      </w:r>
      <w:r w:rsidR="0098034E" w:rsidRPr="00435CE9">
        <w:rPr>
          <w:sz w:val="22"/>
          <w:szCs w:val="22"/>
          <w:lang w:val="es-SV" w:eastAsia="es-SV"/>
        </w:rPr>
        <w:t xml:space="preserve">. </w:t>
      </w:r>
    </w:p>
    <w:p w:rsidR="00AE418F" w:rsidRPr="00435CE9" w:rsidRDefault="00AE418F" w:rsidP="00AE418F">
      <w:pPr>
        <w:spacing w:after="200" w:line="0" w:lineRule="atLeast"/>
        <w:ind w:left="426"/>
        <w:contextualSpacing/>
        <w:jc w:val="both"/>
        <w:rPr>
          <w:sz w:val="22"/>
          <w:szCs w:val="22"/>
          <w:lang w:val="es-SV" w:eastAsia="es-SV"/>
        </w:rPr>
      </w:pPr>
    </w:p>
    <w:p w:rsidR="0098034E" w:rsidRPr="00435CE9" w:rsidRDefault="0098034E" w:rsidP="0098034E">
      <w:pPr>
        <w:spacing w:line="0" w:lineRule="atLeast"/>
        <w:ind w:left="426"/>
        <w:jc w:val="both"/>
        <w:rPr>
          <w:rFonts w:eastAsia="Calibri"/>
          <w:sz w:val="22"/>
          <w:szCs w:val="22"/>
          <w:lang w:val="es-SV" w:eastAsia="en-US"/>
        </w:rPr>
      </w:pPr>
      <w:r w:rsidRPr="00435CE9">
        <w:rPr>
          <w:rFonts w:eastAsia="Calibri"/>
          <w:sz w:val="22"/>
          <w:szCs w:val="22"/>
          <w:lang w:val="es-SV" w:eastAsia="es-SV"/>
        </w:rPr>
        <w:t>En consecuencia, debe declararse improcedente la compensación económica solicitada por la cantidad de</w:t>
      </w:r>
      <w:r w:rsidRPr="00435CE9">
        <w:rPr>
          <w:rFonts w:eastAsia="Calibri"/>
          <w:b/>
          <w:spacing w:val="-4"/>
          <w:sz w:val="22"/>
          <w:szCs w:val="22"/>
          <w:lang w:val="es-SV" w:eastAsia="en-US"/>
        </w:rPr>
        <w:t xml:space="preserve"> </w:t>
      </w:r>
      <w:r w:rsidR="006F1AAD">
        <w:rPr>
          <w:sz w:val="22"/>
          <w:szCs w:val="22"/>
          <w:lang w:val="es-SV" w:eastAsia="es-SV"/>
        </w:rPr>
        <w:t>***.</w:t>
      </w:r>
    </w:p>
    <w:p w:rsidR="0098034E" w:rsidRPr="00435CE9" w:rsidRDefault="0098034E" w:rsidP="0098034E">
      <w:pPr>
        <w:spacing w:line="0" w:lineRule="atLeast"/>
        <w:ind w:left="426"/>
        <w:jc w:val="both"/>
        <w:rPr>
          <w:rFonts w:eastAsia="Calibri"/>
          <w:sz w:val="22"/>
          <w:szCs w:val="22"/>
          <w:lang w:val="es-SV" w:eastAsia="es-SV"/>
        </w:rPr>
      </w:pPr>
    </w:p>
    <w:p w:rsidR="0098034E" w:rsidRPr="00435CE9" w:rsidRDefault="0098034E" w:rsidP="004F3C0A">
      <w:pPr>
        <w:numPr>
          <w:ilvl w:val="0"/>
          <w:numId w:val="5"/>
        </w:numPr>
        <w:spacing w:after="200" w:line="0" w:lineRule="atLeast"/>
        <w:ind w:left="426" w:hanging="426"/>
        <w:contextualSpacing/>
        <w:jc w:val="both"/>
        <w:rPr>
          <w:sz w:val="22"/>
          <w:szCs w:val="22"/>
          <w:lang w:val="es-SV" w:eastAsia="es-SV"/>
        </w:rPr>
      </w:pPr>
      <w:r w:rsidRPr="00435CE9">
        <w:rPr>
          <w:sz w:val="22"/>
          <w:szCs w:val="22"/>
          <w:lang w:val="es-SV" w:eastAsia="es-SV"/>
        </w:rPr>
        <w:t>Notificar a</w:t>
      </w:r>
      <w:r w:rsidR="006F1AAD">
        <w:rPr>
          <w:sz w:val="22"/>
          <w:szCs w:val="22"/>
          <w:lang w:val="es-SV" w:eastAsia="es-SV"/>
        </w:rPr>
        <w:t xml:space="preserve"> *****</w:t>
      </w:r>
      <w:r w:rsidRPr="00435CE9">
        <w:rPr>
          <w:sz w:val="22"/>
          <w:szCs w:val="22"/>
          <w:lang w:val="es-SV" w:eastAsia="es-SV"/>
        </w:rPr>
        <w:t xml:space="preserve">, adjuntando una copia del informe técnico No. </w:t>
      </w:r>
      <w:r w:rsidRPr="00435CE9">
        <w:rPr>
          <w:rFonts w:eastAsia="Arial Unicode MS"/>
          <w:sz w:val="22"/>
          <w:szCs w:val="22"/>
          <w:lang w:val="es-MX" w:eastAsia="es-SV"/>
        </w:rPr>
        <w:t>IT-</w:t>
      </w:r>
      <w:r w:rsidR="002A17FE" w:rsidRPr="00435CE9">
        <w:rPr>
          <w:rFonts w:eastAsia="Arial Unicode MS"/>
          <w:sz w:val="22"/>
          <w:szCs w:val="22"/>
          <w:lang w:val="es-MX" w:eastAsia="es-SV"/>
        </w:rPr>
        <w:t>017-32888</w:t>
      </w:r>
      <w:r w:rsidRPr="00435CE9">
        <w:rPr>
          <w:rFonts w:eastAsia="Arial Unicode MS"/>
          <w:sz w:val="22"/>
          <w:szCs w:val="22"/>
          <w:lang w:val="es-MX" w:eastAsia="es-SV"/>
        </w:rPr>
        <w:t xml:space="preserve">-CAU </w:t>
      </w:r>
      <w:r w:rsidRPr="00435CE9">
        <w:rPr>
          <w:sz w:val="22"/>
          <w:szCs w:val="22"/>
          <w:lang w:val="es-SV" w:eastAsia="es-SV"/>
        </w:rPr>
        <w:t>rendido por el CAU de la SIGET; y,</w:t>
      </w:r>
    </w:p>
    <w:p w:rsidR="0098034E" w:rsidRPr="00435CE9" w:rsidRDefault="0098034E" w:rsidP="0098034E">
      <w:pPr>
        <w:spacing w:line="0" w:lineRule="atLeast"/>
        <w:ind w:left="426"/>
        <w:contextualSpacing/>
        <w:jc w:val="both"/>
        <w:rPr>
          <w:sz w:val="22"/>
          <w:szCs w:val="22"/>
          <w:lang w:val="es-SV" w:eastAsia="es-SV"/>
        </w:rPr>
      </w:pPr>
    </w:p>
    <w:p w:rsidR="004E3CC9" w:rsidRPr="00435CE9" w:rsidRDefault="0098034E" w:rsidP="004F3C0A">
      <w:pPr>
        <w:numPr>
          <w:ilvl w:val="0"/>
          <w:numId w:val="5"/>
        </w:numPr>
        <w:spacing w:after="200" w:line="0" w:lineRule="atLeast"/>
        <w:ind w:left="426" w:hanging="426"/>
        <w:contextualSpacing/>
        <w:jc w:val="both"/>
        <w:rPr>
          <w:color w:val="000000"/>
          <w:sz w:val="22"/>
          <w:szCs w:val="22"/>
          <w:lang w:val="es-SV"/>
        </w:rPr>
      </w:pPr>
      <w:r w:rsidRPr="00435CE9">
        <w:rPr>
          <w:sz w:val="22"/>
          <w:szCs w:val="22"/>
          <w:lang w:val="es-SV" w:eastAsia="es-SV"/>
        </w:rPr>
        <w:t xml:space="preserve">Remitir una copia de este </w:t>
      </w:r>
      <w:r w:rsidR="009E6B6A" w:rsidRPr="00435CE9">
        <w:rPr>
          <w:sz w:val="22"/>
          <w:szCs w:val="22"/>
          <w:lang w:val="es-SV" w:eastAsia="es-SV"/>
        </w:rPr>
        <w:t>ac</w:t>
      </w:r>
      <w:r w:rsidRPr="00435CE9">
        <w:rPr>
          <w:sz w:val="22"/>
          <w:szCs w:val="22"/>
          <w:lang w:val="es-SV" w:eastAsia="es-SV"/>
        </w:rPr>
        <w:t>uerdo a la Defensoría del Consumidor y al Centro de Atención al Usuario de la SIGET.</w:t>
      </w:r>
    </w:p>
    <w:p w:rsidR="00B04EFB" w:rsidRPr="00435CE9" w:rsidRDefault="00B04EFB" w:rsidP="00B04EFB">
      <w:pPr>
        <w:pStyle w:val="Prrafodelista"/>
        <w:rPr>
          <w:color w:val="000000"/>
          <w:sz w:val="22"/>
          <w:szCs w:val="22"/>
          <w:lang w:val="es-SV"/>
        </w:rPr>
      </w:pPr>
    </w:p>
    <w:p w:rsidR="00B04EFB" w:rsidRDefault="00B04EFB" w:rsidP="00B04EFB">
      <w:pPr>
        <w:spacing w:after="200" w:line="0" w:lineRule="atLeast"/>
        <w:ind w:left="426"/>
        <w:contextualSpacing/>
        <w:jc w:val="both"/>
        <w:rPr>
          <w:color w:val="000000"/>
          <w:sz w:val="22"/>
          <w:szCs w:val="22"/>
          <w:lang w:val="es-SV"/>
        </w:rPr>
      </w:pPr>
    </w:p>
    <w:p w:rsidR="008937C3" w:rsidRDefault="008937C3" w:rsidP="00B04EFB">
      <w:pPr>
        <w:spacing w:after="200" w:line="0" w:lineRule="atLeast"/>
        <w:ind w:left="426"/>
        <w:contextualSpacing/>
        <w:jc w:val="both"/>
        <w:rPr>
          <w:color w:val="000000"/>
          <w:sz w:val="22"/>
          <w:szCs w:val="22"/>
          <w:lang w:val="es-SV"/>
        </w:rPr>
      </w:pPr>
    </w:p>
    <w:p w:rsidR="00706FB3" w:rsidRPr="00435CE9" w:rsidRDefault="00706FB3" w:rsidP="00B04EFB">
      <w:pPr>
        <w:spacing w:after="200" w:line="0" w:lineRule="atLeast"/>
        <w:ind w:left="426"/>
        <w:contextualSpacing/>
        <w:jc w:val="both"/>
        <w:rPr>
          <w:color w:val="000000"/>
          <w:sz w:val="22"/>
          <w:szCs w:val="22"/>
          <w:lang w:val="es-SV"/>
        </w:rPr>
      </w:pPr>
    </w:p>
    <w:p w:rsidR="000F434E" w:rsidRPr="00435CE9" w:rsidRDefault="000F434E" w:rsidP="0098034E">
      <w:pPr>
        <w:spacing w:line="0" w:lineRule="atLeast"/>
        <w:rPr>
          <w:sz w:val="22"/>
          <w:szCs w:val="22"/>
        </w:rPr>
      </w:pPr>
      <w:r w:rsidRPr="00435CE9">
        <w:rPr>
          <w:sz w:val="22"/>
          <w:szCs w:val="22"/>
        </w:rPr>
        <w:tab/>
      </w:r>
      <w:r w:rsidRPr="00435CE9">
        <w:rPr>
          <w:sz w:val="22"/>
          <w:szCs w:val="22"/>
        </w:rPr>
        <w:tab/>
      </w:r>
      <w:r w:rsidRPr="00435CE9">
        <w:rPr>
          <w:sz w:val="22"/>
          <w:szCs w:val="22"/>
        </w:rPr>
        <w:tab/>
      </w:r>
      <w:r w:rsidRPr="00435CE9">
        <w:rPr>
          <w:sz w:val="22"/>
          <w:szCs w:val="22"/>
        </w:rPr>
        <w:tab/>
        <w:t xml:space="preserve"> Ing. Blanca </w:t>
      </w:r>
      <w:r w:rsidR="00706FB3" w:rsidRPr="00435CE9">
        <w:rPr>
          <w:sz w:val="22"/>
          <w:szCs w:val="22"/>
        </w:rPr>
        <w:t>Noemí</w:t>
      </w:r>
      <w:r w:rsidRPr="00435CE9">
        <w:rPr>
          <w:sz w:val="22"/>
          <w:szCs w:val="22"/>
        </w:rPr>
        <w:t xml:space="preserve"> Coto Estrada</w:t>
      </w:r>
      <w:r w:rsidRPr="00435CE9">
        <w:rPr>
          <w:sz w:val="22"/>
          <w:szCs w:val="22"/>
        </w:rPr>
        <w:tab/>
      </w:r>
    </w:p>
    <w:p w:rsidR="002234BE" w:rsidRPr="00435CE9" w:rsidRDefault="000F434E" w:rsidP="0098034E">
      <w:pPr>
        <w:tabs>
          <w:tab w:val="left" w:pos="1560"/>
        </w:tabs>
        <w:spacing w:line="0" w:lineRule="atLeast"/>
        <w:rPr>
          <w:sz w:val="22"/>
          <w:szCs w:val="22"/>
        </w:rPr>
      </w:pPr>
      <w:r w:rsidRPr="00435CE9">
        <w:rPr>
          <w:sz w:val="22"/>
          <w:szCs w:val="22"/>
        </w:rPr>
        <w:t xml:space="preserve">                            Superintendenta General de Electricidad y Telecomunicaciones</w:t>
      </w:r>
    </w:p>
    <w:sectPr w:rsidR="002234BE" w:rsidRPr="00435CE9" w:rsidSect="00652B5D">
      <w:footerReference w:type="default" r:id="rId8"/>
      <w:pgSz w:w="12240" w:h="15840" w:code="1"/>
      <w:pgMar w:top="2155" w:right="1531"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F29" w:rsidRDefault="00EC3F29" w:rsidP="00867029">
      <w:r>
        <w:separator/>
      </w:r>
    </w:p>
  </w:endnote>
  <w:endnote w:type="continuationSeparator" w:id="0">
    <w:p w:rsidR="00EC3F29" w:rsidRDefault="00EC3F29" w:rsidP="008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616631"/>
      <w:docPartObj>
        <w:docPartGallery w:val="Page Numbers (Bottom of Page)"/>
        <w:docPartUnique/>
      </w:docPartObj>
    </w:sdtPr>
    <w:sdtEndPr/>
    <w:sdtContent>
      <w:p w:rsidR="00652B5D" w:rsidRDefault="00652B5D">
        <w:pPr>
          <w:pStyle w:val="Piedepgina"/>
          <w:jc w:val="right"/>
        </w:pPr>
        <w:r>
          <w:fldChar w:fldCharType="begin"/>
        </w:r>
        <w:r>
          <w:instrText>PAGE   \* MERGEFORMAT</w:instrText>
        </w:r>
        <w:r>
          <w:fldChar w:fldCharType="separate"/>
        </w:r>
        <w:r w:rsidR="006F1AAD">
          <w:rPr>
            <w:noProof/>
          </w:rPr>
          <w:t>2</w:t>
        </w:r>
        <w:r>
          <w:fldChar w:fldCharType="end"/>
        </w:r>
      </w:p>
    </w:sdtContent>
  </w:sdt>
  <w:p w:rsidR="001F0EE0" w:rsidRDefault="001F0E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F29" w:rsidRDefault="00EC3F29" w:rsidP="00867029">
      <w:r>
        <w:separator/>
      </w:r>
    </w:p>
  </w:footnote>
  <w:footnote w:type="continuationSeparator" w:id="0">
    <w:p w:rsidR="00EC3F29" w:rsidRDefault="00EC3F29" w:rsidP="00867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5CC"/>
    <w:multiLevelType w:val="hybridMultilevel"/>
    <w:tmpl w:val="0AC21E6E"/>
    <w:lvl w:ilvl="0" w:tplc="B428DC38">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 w15:restartNumberingAfterBreak="0">
    <w:nsid w:val="05F1112E"/>
    <w:multiLevelType w:val="hybridMultilevel"/>
    <w:tmpl w:val="AC4A2E40"/>
    <w:lvl w:ilvl="0" w:tplc="85A2151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B151E3"/>
    <w:multiLevelType w:val="hybridMultilevel"/>
    <w:tmpl w:val="724EB0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1985E0F"/>
    <w:multiLevelType w:val="hybridMultilevel"/>
    <w:tmpl w:val="77A0BF68"/>
    <w:lvl w:ilvl="0" w:tplc="440A000D">
      <w:start w:val="1"/>
      <w:numFmt w:val="bullet"/>
      <w:lvlText w:val=""/>
      <w:lvlJc w:val="left"/>
      <w:pPr>
        <w:ind w:left="1770" w:hanging="360"/>
      </w:pPr>
      <w:rPr>
        <w:rFonts w:ascii="Wingdings" w:hAnsi="Wingdings" w:hint="default"/>
      </w:rPr>
    </w:lvl>
    <w:lvl w:ilvl="1" w:tplc="440A0003" w:tentative="1">
      <w:start w:val="1"/>
      <w:numFmt w:val="bullet"/>
      <w:lvlText w:val="o"/>
      <w:lvlJc w:val="left"/>
      <w:pPr>
        <w:ind w:left="2490" w:hanging="360"/>
      </w:pPr>
      <w:rPr>
        <w:rFonts w:ascii="Courier New" w:hAnsi="Courier New" w:cs="Courier New" w:hint="default"/>
      </w:rPr>
    </w:lvl>
    <w:lvl w:ilvl="2" w:tplc="440A0005" w:tentative="1">
      <w:start w:val="1"/>
      <w:numFmt w:val="bullet"/>
      <w:lvlText w:val=""/>
      <w:lvlJc w:val="left"/>
      <w:pPr>
        <w:ind w:left="3210" w:hanging="360"/>
      </w:pPr>
      <w:rPr>
        <w:rFonts w:ascii="Wingdings" w:hAnsi="Wingdings" w:hint="default"/>
      </w:rPr>
    </w:lvl>
    <w:lvl w:ilvl="3" w:tplc="440A0001" w:tentative="1">
      <w:start w:val="1"/>
      <w:numFmt w:val="bullet"/>
      <w:lvlText w:val=""/>
      <w:lvlJc w:val="left"/>
      <w:pPr>
        <w:ind w:left="3930" w:hanging="360"/>
      </w:pPr>
      <w:rPr>
        <w:rFonts w:ascii="Symbol" w:hAnsi="Symbol" w:hint="default"/>
      </w:rPr>
    </w:lvl>
    <w:lvl w:ilvl="4" w:tplc="440A0003" w:tentative="1">
      <w:start w:val="1"/>
      <w:numFmt w:val="bullet"/>
      <w:lvlText w:val="o"/>
      <w:lvlJc w:val="left"/>
      <w:pPr>
        <w:ind w:left="4650" w:hanging="360"/>
      </w:pPr>
      <w:rPr>
        <w:rFonts w:ascii="Courier New" w:hAnsi="Courier New" w:cs="Courier New" w:hint="default"/>
      </w:rPr>
    </w:lvl>
    <w:lvl w:ilvl="5" w:tplc="440A0005" w:tentative="1">
      <w:start w:val="1"/>
      <w:numFmt w:val="bullet"/>
      <w:lvlText w:val=""/>
      <w:lvlJc w:val="left"/>
      <w:pPr>
        <w:ind w:left="5370" w:hanging="360"/>
      </w:pPr>
      <w:rPr>
        <w:rFonts w:ascii="Wingdings" w:hAnsi="Wingdings" w:hint="default"/>
      </w:rPr>
    </w:lvl>
    <w:lvl w:ilvl="6" w:tplc="440A0001" w:tentative="1">
      <w:start w:val="1"/>
      <w:numFmt w:val="bullet"/>
      <w:lvlText w:val=""/>
      <w:lvlJc w:val="left"/>
      <w:pPr>
        <w:ind w:left="6090" w:hanging="360"/>
      </w:pPr>
      <w:rPr>
        <w:rFonts w:ascii="Symbol" w:hAnsi="Symbol" w:hint="default"/>
      </w:rPr>
    </w:lvl>
    <w:lvl w:ilvl="7" w:tplc="440A0003" w:tentative="1">
      <w:start w:val="1"/>
      <w:numFmt w:val="bullet"/>
      <w:lvlText w:val="o"/>
      <w:lvlJc w:val="left"/>
      <w:pPr>
        <w:ind w:left="6810" w:hanging="360"/>
      </w:pPr>
      <w:rPr>
        <w:rFonts w:ascii="Courier New" w:hAnsi="Courier New" w:cs="Courier New" w:hint="default"/>
      </w:rPr>
    </w:lvl>
    <w:lvl w:ilvl="8" w:tplc="440A0005" w:tentative="1">
      <w:start w:val="1"/>
      <w:numFmt w:val="bullet"/>
      <w:lvlText w:val=""/>
      <w:lvlJc w:val="left"/>
      <w:pPr>
        <w:ind w:left="7530" w:hanging="360"/>
      </w:pPr>
      <w:rPr>
        <w:rFonts w:ascii="Wingdings" w:hAnsi="Wingdings" w:hint="default"/>
      </w:rPr>
    </w:lvl>
  </w:abstractNum>
  <w:abstractNum w:abstractNumId="4" w15:restartNumberingAfterBreak="0">
    <w:nsid w:val="3A40760F"/>
    <w:multiLevelType w:val="hybridMultilevel"/>
    <w:tmpl w:val="7F9E5102"/>
    <w:lvl w:ilvl="0" w:tplc="35067DE6">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489552FC"/>
    <w:multiLevelType w:val="hybridMultilevel"/>
    <w:tmpl w:val="D5A0E414"/>
    <w:lvl w:ilvl="0" w:tplc="7B1A2A5C">
      <w:start w:val="1"/>
      <w:numFmt w:val="lowerLetter"/>
      <w:lvlText w:val="%1)"/>
      <w:lvlJc w:val="left"/>
      <w:pPr>
        <w:ind w:left="3141" w:hanging="360"/>
      </w:pPr>
      <w:rPr>
        <w:rFonts w:ascii="Times New Roman" w:eastAsia="Times New Roman" w:hAnsi="Times New Roman" w:cs="Times New Roman"/>
      </w:rPr>
    </w:lvl>
    <w:lvl w:ilvl="1" w:tplc="440A0019">
      <w:start w:val="1"/>
      <w:numFmt w:val="lowerLetter"/>
      <w:lvlText w:val="%2."/>
      <w:lvlJc w:val="left"/>
      <w:pPr>
        <w:ind w:left="3861" w:hanging="360"/>
      </w:pPr>
    </w:lvl>
    <w:lvl w:ilvl="2" w:tplc="440A001B" w:tentative="1">
      <w:start w:val="1"/>
      <w:numFmt w:val="lowerRoman"/>
      <w:lvlText w:val="%3."/>
      <w:lvlJc w:val="right"/>
      <w:pPr>
        <w:ind w:left="4581" w:hanging="180"/>
      </w:pPr>
    </w:lvl>
    <w:lvl w:ilvl="3" w:tplc="440A000F" w:tentative="1">
      <w:start w:val="1"/>
      <w:numFmt w:val="decimal"/>
      <w:lvlText w:val="%4."/>
      <w:lvlJc w:val="left"/>
      <w:pPr>
        <w:ind w:left="5301" w:hanging="360"/>
      </w:pPr>
    </w:lvl>
    <w:lvl w:ilvl="4" w:tplc="440A0019" w:tentative="1">
      <w:start w:val="1"/>
      <w:numFmt w:val="lowerLetter"/>
      <w:lvlText w:val="%5."/>
      <w:lvlJc w:val="left"/>
      <w:pPr>
        <w:ind w:left="6021" w:hanging="360"/>
      </w:pPr>
    </w:lvl>
    <w:lvl w:ilvl="5" w:tplc="440A001B" w:tentative="1">
      <w:start w:val="1"/>
      <w:numFmt w:val="lowerRoman"/>
      <w:lvlText w:val="%6."/>
      <w:lvlJc w:val="right"/>
      <w:pPr>
        <w:ind w:left="6741" w:hanging="180"/>
      </w:pPr>
    </w:lvl>
    <w:lvl w:ilvl="6" w:tplc="440A000F" w:tentative="1">
      <w:start w:val="1"/>
      <w:numFmt w:val="decimal"/>
      <w:lvlText w:val="%7."/>
      <w:lvlJc w:val="left"/>
      <w:pPr>
        <w:ind w:left="7461" w:hanging="360"/>
      </w:pPr>
    </w:lvl>
    <w:lvl w:ilvl="7" w:tplc="440A0019" w:tentative="1">
      <w:start w:val="1"/>
      <w:numFmt w:val="lowerLetter"/>
      <w:lvlText w:val="%8."/>
      <w:lvlJc w:val="left"/>
      <w:pPr>
        <w:ind w:left="8181" w:hanging="360"/>
      </w:pPr>
    </w:lvl>
    <w:lvl w:ilvl="8" w:tplc="440A001B" w:tentative="1">
      <w:start w:val="1"/>
      <w:numFmt w:val="lowerRoman"/>
      <w:lvlText w:val="%9."/>
      <w:lvlJc w:val="right"/>
      <w:pPr>
        <w:ind w:left="8901" w:hanging="180"/>
      </w:pPr>
    </w:lvl>
  </w:abstractNum>
  <w:abstractNum w:abstractNumId="6" w15:restartNumberingAfterBreak="0">
    <w:nsid w:val="5C5A3A70"/>
    <w:multiLevelType w:val="hybridMultilevel"/>
    <w:tmpl w:val="D38E86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B13443"/>
    <w:multiLevelType w:val="hybridMultilevel"/>
    <w:tmpl w:val="23C22BCE"/>
    <w:lvl w:ilvl="0" w:tplc="440A0001">
      <w:start w:val="1"/>
      <w:numFmt w:val="bullet"/>
      <w:lvlText w:val=""/>
      <w:lvlJc w:val="left"/>
      <w:pPr>
        <w:ind w:left="1569" w:hanging="360"/>
      </w:pPr>
      <w:rPr>
        <w:rFonts w:ascii="Symbol" w:hAnsi="Symbol" w:hint="default"/>
      </w:rPr>
    </w:lvl>
    <w:lvl w:ilvl="1" w:tplc="440A0003" w:tentative="1">
      <w:start w:val="1"/>
      <w:numFmt w:val="bullet"/>
      <w:lvlText w:val="o"/>
      <w:lvlJc w:val="left"/>
      <w:pPr>
        <w:ind w:left="2289" w:hanging="360"/>
      </w:pPr>
      <w:rPr>
        <w:rFonts w:ascii="Courier New" w:hAnsi="Courier New" w:cs="Courier New" w:hint="default"/>
      </w:rPr>
    </w:lvl>
    <w:lvl w:ilvl="2" w:tplc="440A0005" w:tentative="1">
      <w:start w:val="1"/>
      <w:numFmt w:val="bullet"/>
      <w:lvlText w:val=""/>
      <w:lvlJc w:val="left"/>
      <w:pPr>
        <w:ind w:left="3009" w:hanging="360"/>
      </w:pPr>
      <w:rPr>
        <w:rFonts w:ascii="Wingdings" w:hAnsi="Wingdings" w:hint="default"/>
      </w:rPr>
    </w:lvl>
    <w:lvl w:ilvl="3" w:tplc="440A0001" w:tentative="1">
      <w:start w:val="1"/>
      <w:numFmt w:val="bullet"/>
      <w:lvlText w:val=""/>
      <w:lvlJc w:val="left"/>
      <w:pPr>
        <w:ind w:left="3729" w:hanging="360"/>
      </w:pPr>
      <w:rPr>
        <w:rFonts w:ascii="Symbol" w:hAnsi="Symbol" w:hint="default"/>
      </w:rPr>
    </w:lvl>
    <w:lvl w:ilvl="4" w:tplc="440A0003" w:tentative="1">
      <w:start w:val="1"/>
      <w:numFmt w:val="bullet"/>
      <w:lvlText w:val="o"/>
      <w:lvlJc w:val="left"/>
      <w:pPr>
        <w:ind w:left="4449" w:hanging="360"/>
      </w:pPr>
      <w:rPr>
        <w:rFonts w:ascii="Courier New" w:hAnsi="Courier New" w:cs="Courier New" w:hint="default"/>
      </w:rPr>
    </w:lvl>
    <w:lvl w:ilvl="5" w:tplc="440A0005" w:tentative="1">
      <w:start w:val="1"/>
      <w:numFmt w:val="bullet"/>
      <w:lvlText w:val=""/>
      <w:lvlJc w:val="left"/>
      <w:pPr>
        <w:ind w:left="5169" w:hanging="360"/>
      </w:pPr>
      <w:rPr>
        <w:rFonts w:ascii="Wingdings" w:hAnsi="Wingdings" w:hint="default"/>
      </w:rPr>
    </w:lvl>
    <w:lvl w:ilvl="6" w:tplc="440A0001" w:tentative="1">
      <w:start w:val="1"/>
      <w:numFmt w:val="bullet"/>
      <w:lvlText w:val=""/>
      <w:lvlJc w:val="left"/>
      <w:pPr>
        <w:ind w:left="5889" w:hanging="360"/>
      </w:pPr>
      <w:rPr>
        <w:rFonts w:ascii="Symbol" w:hAnsi="Symbol" w:hint="default"/>
      </w:rPr>
    </w:lvl>
    <w:lvl w:ilvl="7" w:tplc="440A0003" w:tentative="1">
      <w:start w:val="1"/>
      <w:numFmt w:val="bullet"/>
      <w:lvlText w:val="o"/>
      <w:lvlJc w:val="left"/>
      <w:pPr>
        <w:ind w:left="6609" w:hanging="360"/>
      </w:pPr>
      <w:rPr>
        <w:rFonts w:ascii="Courier New" w:hAnsi="Courier New" w:cs="Courier New" w:hint="default"/>
      </w:rPr>
    </w:lvl>
    <w:lvl w:ilvl="8" w:tplc="440A0005" w:tentative="1">
      <w:start w:val="1"/>
      <w:numFmt w:val="bullet"/>
      <w:lvlText w:val=""/>
      <w:lvlJc w:val="left"/>
      <w:pPr>
        <w:ind w:left="7329" w:hanging="360"/>
      </w:pPr>
      <w:rPr>
        <w:rFonts w:ascii="Wingdings" w:hAnsi="Wingdings" w:hint="default"/>
      </w:rPr>
    </w:lvl>
  </w:abstractNum>
  <w:abstractNum w:abstractNumId="8" w15:restartNumberingAfterBreak="0">
    <w:nsid w:val="619B3EFA"/>
    <w:multiLevelType w:val="hybridMultilevel"/>
    <w:tmpl w:val="2A08D488"/>
    <w:lvl w:ilvl="0" w:tplc="A7B8ABD8">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9" w15:restartNumberingAfterBreak="0">
    <w:nsid w:val="6DA651A6"/>
    <w:multiLevelType w:val="hybridMultilevel"/>
    <w:tmpl w:val="F22ADADE"/>
    <w:lvl w:ilvl="0" w:tplc="5958FE14">
      <w:numFmt w:val="bullet"/>
      <w:lvlText w:val="-"/>
      <w:lvlJc w:val="left"/>
      <w:pPr>
        <w:ind w:left="851" w:hanging="360"/>
      </w:pPr>
      <w:rPr>
        <w:rFonts w:ascii="Times New Roman" w:eastAsia="Times New Roman" w:hAnsi="Times New Roman" w:cs="Times New Roman" w:hint="default"/>
      </w:rPr>
    </w:lvl>
    <w:lvl w:ilvl="1" w:tplc="440A0003" w:tentative="1">
      <w:start w:val="1"/>
      <w:numFmt w:val="bullet"/>
      <w:lvlText w:val="o"/>
      <w:lvlJc w:val="left"/>
      <w:pPr>
        <w:ind w:left="1571" w:hanging="360"/>
      </w:pPr>
      <w:rPr>
        <w:rFonts w:ascii="Courier New" w:hAnsi="Courier New" w:cs="Courier New" w:hint="default"/>
      </w:rPr>
    </w:lvl>
    <w:lvl w:ilvl="2" w:tplc="440A0005" w:tentative="1">
      <w:start w:val="1"/>
      <w:numFmt w:val="bullet"/>
      <w:lvlText w:val=""/>
      <w:lvlJc w:val="left"/>
      <w:pPr>
        <w:ind w:left="2291" w:hanging="360"/>
      </w:pPr>
      <w:rPr>
        <w:rFonts w:ascii="Wingdings" w:hAnsi="Wingdings" w:hint="default"/>
      </w:rPr>
    </w:lvl>
    <w:lvl w:ilvl="3" w:tplc="440A0001" w:tentative="1">
      <w:start w:val="1"/>
      <w:numFmt w:val="bullet"/>
      <w:lvlText w:val=""/>
      <w:lvlJc w:val="left"/>
      <w:pPr>
        <w:ind w:left="3011" w:hanging="360"/>
      </w:pPr>
      <w:rPr>
        <w:rFonts w:ascii="Symbol" w:hAnsi="Symbol" w:hint="default"/>
      </w:rPr>
    </w:lvl>
    <w:lvl w:ilvl="4" w:tplc="440A0003" w:tentative="1">
      <w:start w:val="1"/>
      <w:numFmt w:val="bullet"/>
      <w:lvlText w:val="o"/>
      <w:lvlJc w:val="left"/>
      <w:pPr>
        <w:ind w:left="3731" w:hanging="360"/>
      </w:pPr>
      <w:rPr>
        <w:rFonts w:ascii="Courier New" w:hAnsi="Courier New" w:cs="Courier New" w:hint="default"/>
      </w:rPr>
    </w:lvl>
    <w:lvl w:ilvl="5" w:tplc="440A0005" w:tentative="1">
      <w:start w:val="1"/>
      <w:numFmt w:val="bullet"/>
      <w:lvlText w:val=""/>
      <w:lvlJc w:val="left"/>
      <w:pPr>
        <w:ind w:left="4451" w:hanging="360"/>
      </w:pPr>
      <w:rPr>
        <w:rFonts w:ascii="Wingdings" w:hAnsi="Wingdings" w:hint="default"/>
      </w:rPr>
    </w:lvl>
    <w:lvl w:ilvl="6" w:tplc="440A0001" w:tentative="1">
      <w:start w:val="1"/>
      <w:numFmt w:val="bullet"/>
      <w:lvlText w:val=""/>
      <w:lvlJc w:val="left"/>
      <w:pPr>
        <w:ind w:left="5171" w:hanging="360"/>
      </w:pPr>
      <w:rPr>
        <w:rFonts w:ascii="Symbol" w:hAnsi="Symbol" w:hint="default"/>
      </w:rPr>
    </w:lvl>
    <w:lvl w:ilvl="7" w:tplc="440A0003" w:tentative="1">
      <w:start w:val="1"/>
      <w:numFmt w:val="bullet"/>
      <w:lvlText w:val="o"/>
      <w:lvlJc w:val="left"/>
      <w:pPr>
        <w:ind w:left="5891" w:hanging="360"/>
      </w:pPr>
      <w:rPr>
        <w:rFonts w:ascii="Courier New" w:hAnsi="Courier New" w:cs="Courier New" w:hint="default"/>
      </w:rPr>
    </w:lvl>
    <w:lvl w:ilvl="8" w:tplc="440A0005" w:tentative="1">
      <w:start w:val="1"/>
      <w:numFmt w:val="bullet"/>
      <w:lvlText w:val=""/>
      <w:lvlJc w:val="left"/>
      <w:pPr>
        <w:ind w:left="6611"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2"/>
  </w:num>
  <w:num w:numId="6">
    <w:abstractNumId w:val="9"/>
  </w:num>
  <w:num w:numId="7">
    <w:abstractNumId w:val="4"/>
  </w:num>
  <w:num w:numId="8">
    <w:abstractNumId w:val="8"/>
  </w:num>
  <w:num w:numId="9">
    <w:abstractNumId w:val="0"/>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1E"/>
    <w:rsid w:val="000027E7"/>
    <w:rsid w:val="00003A92"/>
    <w:rsid w:val="00004994"/>
    <w:rsid w:val="0000578A"/>
    <w:rsid w:val="00020C74"/>
    <w:rsid w:val="000243C4"/>
    <w:rsid w:val="00035B0A"/>
    <w:rsid w:val="00037863"/>
    <w:rsid w:val="000519AD"/>
    <w:rsid w:val="00055609"/>
    <w:rsid w:val="00074A60"/>
    <w:rsid w:val="00077A5E"/>
    <w:rsid w:val="00077CCC"/>
    <w:rsid w:val="00080F7B"/>
    <w:rsid w:val="000943DA"/>
    <w:rsid w:val="000A1D19"/>
    <w:rsid w:val="000A3DAD"/>
    <w:rsid w:val="000A6038"/>
    <w:rsid w:val="000B3057"/>
    <w:rsid w:val="000B60EA"/>
    <w:rsid w:val="000C0146"/>
    <w:rsid w:val="000C07AF"/>
    <w:rsid w:val="000C6A59"/>
    <w:rsid w:val="000D50F3"/>
    <w:rsid w:val="000E1E19"/>
    <w:rsid w:val="000E7CBF"/>
    <w:rsid w:val="000F1317"/>
    <w:rsid w:val="000F3FCB"/>
    <w:rsid w:val="000F434E"/>
    <w:rsid w:val="0010362F"/>
    <w:rsid w:val="00114C9A"/>
    <w:rsid w:val="00121D89"/>
    <w:rsid w:val="00126BD4"/>
    <w:rsid w:val="0013322F"/>
    <w:rsid w:val="0013644C"/>
    <w:rsid w:val="00140DDE"/>
    <w:rsid w:val="00141D8C"/>
    <w:rsid w:val="00145D4B"/>
    <w:rsid w:val="001503B4"/>
    <w:rsid w:val="001514CB"/>
    <w:rsid w:val="00161081"/>
    <w:rsid w:val="00161516"/>
    <w:rsid w:val="00163CC1"/>
    <w:rsid w:val="00165678"/>
    <w:rsid w:val="00175188"/>
    <w:rsid w:val="00176F38"/>
    <w:rsid w:val="00186EDA"/>
    <w:rsid w:val="00187C32"/>
    <w:rsid w:val="00190365"/>
    <w:rsid w:val="00194878"/>
    <w:rsid w:val="00195E81"/>
    <w:rsid w:val="001A101E"/>
    <w:rsid w:val="001B5D40"/>
    <w:rsid w:val="001B7389"/>
    <w:rsid w:val="001C0341"/>
    <w:rsid w:val="001D36CA"/>
    <w:rsid w:val="001D38F2"/>
    <w:rsid w:val="001E17E5"/>
    <w:rsid w:val="001E354F"/>
    <w:rsid w:val="001E44C8"/>
    <w:rsid w:val="001F0EE0"/>
    <w:rsid w:val="001F2A70"/>
    <w:rsid w:val="00200552"/>
    <w:rsid w:val="002014E5"/>
    <w:rsid w:val="00206F16"/>
    <w:rsid w:val="00212E40"/>
    <w:rsid w:val="002234BE"/>
    <w:rsid w:val="00235D6D"/>
    <w:rsid w:val="00236A85"/>
    <w:rsid w:val="00242032"/>
    <w:rsid w:val="00242751"/>
    <w:rsid w:val="00257095"/>
    <w:rsid w:val="002579F6"/>
    <w:rsid w:val="00260107"/>
    <w:rsid w:val="002641DA"/>
    <w:rsid w:val="00271458"/>
    <w:rsid w:val="002837D8"/>
    <w:rsid w:val="00287D4D"/>
    <w:rsid w:val="00290552"/>
    <w:rsid w:val="00293650"/>
    <w:rsid w:val="002A12EC"/>
    <w:rsid w:val="002A17FE"/>
    <w:rsid w:val="002A63EC"/>
    <w:rsid w:val="002B037F"/>
    <w:rsid w:val="002B0E8D"/>
    <w:rsid w:val="002B62E3"/>
    <w:rsid w:val="002D012C"/>
    <w:rsid w:val="002D1864"/>
    <w:rsid w:val="002D1E79"/>
    <w:rsid w:val="002D26E5"/>
    <w:rsid w:val="002E3AA7"/>
    <w:rsid w:val="002E7F34"/>
    <w:rsid w:val="002F0D6A"/>
    <w:rsid w:val="002F1297"/>
    <w:rsid w:val="002F4EAC"/>
    <w:rsid w:val="002F5007"/>
    <w:rsid w:val="002F572E"/>
    <w:rsid w:val="00306A14"/>
    <w:rsid w:val="00314197"/>
    <w:rsid w:val="003225F9"/>
    <w:rsid w:val="00334AF3"/>
    <w:rsid w:val="00340630"/>
    <w:rsid w:val="00340C46"/>
    <w:rsid w:val="00343339"/>
    <w:rsid w:val="00353E1A"/>
    <w:rsid w:val="00366B9F"/>
    <w:rsid w:val="00374849"/>
    <w:rsid w:val="0037790A"/>
    <w:rsid w:val="00380136"/>
    <w:rsid w:val="00387DE8"/>
    <w:rsid w:val="00392ABC"/>
    <w:rsid w:val="003A080C"/>
    <w:rsid w:val="003A1923"/>
    <w:rsid w:val="003A2E20"/>
    <w:rsid w:val="003A4F80"/>
    <w:rsid w:val="003A62D3"/>
    <w:rsid w:val="003B67BB"/>
    <w:rsid w:val="003B6D87"/>
    <w:rsid w:val="003C10F3"/>
    <w:rsid w:val="003C3ADA"/>
    <w:rsid w:val="003E33CF"/>
    <w:rsid w:val="003E482B"/>
    <w:rsid w:val="003E4BB2"/>
    <w:rsid w:val="003F3EAE"/>
    <w:rsid w:val="003F413D"/>
    <w:rsid w:val="003F6D1D"/>
    <w:rsid w:val="003F7811"/>
    <w:rsid w:val="00402AFA"/>
    <w:rsid w:val="00403C63"/>
    <w:rsid w:val="00405DAF"/>
    <w:rsid w:val="0041253D"/>
    <w:rsid w:val="00413CB0"/>
    <w:rsid w:val="00413E24"/>
    <w:rsid w:val="00416848"/>
    <w:rsid w:val="00434911"/>
    <w:rsid w:val="00435CE9"/>
    <w:rsid w:val="0044571B"/>
    <w:rsid w:val="0045078D"/>
    <w:rsid w:val="00453D23"/>
    <w:rsid w:val="00471533"/>
    <w:rsid w:val="00475CA2"/>
    <w:rsid w:val="0047630C"/>
    <w:rsid w:val="00480A13"/>
    <w:rsid w:val="00483ABC"/>
    <w:rsid w:val="00485705"/>
    <w:rsid w:val="00486195"/>
    <w:rsid w:val="00487F16"/>
    <w:rsid w:val="00495C47"/>
    <w:rsid w:val="00495F7E"/>
    <w:rsid w:val="004A14CF"/>
    <w:rsid w:val="004B6D14"/>
    <w:rsid w:val="004E2275"/>
    <w:rsid w:val="004E3CC9"/>
    <w:rsid w:val="004E7D84"/>
    <w:rsid w:val="004F3C0A"/>
    <w:rsid w:val="00501D72"/>
    <w:rsid w:val="00507693"/>
    <w:rsid w:val="00511BBC"/>
    <w:rsid w:val="00526A15"/>
    <w:rsid w:val="005308DC"/>
    <w:rsid w:val="00535A68"/>
    <w:rsid w:val="00535E1D"/>
    <w:rsid w:val="0053615E"/>
    <w:rsid w:val="0054098B"/>
    <w:rsid w:val="00542848"/>
    <w:rsid w:val="00544619"/>
    <w:rsid w:val="00550CAF"/>
    <w:rsid w:val="00562F99"/>
    <w:rsid w:val="00565ECE"/>
    <w:rsid w:val="00575F55"/>
    <w:rsid w:val="00584C02"/>
    <w:rsid w:val="005864B1"/>
    <w:rsid w:val="00590B5C"/>
    <w:rsid w:val="00592BBE"/>
    <w:rsid w:val="005966BE"/>
    <w:rsid w:val="005A2206"/>
    <w:rsid w:val="005C0A07"/>
    <w:rsid w:val="005C6EA7"/>
    <w:rsid w:val="005C7047"/>
    <w:rsid w:val="005C7134"/>
    <w:rsid w:val="005D301D"/>
    <w:rsid w:val="005D7C11"/>
    <w:rsid w:val="005E28EE"/>
    <w:rsid w:val="005E6A27"/>
    <w:rsid w:val="00600E45"/>
    <w:rsid w:val="00603A21"/>
    <w:rsid w:val="006065B5"/>
    <w:rsid w:val="00611CAA"/>
    <w:rsid w:val="006128CB"/>
    <w:rsid w:val="006247C1"/>
    <w:rsid w:val="006273BE"/>
    <w:rsid w:val="006309AC"/>
    <w:rsid w:val="006417A1"/>
    <w:rsid w:val="00645F94"/>
    <w:rsid w:val="0065293C"/>
    <w:rsid w:val="00652B5D"/>
    <w:rsid w:val="00656EA7"/>
    <w:rsid w:val="006623A4"/>
    <w:rsid w:val="006627FD"/>
    <w:rsid w:val="006634A2"/>
    <w:rsid w:val="00664216"/>
    <w:rsid w:val="00665212"/>
    <w:rsid w:val="00667F30"/>
    <w:rsid w:val="0067751E"/>
    <w:rsid w:val="00685E51"/>
    <w:rsid w:val="00687B20"/>
    <w:rsid w:val="0069165D"/>
    <w:rsid w:val="00691905"/>
    <w:rsid w:val="006927E7"/>
    <w:rsid w:val="006A0808"/>
    <w:rsid w:val="006A199A"/>
    <w:rsid w:val="006B152B"/>
    <w:rsid w:val="006C15D5"/>
    <w:rsid w:val="006C3F61"/>
    <w:rsid w:val="006C62E8"/>
    <w:rsid w:val="006C64E9"/>
    <w:rsid w:val="006D0695"/>
    <w:rsid w:val="006D2E3C"/>
    <w:rsid w:val="006F1AAD"/>
    <w:rsid w:val="006F2246"/>
    <w:rsid w:val="006F4E3B"/>
    <w:rsid w:val="006F5057"/>
    <w:rsid w:val="00703736"/>
    <w:rsid w:val="00706FB3"/>
    <w:rsid w:val="00722EB7"/>
    <w:rsid w:val="007241E0"/>
    <w:rsid w:val="007260B6"/>
    <w:rsid w:val="00731056"/>
    <w:rsid w:val="00731796"/>
    <w:rsid w:val="00731B83"/>
    <w:rsid w:val="007326D5"/>
    <w:rsid w:val="00735D36"/>
    <w:rsid w:val="00746EB5"/>
    <w:rsid w:val="00772E2B"/>
    <w:rsid w:val="007747D0"/>
    <w:rsid w:val="00776602"/>
    <w:rsid w:val="00782039"/>
    <w:rsid w:val="007953F1"/>
    <w:rsid w:val="007A1B10"/>
    <w:rsid w:val="007A27BA"/>
    <w:rsid w:val="007B6C64"/>
    <w:rsid w:val="007C1C59"/>
    <w:rsid w:val="007C1D71"/>
    <w:rsid w:val="007C54AC"/>
    <w:rsid w:val="007D078C"/>
    <w:rsid w:val="007D18ED"/>
    <w:rsid w:val="007E1F11"/>
    <w:rsid w:val="007E3BAD"/>
    <w:rsid w:val="007E665A"/>
    <w:rsid w:val="007F13A5"/>
    <w:rsid w:val="007F369D"/>
    <w:rsid w:val="007F464E"/>
    <w:rsid w:val="007F497A"/>
    <w:rsid w:val="00800345"/>
    <w:rsid w:val="00801190"/>
    <w:rsid w:val="008012F7"/>
    <w:rsid w:val="008018E5"/>
    <w:rsid w:val="008131C0"/>
    <w:rsid w:val="00813B1B"/>
    <w:rsid w:val="00813E18"/>
    <w:rsid w:val="00822531"/>
    <w:rsid w:val="008304B8"/>
    <w:rsid w:val="00833CFA"/>
    <w:rsid w:val="00837146"/>
    <w:rsid w:val="00837D42"/>
    <w:rsid w:val="00840AD6"/>
    <w:rsid w:val="008431BC"/>
    <w:rsid w:val="008468BF"/>
    <w:rsid w:val="008558C5"/>
    <w:rsid w:val="00867029"/>
    <w:rsid w:val="00880E19"/>
    <w:rsid w:val="008829D9"/>
    <w:rsid w:val="00885655"/>
    <w:rsid w:val="008937C3"/>
    <w:rsid w:val="008A0C88"/>
    <w:rsid w:val="008C432E"/>
    <w:rsid w:val="008C469F"/>
    <w:rsid w:val="008D0F66"/>
    <w:rsid w:val="009016EC"/>
    <w:rsid w:val="009018FB"/>
    <w:rsid w:val="00912EB2"/>
    <w:rsid w:val="00920B65"/>
    <w:rsid w:val="0092229B"/>
    <w:rsid w:val="00930D2B"/>
    <w:rsid w:val="009341A3"/>
    <w:rsid w:val="0094791A"/>
    <w:rsid w:val="009618DB"/>
    <w:rsid w:val="00964247"/>
    <w:rsid w:val="00971B77"/>
    <w:rsid w:val="0098034E"/>
    <w:rsid w:val="00981A47"/>
    <w:rsid w:val="00986F41"/>
    <w:rsid w:val="00990BF3"/>
    <w:rsid w:val="009A3899"/>
    <w:rsid w:val="009B4F23"/>
    <w:rsid w:val="009C1897"/>
    <w:rsid w:val="009C3E3E"/>
    <w:rsid w:val="009C683F"/>
    <w:rsid w:val="009D3307"/>
    <w:rsid w:val="009E29B7"/>
    <w:rsid w:val="009E6B6A"/>
    <w:rsid w:val="009F3AC6"/>
    <w:rsid w:val="00A07C05"/>
    <w:rsid w:val="00A120E9"/>
    <w:rsid w:val="00A1394F"/>
    <w:rsid w:val="00A25A9F"/>
    <w:rsid w:val="00A40538"/>
    <w:rsid w:val="00A42A59"/>
    <w:rsid w:val="00A42F53"/>
    <w:rsid w:val="00A43DE6"/>
    <w:rsid w:val="00A47973"/>
    <w:rsid w:val="00A52E33"/>
    <w:rsid w:val="00A52F0E"/>
    <w:rsid w:val="00A5630B"/>
    <w:rsid w:val="00A67305"/>
    <w:rsid w:val="00A729A0"/>
    <w:rsid w:val="00A734C6"/>
    <w:rsid w:val="00A7387E"/>
    <w:rsid w:val="00A73BD4"/>
    <w:rsid w:val="00A83ECF"/>
    <w:rsid w:val="00A91790"/>
    <w:rsid w:val="00A95019"/>
    <w:rsid w:val="00A95B92"/>
    <w:rsid w:val="00AA0B70"/>
    <w:rsid w:val="00AA2031"/>
    <w:rsid w:val="00AA2852"/>
    <w:rsid w:val="00AB0791"/>
    <w:rsid w:val="00AD5FC1"/>
    <w:rsid w:val="00AD7AC2"/>
    <w:rsid w:val="00AE0C69"/>
    <w:rsid w:val="00AE418F"/>
    <w:rsid w:val="00AE79F5"/>
    <w:rsid w:val="00B04EFB"/>
    <w:rsid w:val="00B125E0"/>
    <w:rsid w:val="00B16578"/>
    <w:rsid w:val="00B16D45"/>
    <w:rsid w:val="00B2256D"/>
    <w:rsid w:val="00B304B8"/>
    <w:rsid w:val="00B3588C"/>
    <w:rsid w:val="00B358D8"/>
    <w:rsid w:val="00B404E9"/>
    <w:rsid w:val="00B4416F"/>
    <w:rsid w:val="00B44FAC"/>
    <w:rsid w:val="00B45102"/>
    <w:rsid w:val="00B45219"/>
    <w:rsid w:val="00B463A9"/>
    <w:rsid w:val="00B53283"/>
    <w:rsid w:val="00B55EEF"/>
    <w:rsid w:val="00B610B6"/>
    <w:rsid w:val="00B63B23"/>
    <w:rsid w:val="00B72D88"/>
    <w:rsid w:val="00B741D6"/>
    <w:rsid w:val="00B74C46"/>
    <w:rsid w:val="00B80EFD"/>
    <w:rsid w:val="00B81D64"/>
    <w:rsid w:val="00B82F06"/>
    <w:rsid w:val="00B91D26"/>
    <w:rsid w:val="00B93ED3"/>
    <w:rsid w:val="00B95E3F"/>
    <w:rsid w:val="00BA6FCE"/>
    <w:rsid w:val="00BB3106"/>
    <w:rsid w:val="00BB7760"/>
    <w:rsid w:val="00BD03AD"/>
    <w:rsid w:val="00BF42B4"/>
    <w:rsid w:val="00C0263E"/>
    <w:rsid w:val="00C15631"/>
    <w:rsid w:val="00C1663D"/>
    <w:rsid w:val="00C1739A"/>
    <w:rsid w:val="00C2020F"/>
    <w:rsid w:val="00C37376"/>
    <w:rsid w:val="00C41D53"/>
    <w:rsid w:val="00C50A50"/>
    <w:rsid w:val="00C524A5"/>
    <w:rsid w:val="00C604DF"/>
    <w:rsid w:val="00C73B42"/>
    <w:rsid w:val="00C92C9B"/>
    <w:rsid w:val="00C9767A"/>
    <w:rsid w:val="00CA1854"/>
    <w:rsid w:val="00CA2701"/>
    <w:rsid w:val="00CA45F8"/>
    <w:rsid w:val="00CA79EB"/>
    <w:rsid w:val="00CB4E64"/>
    <w:rsid w:val="00CC057C"/>
    <w:rsid w:val="00CC2C17"/>
    <w:rsid w:val="00CC7985"/>
    <w:rsid w:val="00CD21A7"/>
    <w:rsid w:val="00CE1E51"/>
    <w:rsid w:val="00CE2586"/>
    <w:rsid w:val="00CE59EE"/>
    <w:rsid w:val="00CF50E3"/>
    <w:rsid w:val="00D0495C"/>
    <w:rsid w:val="00D06670"/>
    <w:rsid w:val="00D0688F"/>
    <w:rsid w:val="00D13C19"/>
    <w:rsid w:val="00D1707E"/>
    <w:rsid w:val="00D21056"/>
    <w:rsid w:val="00D244D3"/>
    <w:rsid w:val="00D26EF1"/>
    <w:rsid w:val="00D322E3"/>
    <w:rsid w:val="00D32D8D"/>
    <w:rsid w:val="00D406AF"/>
    <w:rsid w:val="00D41B2B"/>
    <w:rsid w:val="00D41FB4"/>
    <w:rsid w:val="00D42210"/>
    <w:rsid w:val="00D4355A"/>
    <w:rsid w:val="00D4612D"/>
    <w:rsid w:val="00D52E7C"/>
    <w:rsid w:val="00D55D78"/>
    <w:rsid w:val="00D60F95"/>
    <w:rsid w:val="00D67053"/>
    <w:rsid w:val="00D7704E"/>
    <w:rsid w:val="00D806CC"/>
    <w:rsid w:val="00D813DA"/>
    <w:rsid w:val="00D94343"/>
    <w:rsid w:val="00D95A07"/>
    <w:rsid w:val="00DA12AF"/>
    <w:rsid w:val="00DA2748"/>
    <w:rsid w:val="00DA4294"/>
    <w:rsid w:val="00DC01EE"/>
    <w:rsid w:val="00DC7F77"/>
    <w:rsid w:val="00DD0646"/>
    <w:rsid w:val="00DD4995"/>
    <w:rsid w:val="00DD7B69"/>
    <w:rsid w:val="00DE1042"/>
    <w:rsid w:val="00DE36F1"/>
    <w:rsid w:val="00DE56D5"/>
    <w:rsid w:val="00DE5861"/>
    <w:rsid w:val="00E03B27"/>
    <w:rsid w:val="00E10683"/>
    <w:rsid w:val="00E11AD0"/>
    <w:rsid w:val="00E20684"/>
    <w:rsid w:val="00E27C95"/>
    <w:rsid w:val="00E30D8D"/>
    <w:rsid w:val="00E40436"/>
    <w:rsid w:val="00E41196"/>
    <w:rsid w:val="00E43353"/>
    <w:rsid w:val="00E537DD"/>
    <w:rsid w:val="00E541D4"/>
    <w:rsid w:val="00E62469"/>
    <w:rsid w:val="00E65113"/>
    <w:rsid w:val="00E72488"/>
    <w:rsid w:val="00E72A8C"/>
    <w:rsid w:val="00E74B4F"/>
    <w:rsid w:val="00E80427"/>
    <w:rsid w:val="00E832B3"/>
    <w:rsid w:val="00E83849"/>
    <w:rsid w:val="00E842F1"/>
    <w:rsid w:val="00E9133F"/>
    <w:rsid w:val="00E915C7"/>
    <w:rsid w:val="00EA3A44"/>
    <w:rsid w:val="00EB3564"/>
    <w:rsid w:val="00EB52F5"/>
    <w:rsid w:val="00EC3F29"/>
    <w:rsid w:val="00EC4D05"/>
    <w:rsid w:val="00EC7E20"/>
    <w:rsid w:val="00ED0501"/>
    <w:rsid w:val="00ED08F0"/>
    <w:rsid w:val="00ED58B0"/>
    <w:rsid w:val="00ED6EFD"/>
    <w:rsid w:val="00EF44B8"/>
    <w:rsid w:val="00F070A5"/>
    <w:rsid w:val="00F074CD"/>
    <w:rsid w:val="00F13FB7"/>
    <w:rsid w:val="00F14A76"/>
    <w:rsid w:val="00F17500"/>
    <w:rsid w:val="00F17DAE"/>
    <w:rsid w:val="00F24590"/>
    <w:rsid w:val="00F304C1"/>
    <w:rsid w:val="00F4160A"/>
    <w:rsid w:val="00F43925"/>
    <w:rsid w:val="00F45B6C"/>
    <w:rsid w:val="00F45BE2"/>
    <w:rsid w:val="00F53A2D"/>
    <w:rsid w:val="00F655A2"/>
    <w:rsid w:val="00F71A5B"/>
    <w:rsid w:val="00F80429"/>
    <w:rsid w:val="00F81F06"/>
    <w:rsid w:val="00F833F7"/>
    <w:rsid w:val="00F84943"/>
    <w:rsid w:val="00F86B87"/>
    <w:rsid w:val="00F9123D"/>
    <w:rsid w:val="00FA1C33"/>
    <w:rsid w:val="00FA411D"/>
    <w:rsid w:val="00FB4585"/>
    <w:rsid w:val="00FD4E10"/>
    <w:rsid w:val="00FD6B1A"/>
    <w:rsid w:val="00FD7191"/>
    <w:rsid w:val="00FE32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21DA"/>
  <w15:docId w15:val="{C605FF61-C566-4D92-90C6-D8EA8E5A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01E"/>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Textoindependiente"/>
    <w:link w:val="Ttulo5Car"/>
    <w:uiPriority w:val="99"/>
    <w:qFormat/>
    <w:rsid w:val="00685E51"/>
    <w:pPr>
      <w:keepNext/>
      <w:keepLines/>
      <w:spacing w:line="180" w:lineRule="atLeast"/>
      <w:ind w:left="1915"/>
      <w:outlineLvl w:val="4"/>
    </w:pPr>
    <w:rPr>
      <w:rFonts w:ascii="Arial Black" w:eastAsia="SimSun" w:hAnsi="Arial Black"/>
      <w:spacing w:val="-2"/>
      <w:kern w:val="28"/>
      <w:sz w:val="18"/>
      <w:szCs w:val="20"/>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A101E"/>
    <w:pPr>
      <w:spacing w:line="360" w:lineRule="auto"/>
      <w:jc w:val="both"/>
    </w:pPr>
    <w:rPr>
      <w:szCs w:val="20"/>
      <w:lang w:val="es-MX"/>
    </w:rPr>
  </w:style>
  <w:style w:type="character" w:customStyle="1" w:styleId="TextoindependienteCar">
    <w:name w:val="Texto independiente Car"/>
    <w:basedOn w:val="Fuentedeprrafopredeter"/>
    <w:link w:val="Textoindependiente"/>
    <w:rsid w:val="001A101E"/>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rsid w:val="001A101E"/>
    <w:pPr>
      <w:spacing w:after="120"/>
      <w:ind w:left="283"/>
    </w:pPr>
  </w:style>
  <w:style w:type="character" w:customStyle="1" w:styleId="SangradetextonormalCar">
    <w:name w:val="Sangría de texto normal Car"/>
    <w:basedOn w:val="Fuentedeprrafopredeter"/>
    <w:link w:val="Sangradetextonormal"/>
    <w:rsid w:val="001A101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A101E"/>
    <w:pPr>
      <w:ind w:left="708"/>
    </w:pPr>
  </w:style>
  <w:style w:type="paragraph" w:styleId="Piedepgina">
    <w:name w:val="footer"/>
    <w:basedOn w:val="Normal"/>
    <w:link w:val="PiedepginaCar"/>
    <w:uiPriority w:val="99"/>
    <w:rsid w:val="001A101E"/>
    <w:pPr>
      <w:tabs>
        <w:tab w:val="center" w:pos="4419"/>
        <w:tab w:val="right" w:pos="8838"/>
      </w:tabs>
    </w:pPr>
  </w:style>
  <w:style w:type="character" w:customStyle="1" w:styleId="PiedepginaCar">
    <w:name w:val="Pie de página Car"/>
    <w:basedOn w:val="Fuentedeprrafopredeter"/>
    <w:link w:val="Piedepgina"/>
    <w:uiPriority w:val="99"/>
    <w:rsid w:val="001A101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67029"/>
    <w:pPr>
      <w:tabs>
        <w:tab w:val="center" w:pos="4419"/>
        <w:tab w:val="right" w:pos="8838"/>
      </w:tabs>
    </w:pPr>
  </w:style>
  <w:style w:type="character" w:customStyle="1" w:styleId="EncabezadoCar">
    <w:name w:val="Encabezado Car"/>
    <w:basedOn w:val="Fuentedeprrafopredeter"/>
    <w:link w:val="Encabezado"/>
    <w:uiPriority w:val="99"/>
    <w:rsid w:val="00867029"/>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535E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35E1D"/>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822531"/>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531"/>
    <w:rPr>
      <w:rFonts w:ascii="Tahoma" w:eastAsia="Times New Roman" w:hAnsi="Tahoma" w:cs="Tahoma"/>
      <w:sz w:val="16"/>
      <w:szCs w:val="16"/>
      <w:lang w:val="es-ES" w:eastAsia="es-ES"/>
    </w:rPr>
  </w:style>
  <w:style w:type="table" w:styleId="Tablaconcuadrcula">
    <w:name w:val="Table Grid"/>
    <w:basedOn w:val="Tablanormal"/>
    <w:uiPriority w:val="59"/>
    <w:rsid w:val="001E1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BB31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B3106"/>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9"/>
    <w:rsid w:val="00685E51"/>
    <w:rPr>
      <w:rFonts w:ascii="Arial Black" w:eastAsia="SimSun" w:hAnsi="Arial Black" w:cs="Times New Roman"/>
      <w:spacing w:val="-2"/>
      <w:kern w:val="28"/>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5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12D3-1BCC-4CDA-ABA5-15BCE2A0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2987</Words>
  <Characters>16431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SIGET</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tbarrera</dc:creator>
  <cp:lastModifiedBy>Carolina Fuentes</cp:lastModifiedBy>
  <cp:revision>2</cp:revision>
  <cp:lastPrinted>2019-05-13T22:44:00Z</cp:lastPrinted>
  <dcterms:created xsi:type="dcterms:W3CDTF">2019-09-06T16:44:00Z</dcterms:created>
  <dcterms:modified xsi:type="dcterms:W3CDTF">2019-09-06T16:44:00Z</dcterms:modified>
</cp:coreProperties>
</file>