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C9" w:rsidRPr="00AD4C3A" w:rsidRDefault="00442F61" w:rsidP="008C3FB7">
      <w:pPr>
        <w:contextualSpacing/>
        <w:jc w:val="both"/>
        <w:rPr>
          <w:b/>
          <w:sz w:val="22"/>
          <w:szCs w:val="22"/>
        </w:rPr>
      </w:pPr>
      <w:r w:rsidRPr="00AD4C3A">
        <w:rPr>
          <w:b/>
          <w:sz w:val="22"/>
          <w:szCs w:val="22"/>
        </w:rPr>
        <w:t>ACUERDO No. E</w:t>
      </w:r>
      <w:r w:rsidR="00022364">
        <w:rPr>
          <w:b/>
          <w:sz w:val="22"/>
          <w:szCs w:val="22"/>
        </w:rPr>
        <w:t>-119</w:t>
      </w:r>
      <w:r w:rsidR="00887FD6" w:rsidRPr="00AD4C3A">
        <w:rPr>
          <w:b/>
          <w:sz w:val="22"/>
          <w:szCs w:val="22"/>
        </w:rPr>
        <w:t>-</w:t>
      </w:r>
      <w:r w:rsidR="005F68CA" w:rsidRPr="00AD4C3A">
        <w:rPr>
          <w:b/>
          <w:sz w:val="22"/>
          <w:szCs w:val="22"/>
        </w:rPr>
        <w:t>2019</w:t>
      </w:r>
      <w:r w:rsidR="00AB7FC9" w:rsidRPr="00AD4C3A">
        <w:rPr>
          <w:b/>
          <w:sz w:val="22"/>
          <w:szCs w:val="22"/>
        </w:rPr>
        <w:t>-</w:t>
      </w:r>
      <w:r w:rsidR="003A539E" w:rsidRPr="00AD4C3A">
        <w:rPr>
          <w:b/>
          <w:sz w:val="22"/>
          <w:szCs w:val="22"/>
        </w:rPr>
        <w:t>CAU</w:t>
      </w:r>
    </w:p>
    <w:p w:rsidR="00AB7FC9" w:rsidRPr="00AD4C3A" w:rsidRDefault="00AB7FC9" w:rsidP="008C3FB7">
      <w:pPr>
        <w:contextualSpacing/>
        <w:jc w:val="both"/>
        <w:rPr>
          <w:sz w:val="22"/>
          <w:szCs w:val="22"/>
        </w:rPr>
      </w:pPr>
    </w:p>
    <w:p w:rsidR="00AB7FC9" w:rsidRPr="00AD4C3A" w:rsidRDefault="00AB7FC9" w:rsidP="008C3FB7">
      <w:pPr>
        <w:contextualSpacing/>
        <w:jc w:val="both"/>
        <w:rPr>
          <w:sz w:val="22"/>
          <w:szCs w:val="22"/>
        </w:rPr>
      </w:pPr>
      <w:r w:rsidRPr="00AD4C3A">
        <w:rPr>
          <w:sz w:val="22"/>
          <w:szCs w:val="22"/>
        </w:rPr>
        <w:t>SUPERINTENDENCIA GENERAL DE</w:t>
      </w:r>
      <w:r w:rsidR="00442F61" w:rsidRPr="00AD4C3A">
        <w:rPr>
          <w:sz w:val="22"/>
          <w:szCs w:val="22"/>
        </w:rPr>
        <w:t xml:space="preserve">  </w:t>
      </w:r>
      <w:r w:rsidRPr="00AD4C3A">
        <w:rPr>
          <w:sz w:val="22"/>
          <w:szCs w:val="22"/>
        </w:rPr>
        <w:t xml:space="preserve"> ELECTRICIDAD </w:t>
      </w:r>
      <w:r w:rsidR="00EC4861" w:rsidRPr="00AD4C3A">
        <w:rPr>
          <w:sz w:val="22"/>
          <w:szCs w:val="22"/>
        </w:rPr>
        <w:t xml:space="preserve">Y </w:t>
      </w:r>
      <w:r w:rsidR="009F4DB9" w:rsidRPr="00AD4C3A">
        <w:rPr>
          <w:sz w:val="22"/>
          <w:szCs w:val="22"/>
        </w:rPr>
        <w:t xml:space="preserve">  </w:t>
      </w:r>
      <w:r w:rsidR="00EC4861" w:rsidRPr="00AD4C3A">
        <w:rPr>
          <w:sz w:val="22"/>
          <w:szCs w:val="22"/>
        </w:rPr>
        <w:t>TELECOMUNICACIONES</w:t>
      </w:r>
      <w:r w:rsidR="00442F61" w:rsidRPr="00AD4C3A">
        <w:rPr>
          <w:sz w:val="22"/>
          <w:szCs w:val="22"/>
        </w:rPr>
        <w:t>. San Salvador, a las</w:t>
      </w:r>
      <w:r w:rsidR="00022364">
        <w:rPr>
          <w:sz w:val="22"/>
          <w:szCs w:val="22"/>
        </w:rPr>
        <w:t xml:space="preserve"> d</w:t>
      </w:r>
      <w:r w:rsidR="00465AB6">
        <w:rPr>
          <w:sz w:val="22"/>
          <w:szCs w:val="22"/>
        </w:rPr>
        <w:t>iez</w:t>
      </w:r>
      <w:r w:rsidR="00022364">
        <w:rPr>
          <w:sz w:val="22"/>
          <w:szCs w:val="22"/>
        </w:rPr>
        <w:t xml:space="preserve"> </w:t>
      </w:r>
      <w:r w:rsidR="009F4DB9" w:rsidRPr="00AD4C3A">
        <w:rPr>
          <w:sz w:val="22"/>
          <w:szCs w:val="22"/>
        </w:rPr>
        <w:t>horas</w:t>
      </w:r>
      <w:r w:rsidR="00E54CD0" w:rsidRPr="00AD4C3A">
        <w:rPr>
          <w:sz w:val="22"/>
          <w:szCs w:val="22"/>
        </w:rPr>
        <w:t xml:space="preserve"> con </w:t>
      </w:r>
      <w:r w:rsidR="00022364">
        <w:rPr>
          <w:sz w:val="22"/>
          <w:szCs w:val="22"/>
        </w:rPr>
        <w:t xml:space="preserve">cuarenta </w:t>
      </w:r>
      <w:r w:rsidR="009F4DB9" w:rsidRPr="00AD4C3A">
        <w:rPr>
          <w:sz w:val="22"/>
          <w:szCs w:val="22"/>
        </w:rPr>
        <w:t xml:space="preserve">minutos </w:t>
      </w:r>
      <w:r w:rsidR="00E54CD0" w:rsidRPr="00AD4C3A">
        <w:rPr>
          <w:sz w:val="22"/>
          <w:szCs w:val="22"/>
        </w:rPr>
        <w:t>del día</w:t>
      </w:r>
      <w:r w:rsidR="00856565" w:rsidRPr="00AD4C3A">
        <w:rPr>
          <w:sz w:val="22"/>
          <w:szCs w:val="22"/>
        </w:rPr>
        <w:t xml:space="preserve"> </w:t>
      </w:r>
      <w:r w:rsidR="00465AB6">
        <w:rPr>
          <w:sz w:val="22"/>
          <w:szCs w:val="22"/>
        </w:rPr>
        <w:t>catorce</w:t>
      </w:r>
      <w:r w:rsidR="00022364">
        <w:rPr>
          <w:sz w:val="22"/>
          <w:szCs w:val="22"/>
        </w:rPr>
        <w:t xml:space="preserve"> </w:t>
      </w:r>
      <w:r w:rsidRPr="00AD4C3A">
        <w:rPr>
          <w:sz w:val="22"/>
          <w:szCs w:val="22"/>
        </w:rPr>
        <w:t>del mes de</w:t>
      </w:r>
      <w:r w:rsidR="00546782" w:rsidRPr="00AD4C3A">
        <w:rPr>
          <w:sz w:val="22"/>
          <w:szCs w:val="22"/>
        </w:rPr>
        <w:t xml:space="preserve"> </w:t>
      </w:r>
      <w:r w:rsidR="004E462E">
        <w:rPr>
          <w:sz w:val="22"/>
          <w:szCs w:val="22"/>
        </w:rPr>
        <w:t>mayo</w:t>
      </w:r>
      <w:r w:rsidRPr="00AD4C3A">
        <w:rPr>
          <w:sz w:val="22"/>
          <w:szCs w:val="22"/>
        </w:rPr>
        <w:t xml:space="preserve"> del año dos mil dieci</w:t>
      </w:r>
      <w:r w:rsidR="005F68CA" w:rsidRPr="00AD4C3A">
        <w:rPr>
          <w:sz w:val="22"/>
          <w:szCs w:val="22"/>
        </w:rPr>
        <w:t>nueve</w:t>
      </w:r>
      <w:r w:rsidRPr="00AD4C3A">
        <w:rPr>
          <w:sz w:val="22"/>
          <w:szCs w:val="22"/>
        </w:rPr>
        <w:t>.</w:t>
      </w:r>
    </w:p>
    <w:p w:rsidR="00AB7FC9" w:rsidRPr="00AD4C3A" w:rsidRDefault="00AB7FC9" w:rsidP="008C3FB7">
      <w:pPr>
        <w:contextualSpacing/>
        <w:jc w:val="both"/>
        <w:rPr>
          <w:sz w:val="22"/>
          <w:szCs w:val="22"/>
        </w:rPr>
      </w:pPr>
    </w:p>
    <w:p w:rsidR="00AB7FC9" w:rsidRPr="00AD4C3A" w:rsidRDefault="00AB7FC9" w:rsidP="008C3FB7">
      <w:pPr>
        <w:contextualSpacing/>
        <w:jc w:val="both"/>
        <w:rPr>
          <w:sz w:val="22"/>
          <w:szCs w:val="22"/>
        </w:rPr>
      </w:pPr>
      <w:r w:rsidRPr="00AD4C3A">
        <w:rPr>
          <w:sz w:val="22"/>
          <w:szCs w:val="22"/>
        </w:rPr>
        <w:t>Esta Superintendencia CONSIDERANDO QUE:</w:t>
      </w:r>
    </w:p>
    <w:p w:rsidR="008F6E6F" w:rsidRPr="00AD4C3A" w:rsidRDefault="008F6E6F" w:rsidP="008F6E6F">
      <w:pPr>
        <w:rPr>
          <w:sz w:val="22"/>
          <w:szCs w:val="22"/>
        </w:rPr>
      </w:pPr>
    </w:p>
    <w:p w:rsidR="00856565" w:rsidRPr="00AD4C3A" w:rsidRDefault="00856565" w:rsidP="00856565">
      <w:pPr>
        <w:pStyle w:val="Prrafodelista"/>
        <w:numPr>
          <w:ilvl w:val="0"/>
          <w:numId w:val="20"/>
        </w:numPr>
        <w:ind w:left="567" w:hanging="567"/>
        <w:jc w:val="both"/>
        <w:rPr>
          <w:bCs/>
          <w:sz w:val="22"/>
          <w:szCs w:val="22"/>
        </w:rPr>
      </w:pPr>
      <w:r w:rsidRPr="00AD4C3A">
        <w:rPr>
          <w:bCs/>
          <w:sz w:val="22"/>
          <w:szCs w:val="22"/>
        </w:rPr>
        <w:t>El Centro de Atención al Usuario de la SIGET informó que los señores</w:t>
      </w:r>
      <w:r w:rsidR="002D4D5E">
        <w:rPr>
          <w:bCs/>
          <w:sz w:val="22"/>
          <w:szCs w:val="22"/>
        </w:rPr>
        <w:t xml:space="preserve"> *****</w:t>
      </w:r>
      <w:r w:rsidRPr="00AD4C3A">
        <w:rPr>
          <w:bCs/>
          <w:sz w:val="22"/>
          <w:szCs w:val="22"/>
        </w:rPr>
        <w:t>,</w:t>
      </w:r>
      <w:r w:rsidR="004E462E">
        <w:rPr>
          <w:bCs/>
          <w:sz w:val="22"/>
          <w:szCs w:val="22"/>
        </w:rPr>
        <w:t xml:space="preserve"> </w:t>
      </w:r>
      <w:r w:rsidR="004E462E" w:rsidRPr="00AD4C3A">
        <w:rPr>
          <w:bCs/>
          <w:sz w:val="22"/>
          <w:szCs w:val="22"/>
        </w:rPr>
        <w:t xml:space="preserve">interpusieron reclamos en contra de </w:t>
      </w:r>
      <w:r w:rsidR="004E462E">
        <w:rPr>
          <w:bCs/>
          <w:sz w:val="22"/>
          <w:szCs w:val="22"/>
        </w:rPr>
        <w:t>la sociedad</w:t>
      </w:r>
      <w:r w:rsidR="002D4D5E">
        <w:rPr>
          <w:bCs/>
          <w:sz w:val="22"/>
          <w:szCs w:val="22"/>
        </w:rPr>
        <w:t xml:space="preserve"> ****</w:t>
      </w:r>
      <w:r w:rsidR="004E462E">
        <w:rPr>
          <w:bCs/>
          <w:sz w:val="22"/>
          <w:szCs w:val="22"/>
        </w:rPr>
        <w:t>.</w:t>
      </w:r>
      <w:r w:rsidR="004E462E" w:rsidRPr="00AD4C3A">
        <w:rPr>
          <w:bCs/>
          <w:sz w:val="22"/>
          <w:szCs w:val="22"/>
        </w:rPr>
        <w:t xml:space="preserve">, por </w:t>
      </w:r>
      <w:r w:rsidR="004E462E">
        <w:rPr>
          <w:bCs/>
          <w:sz w:val="22"/>
          <w:szCs w:val="22"/>
        </w:rPr>
        <w:t>su inconformidad con los cobros efectuados en lo</w:t>
      </w:r>
      <w:r w:rsidR="004E462E" w:rsidRPr="00AD4C3A">
        <w:rPr>
          <w:bCs/>
          <w:sz w:val="22"/>
          <w:szCs w:val="22"/>
        </w:rPr>
        <w:t xml:space="preserve">s suministros identificados con los </w:t>
      </w:r>
      <w:proofErr w:type="spellStart"/>
      <w:r w:rsidR="004E462E" w:rsidRPr="00AD4C3A">
        <w:rPr>
          <w:bCs/>
          <w:sz w:val="22"/>
          <w:szCs w:val="22"/>
        </w:rPr>
        <w:t>NICs</w:t>
      </w:r>
      <w:proofErr w:type="spellEnd"/>
      <w:r w:rsidR="002D4D5E">
        <w:rPr>
          <w:bCs/>
          <w:sz w:val="22"/>
          <w:szCs w:val="22"/>
        </w:rPr>
        <w:t xml:space="preserve"> ***</w:t>
      </w:r>
      <w:r w:rsidR="004E462E" w:rsidRPr="00AD4C3A">
        <w:rPr>
          <w:bCs/>
          <w:sz w:val="22"/>
          <w:szCs w:val="22"/>
        </w:rPr>
        <w:t xml:space="preserve">, en concepto de consumos de energía eléctrica acumulados, bajo el argumento que </w:t>
      </w:r>
      <w:r w:rsidR="004E462E">
        <w:rPr>
          <w:bCs/>
          <w:sz w:val="22"/>
          <w:szCs w:val="22"/>
        </w:rPr>
        <w:t xml:space="preserve">la </w:t>
      </w:r>
      <w:r w:rsidR="004E462E" w:rsidRPr="00AD4C3A">
        <w:rPr>
          <w:bCs/>
          <w:sz w:val="22"/>
          <w:szCs w:val="22"/>
        </w:rPr>
        <w:t>zona</w:t>
      </w:r>
      <w:r w:rsidR="004E462E">
        <w:rPr>
          <w:bCs/>
          <w:sz w:val="22"/>
          <w:szCs w:val="22"/>
        </w:rPr>
        <w:t xml:space="preserve"> donde se encuentra </w:t>
      </w:r>
      <w:proofErr w:type="gramStart"/>
      <w:r w:rsidR="004E462E">
        <w:rPr>
          <w:bCs/>
          <w:sz w:val="22"/>
          <w:szCs w:val="22"/>
        </w:rPr>
        <w:t xml:space="preserve">la </w:t>
      </w:r>
      <w:r w:rsidR="004E462E" w:rsidRPr="00AD4C3A">
        <w:rPr>
          <w:bCs/>
          <w:sz w:val="22"/>
          <w:szCs w:val="22"/>
        </w:rPr>
        <w:t xml:space="preserve"> </w:t>
      </w:r>
      <w:r w:rsidR="004E462E">
        <w:rPr>
          <w:bCs/>
          <w:sz w:val="22"/>
          <w:szCs w:val="22"/>
        </w:rPr>
        <w:t>l</w:t>
      </w:r>
      <w:r w:rsidR="004E462E" w:rsidRPr="00AD4C3A">
        <w:rPr>
          <w:bCs/>
          <w:sz w:val="22"/>
          <w:szCs w:val="22"/>
        </w:rPr>
        <w:t>otificación</w:t>
      </w:r>
      <w:proofErr w:type="gramEnd"/>
      <w:r w:rsidR="002D4D5E">
        <w:rPr>
          <w:bCs/>
          <w:sz w:val="22"/>
          <w:szCs w:val="22"/>
        </w:rPr>
        <w:t xml:space="preserve"> ***</w:t>
      </w:r>
      <w:r w:rsidR="004E462E" w:rsidRPr="00AD4C3A">
        <w:rPr>
          <w:bCs/>
          <w:sz w:val="22"/>
          <w:szCs w:val="22"/>
        </w:rPr>
        <w:t xml:space="preserve">, es de </w:t>
      </w:r>
      <w:r w:rsidR="004E462E">
        <w:rPr>
          <w:bCs/>
          <w:sz w:val="22"/>
          <w:szCs w:val="22"/>
        </w:rPr>
        <w:t>alta peligrosidad delincuencial.</w:t>
      </w:r>
    </w:p>
    <w:p w:rsidR="008F6E6F" w:rsidRPr="00AD4C3A" w:rsidRDefault="008F6E6F" w:rsidP="008F6E6F">
      <w:pPr>
        <w:pStyle w:val="Prrafodelista"/>
        <w:ind w:left="567"/>
        <w:jc w:val="both"/>
        <w:rPr>
          <w:bCs/>
          <w:sz w:val="22"/>
          <w:szCs w:val="22"/>
        </w:rPr>
      </w:pPr>
    </w:p>
    <w:p w:rsidR="007F4BB3" w:rsidRPr="00AD4C3A" w:rsidRDefault="008F6E6F" w:rsidP="00B37189">
      <w:pPr>
        <w:pStyle w:val="Prrafodelista"/>
        <w:numPr>
          <w:ilvl w:val="0"/>
          <w:numId w:val="20"/>
        </w:numPr>
        <w:ind w:left="567" w:hanging="567"/>
        <w:jc w:val="both"/>
        <w:rPr>
          <w:bCs/>
          <w:sz w:val="22"/>
          <w:szCs w:val="22"/>
        </w:rPr>
      </w:pPr>
      <w:r w:rsidRPr="00AD4C3A">
        <w:rPr>
          <w:bCs/>
          <w:sz w:val="22"/>
          <w:szCs w:val="22"/>
        </w:rPr>
        <w:t xml:space="preserve">Por medio </w:t>
      </w:r>
      <w:r w:rsidR="00B37189" w:rsidRPr="00AD4C3A">
        <w:rPr>
          <w:bCs/>
          <w:sz w:val="22"/>
          <w:szCs w:val="22"/>
        </w:rPr>
        <w:t>del acuerdo No. E-</w:t>
      </w:r>
      <w:r w:rsidR="00F90AAB" w:rsidRPr="00AD4C3A">
        <w:rPr>
          <w:bCs/>
          <w:sz w:val="22"/>
          <w:szCs w:val="22"/>
        </w:rPr>
        <w:t>255-2018</w:t>
      </w:r>
      <w:r w:rsidR="00B37189" w:rsidRPr="00AD4C3A">
        <w:rPr>
          <w:bCs/>
          <w:sz w:val="22"/>
          <w:szCs w:val="22"/>
        </w:rPr>
        <w:t>-CAU</w:t>
      </w:r>
      <w:r w:rsidRPr="00AD4C3A">
        <w:rPr>
          <w:bCs/>
          <w:sz w:val="22"/>
          <w:szCs w:val="22"/>
        </w:rPr>
        <w:t>, esta Superintendencia concedió audiencia a la sociedad</w:t>
      </w:r>
      <w:r w:rsidR="002D4D5E">
        <w:rPr>
          <w:sz w:val="22"/>
          <w:szCs w:val="22"/>
          <w:lang w:val="es-SV"/>
        </w:rPr>
        <w:t xml:space="preserve"> **</w:t>
      </w:r>
      <w:proofErr w:type="gramStart"/>
      <w:r w:rsidR="002D4D5E">
        <w:rPr>
          <w:sz w:val="22"/>
          <w:szCs w:val="22"/>
          <w:lang w:val="es-SV"/>
        </w:rPr>
        <w:t xml:space="preserve">* </w:t>
      </w:r>
      <w:r w:rsidR="00F90AAB" w:rsidRPr="00AD4C3A">
        <w:rPr>
          <w:sz w:val="22"/>
          <w:szCs w:val="22"/>
          <w:lang w:val="es-SV"/>
        </w:rPr>
        <w:t>.</w:t>
      </w:r>
      <w:proofErr w:type="gramEnd"/>
      <w:r w:rsidR="00B37189" w:rsidRPr="00AD4C3A">
        <w:rPr>
          <w:sz w:val="22"/>
          <w:szCs w:val="22"/>
          <w:lang w:val="es-SV"/>
        </w:rPr>
        <w:t>,</w:t>
      </w:r>
      <w:r w:rsidRPr="00AD4C3A">
        <w:rPr>
          <w:bCs/>
          <w:sz w:val="22"/>
          <w:szCs w:val="22"/>
        </w:rPr>
        <w:t xml:space="preserve"> </w:t>
      </w:r>
      <w:r w:rsidR="003A539E" w:rsidRPr="00AD4C3A">
        <w:rPr>
          <w:bCs/>
          <w:sz w:val="22"/>
          <w:szCs w:val="22"/>
        </w:rPr>
        <w:t>para que por medio de su apoderado o representante l</w:t>
      </w:r>
      <w:r w:rsidR="007F4BB3" w:rsidRPr="00AD4C3A">
        <w:rPr>
          <w:bCs/>
          <w:sz w:val="22"/>
          <w:szCs w:val="22"/>
        </w:rPr>
        <w:t>egal se pronunciara por escrito respecto del reclamo a</w:t>
      </w:r>
      <w:r w:rsidR="003A539E" w:rsidRPr="00AD4C3A">
        <w:rPr>
          <w:bCs/>
          <w:sz w:val="22"/>
          <w:szCs w:val="22"/>
        </w:rPr>
        <w:t>ntes</w:t>
      </w:r>
      <w:r w:rsidR="007F4BB3" w:rsidRPr="00AD4C3A">
        <w:rPr>
          <w:bCs/>
          <w:sz w:val="22"/>
          <w:szCs w:val="22"/>
        </w:rPr>
        <w:t xml:space="preserve"> relacionado</w:t>
      </w:r>
      <w:r w:rsidR="00F90AAB" w:rsidRPr="00AD4C3A">
        <w:rPr>
          <w:bCs/>
          <w:sz w:val="22"/>
          <w:szCs w:val="22"/>
        </w:rPr>
        <w:t>, debiendo adjuntar la información adicional que considere necesaria para sustentar su posición.</w:t>
      </w:r>
    </w:p>
    <w:p w:rsidR="00F90AAB" w:rsidRPr="00AD4C3A" w:rsidRDefault="00F90AAB" w:rsidP="00F90AAB">
      <w:pPr>
        <w:pStyle w:val="Prrafodelista"/>
        <w:rPr>
          <w:bCs/>
          <w:sz w:val="22"/>
          <w:szCs w:val="22"/>
        </w:rPr>
      </w:pPr>
    </w:p>
    <w:p w:rsidR="00F90AAB" w:rsidRPr="00AD4C3A" w:rsidRDefault="00F90AAB" w:rsidP="00F90AAB">
      <w:pPr>
        <w:pStyle w:val="Prrafodelista"/>
        <w:ind w:left="567"/>
        <w:jc w:val="both"/>
        <w:rPr>
          <w:bCs/>
          <w:sz w:val="22"/>
          <w:szCs w:val="22"/>
        </w:rPr>
      </w:pPr>
      <w:r w:rsidRPr="00AD4C3A">
        <w:rPr>
          <w:bCs/>
          <w:sz w:val="22"/>
          <w:szCs w:val="22"/>
        </w:rPr>
        <w:t xml:space="preserve">En el mismo acuerdo, se ordenó a la distribuidora que suspendiera el cobro acumulado en los suministros identificados con los </w:t>
      </w:r>
      <w:proofErr w:type="spellStart"/>
      <w:r w:rsidRPr="00AD4C3A">
        <w:rPr>
          <w:bCs/>
          <w:sz w:val="22"/>
          <w:szCs w:val="22"/>
        </w:rPr>
        <w:t>NICs</w:t>
      </w:r>
      <w:proofErr w:type="spellEnd"/>
      <w:r w:rsidR="002D4D5E">
        <w:rPr>
          <w:bCs/>
          <w:sz w:val="22"/>
          <w:szCs w:val="22"/>
        </w:rPr>
        <w:t xml:space="preserve"> **</w:t>
      </w:r>
      <w:proofErr w:type="gramStart"/>
      <w:r w:rsidR="002D4D5E">
        <w:rPr>
          <w:bCs/>
          <w:sz w:val="22"/>
          <w:szCs w:val="22"/>
        </w:rPr>
        <w:t xml:space="preserve">* </w:t>
      </w:r>
      <w:r w:rsidRPr="00AD4C3A">
        <w:rPr>
          <w:bCs/>
          <w:sz w:val="22"/>
          <w:szCs w:val="22"/>
        </w:rPr>
        <w:t>;</w:t>
      </w:r>
      <w:proofErr w:type="gramEnd"/>
      <w:r w:rsidRPr="00AD4C3A">
        <w:rPr>
          <w:bCs/>
          <w:sz w:val="22"/>
          <w:szCs w:val="22"/>
        </w:rPr>
        <w:t xml:space="preserve"> y, no ejecutara ningu</w:t>
      </w:r>
      <w:r w:rsidR="00744052">
        <w:rPr>
          <w:bCs/>
          <w:sz w:val="22"/>
          <w:szCs w:val="22"/>
        </w:rPr>
        <w:t>na desconexión o corte en los</w:t>
      </w:r>
      <w:r w:rsidRPr="00AD4C3A">
        <w:rPr>
          <w:bCs/>
          <w:sz w:val="22"/>
          <w:szCs w:val="22"/>
        </w:rPr>
        <w:t xml:space="preserve"> suministros que se origine por la falta de dicho pago hasta que exista un pronunciamiento definitivo.</w:t>
      </w:r>
    </w:p>
    <w:p w:rsidR="008F6E6F" w:rsidRPr="00AD4C3A" w:rsidRDefault="008F6E6F" w:rsidP="008F6E6F">
      <w:pPr>
        <w:rPr>
          <w:sz w:val="22"/>
          <w:szCs w:val="22"/>
        </w:rPr>
      </w:pPr>
    </w:p>
    <w:p w:rsidR="006C5C1D" w:rsidRPr="00AD4C3A" w:rsidRDefault="00F10FD7" w:rsidP="006C5C1D">
      <w:pPr>
        <w:pStyle w:val="Prrafodelista"/>
        <w:numPr>
          <w:ilvl w:val="0"/>
          <w:numId w:val="20"/>
        </w:numPr>
        <w:ind w:left="567" w:hanging="567"/>
        <w:jc w:val="both"/>
        <w:rPr>
          <w:sz w:val="22"/>
          <w:szCs w:val="22"/>
        </w:rPr>
      </w:pPr>
      <w:r w:rsidRPr="00AD4C3A">
        <w:rPr>
          <w:sz w:val="22"/>
          <w:szCs w:val="22"/>
        </w:rPr>
        <w:t>El licenciado</w:t>
      </w:r>
      <w:r w:rsidR="002D4D5E">
        <w:rPr>
          <w:sz w:val="22"/>
          <w:szCs w:val="22"/>
        </w:rPr>
        <w:t xml:space="preserve"> **</w:t>
      </w:r>
      <w:proofErr w:type="gramStart"/>
      <w:r w:rsidR="002D4D5E">
        <w:rPr>
          <w:sz w:val="22"/>
          <w:szCs w:val="22"/>
        </w:rPr>
        <w:t xml:space="preserve">* </w:t>
      </w:r>
      <w:r w:rsidR="003A539E" w:rsidRPr="00AD4C3A">
        <w:rPr>
          <w:sz w:val="22"/>
          <w:szCs w:val="22"/>
        </w:rPr>
        <w:t>,</w:t>
      </w:r>
      <w:proofErr w:type="gramEnd"/>
      <w:r w:rsidR="003A539E" w:rsidRPr="00AD4C3A">
        <w:rPr>
          <w:sz w:val="22"/>
          <w:szCs w:val="22"/>
        </w:rPr>
        <w:t xml:space="preserve"> actuando en su calidad de apoderado general j</w:t>
      </w:r>
      <w:r w:rsidRPr="00AD4C3A">
        <w:rPr>
          <w:sz w:val="22"/>
          <w:szCs w:val="22"/>
        </w:rPr>
        <w:t>udicial</w:t>
      </w:r>
      <w:r w:rsidR="003A539E" w:rsidRPr="00AD4C3A">
        <w:rPr>
          <w:sz w:val="22"/>
          <w:szCs w:val="22"/>
        </w:rPr>
        <w:t xml:space="preserve"> con cláusula especial</w:t>
      </w:r>
      <w:r w:rsidRPr="00AD4C3A">
        <w:rPr>
          <w:sz w:val="22"/>
          <w:szCs w:val="22"/>
        </w:rPr>
        <w:t xml:space="preserve"> de la sociedad</w:t>
      </w:r>
      <w:r w:rsidR="002D4D5E">
        <w:rPr>
          <w:sz w:val="22"/>
          <w:szCs w:val="22"/>
          <w:lang w:val="es-SV"/>
        </w:rPr>
        <w:t xml:space="preserve"> *** </w:t>
      </w:r>
      <w:r w:rsidR="00F90AAB" w:rsidRPr="00AD4C3A">
        <w:rPr>
          <w:sz w:val="22"/>
          <w:szCs w:val="22"/>
          <w:lang w:val="es-SV"/>
        </w:rPr>
        <w:t>.</w:t>
      </w:r>
      <w:r w:rsidRPr="00AD4C3A">
        <w:rPr>
          <w:sz w:val="22"/>
          <w:szCs w:val="22"/>
        </w:rPr>
        <w:t>, respondió la audiencia concedida en el acuerdo No. E-</w:t>
      </w:r>
      <w:r w:rsidR="002D4D5E">
        <w:rPr>
          <w:sz w:val="22"/>
          <w:szCs w:val="22"/>
        </w:rPr>
        <w:t>***</w:t>
      </w:r>
      <w:r w:rsidRPr="00AD4C3A">
        <w:rPr>
          <w:sz w:val="22"/>
          <w:szCs w:val="22"/>
        </w:rPr>
        <w:t xml:space="preserve">, </w:t>
      </w:r>
      <w:r w:rsidR="006C5C1D" w:rsidRPr="00AD4C3A">
        <w:rPr>
          <w:sz w:val="22"/>
          <w:szCs w:val="22"/>
        </w:rPr>
        <w:t>manifestando</w:t>
      </w:r>
      <w:r w:rsidRPr="00AD4C3A">
        <w:rPr>
          <w:sz w:val="22"/>
          <w:szCs w:val="22"/>
        </w:rPr>
        <w:t xml:space="preserve"> lo siguiente:</w:t>
      </w:r>
    </w:p>
    <w:p w:rsidR="006C5C1D" w:rsidRPr="00AD4C3A" w:rsidRDefault="006C5C1D" w:rsidP="006C5C1D">
      <w:pPr>
        <w:pStyle w:val="Prrafodelista"/>
        <w:ind w:left="567"/>
        <w:jc w:val="both"/>
        <w:rPr>
          <w:sz w:val="22"/>
          <w:szCs w:val="22"/>
        </w:rPr>
      </w:pPr>
    </w:p>
    <w:p w:rsidR="006C5C1D" w:rsidRPr="00AD4C3A" w:rsidRDefault="006C5C1D" w:rsidP="006C5C1D">
      <w:pPr>
        <w:pStyle w:val="Prrafodelista"/>
        <w:ind w:left="567"/>
        <w:jc w:val="both"/>
        <w:rPr>
          <w:i/>
          <w:sz w:val="22"/>
          <w:szCs w:val="22"/>
        </w:rPr>
      </w:pPr>
      <w:r w:rsidRPr="00AD4C3A">
        <w:rPr>
          <w:i/>
          <w:sz w:val="22"/>
          <w:szCs w:val="22"/>
        </w:rPr>
        <w:t xml:space="preserve">“…a) Debido a la situación de alta peligrosidad generada en las </w:t>
      </w:r>
      <w:proofErr w:type="gramStart"/>
      <w:r w:rsidRPr="00AD4C3A">
        <w:rPr>
          <w:i/>
          <w:sz w:val="22"/>
          <w:szCs w:val="22"/>
        </w:rPr>
        <w:t xml:space="preserve">zonas </w:t>
      </w:r>
      <w:r w:rsidR="002D4D5E">
        <w:rPr>
          <w:i/>
          <w:sz w:val="22"/>
          <w:szCs w:val="22"/>
        </w:rPr>
        <w:t xml:space="preserve"> *</w:t>
      </w:r>
      <w:proofErr w:type="gramEnd"/>
      <w:r w:rsidR="002D4D5E">
        <w:rPr>
          <w:i/>
          <w:sz w:val="22"/>
          <w:szCs w:val="22"/>
        </w:rPr>
        <w:t xml:space="preserve">** </w:t>
      </w:r>
      <w:r w:rsidRPr="00AD4C3A">
        <w:rPr>
          <w:i/>
          <w:sz w:val="22"/>
          <w:szCs w:val="22"/>
        </w:rPr>
        <w:t>se ha imposibilitado realizar las actividades comerciales en la zona, situación que ha ocasionado que el personal de lecturas de la distribuidora sufriera daños físicos y morales, así como asaltos y amenazas, abonando ello que acrecentara el temor del personal a ingresar a realizar sus labores en el sector.</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i/>
          <w:sz w:val="22"/>
          <w:szCs w:val="22"/>
        </w:rPr>
      </w:pPr>
      <w:r w:rsidRPr="00AD4C3A">
        <w:rPr>
          <w:i/>
          <w:sz w:val="22"/>
          <w:szCs w:val="22"/>
        </w:rPr>
        <w:t xml:space="preserve">b) En las normativas emitidas por SIGET incluye dentro de sus metodologías aquellas actividades que por alguna razón no imputable a la distribuidora no fue posible ejecutar para este caso existe dentro de la Metodología para el Control de la Calidad del Servicio Comercial la causal 114 </w:t>
      </w:r>
      <w:r w:rsidRPr="00AD4C3A">
        <w:rPr>
          <w:b/>
          <w:i/>
          <w:sz w:val="22"/>
          <w:szCs w:val="22"/>
          <w:u w:val="single"/>
        </w:rPr>
        <w:t>área de difícil acceso por razones de seguridad,</w:t>
      </w:r>
      <w:r w:rsidRPr="00AD4C3A">
        <w:rPr>
          <w:i/>
          <w:sz w:val="22"/>
          <w:szCs w:val="22"/>
        </w:rPr>
        <w:t xml:space="preserve"> por lo que en su análisis es necesario que éste sea considerado.</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i/>
          <w:sz w:val="22"/>
          <w:szCs w:val="22"/>
        </w:rPr>
      </w:pPr>
      <w:r w:rsidRPr="00AD4C3A">
        <w:rPr>
          <w:i/>
          <w:sz w:val="22"/>
          <w:szCs w:val="22"/>
        </w:rPr>
        <w:t>c) Los Términos y Condiciones del pliego tarifario reconocen el hecho que se puedan realizar estimaciones de consumo por razones de fuerza mayor o caso fortuito. Así también, menciona de cómo debe realizarse dicha estimación, lo cual tomando en cuenta el equivalente al promedio de los últimos seis meses, al tomarse la lectura real, se harán los ajustes respectivos.</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i/>
          <w:sz w:val="22"/>
          <w:szCs w:val="22"/>
        </w:rPr>
      </w:pPr>
      <w:r w:rsidRPr="00AD4C3A">
        <w:rPr>
          <w:i/>
          <w:sz w:val="22"/>
          <w:szCs w:val="22"/>
        </w:rPr>
        <w:t>d</w:t>
      </w:r>
      <w:r w:rsidRPr="00AD4C3A">
        <w:rPr>
          <w:sz w:val="22"/>
          <w:szCs w:val="22"/>
        </w:rPr>
        <w:t xml:space="preserve">) </w:t>
      </w:r>
      <w:r w:rsidRPr="00AD4C3A">
        <w:rPr>
          <w:i/>
          <w:sz w:val="22"/>
          <w:szCs w:val="22"/>
        </w:rPr>
        <w:t>La no realización de las actividades comerciales que comprenden la lectura de medidores por parte de la distribuidora es a consecuencia de acoso que existe por parte de pandilleros, agrupaciones, asociaciones y organizaciones de naturaleza criminal los cuales han manifestado en diversas ocasiones que atentarán en contra de la vida de nuestro personal. (…)</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i/>
          <w:sz w:val="22"/>
          <w:szCs w:val="22"/>
        </w:rPr>
      </w:pPr>
      <w:r w:rsidRPr="00AD4C3A">
        <w:rPr>
          <w:i/>
          <w:sz w:val="22"/>
          <w:szCs w:val="22"/>
        </w:rPr>
        <w:t>f) El Reglamento General de Electricidad en su artículo 95 faculta a las empresas distribuidoras de Energía Eléctrica a que cuando por inadecuada medición o falta de esta se facturen importes distintos a los reales, la empresa distribuidora lo notificarán a quien corresponda con la finalidad de recuperar el faltante o reintegrar el excedente, según sea el caso, por consiguiente, la distribuidora ha seguido dichos lineamientos.</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i/>
          <w:sz w:val="22"/>
          <w:szCs w:val="22"/>
        </w:rPr>
      </w:pPr>
      <w:r w:rsidRPr="00AD4C3A">
        <w:rPr>
          <w:i/>
          <w:sz w:val="22"/>
          <w:szCs w:val="22"/>
        </w:rPr>
        <w:t>g) Los cobros realizados no son indebidos en cuanto corresponden a consumos reales de los usuarios. La Distribuidora simplemente está recuperando sumas que debieron ser cobradas en su momento, pero que, por hechos irresistibles e imprevisibles ajenos a la distribuidora y usuarios no fue posible hacerlo.</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i/>
          <w:sz w:val="22"/>
          <w:szCs w:val="22"/>
        </w:rPr>
      </w:pPr>
      <w:r w:rsidRPr="00AD4C3A">
        <w:rPr>
          <w:i/>
          <w:sz w:val="22"/>
          <w:szCs w:val="22"/>
        </w:rPr>
        <w:t>h) Se tome en cuenta que la normativa no prevé que estos cobros son indebidos o excesivos. Por ello, el art. 80 literal c de las normas de Calidad del Servicio de los Sistemas de Distribución no establece que no podrá ser cobradas estas sumas, sino que la consecuencia de ello es la aplicación de compensaciones a usuarios. Por ende, no es viable eximir de pago a los usuarios en estos casos.</w:t>
      </w:r>
    </w:p>
    <w:p w:rsidR="006C5C1D" w:rsidRPr="00AD4C3A" w:rsidRDefault="006C5C1D" w:rsidP="006C5C1D">
      <w:pPr>
        <w:pStyle w:val="Prrafodelista"/>
        <w:ind w:left="567"/>
        <w:jc w:val="both"/>
        <w:rPr>
          <w:i/>
          <w:sz w:val="22"/>
          <w:szCs w:val="22"/>
        </w:rPr>
      </w:pPr>
    </w:p>
    <w:p w:rsidR="006C5C1D" w:rsidRPr="00AD4C3A" w:rsidRDefault="006C5C1D" w:rsidP="006C5C1D">
      <w:pPr>
        <w:pStyle w:val="Prrafodelista"/>
        <w:ind w:left="567"/>
        <w:jc w:val="both"/>
        <w:rPr>
          <w:sz w:val="22"/>
          <w:szCs w:val="22"/>
        </w:rPr>
      </w:pPr>
      <w:r w:rsidRPr="00AD4C3A">
        <w:rPr>
          <w:i/>
          <w:sz w:val="22"/>
          <w:szCs w:val="22"/>
        </w:rPr>
        <w:t xml:space="preserve">i) Debido a lo anterior expuesto no se había podido realizar toma de lectura hasta el mes de junio 2017, en mes julio 2017 se pudo realizar captura para </w:t>
      </w:r>
      <w:proofErr w:type="gramStart"/>
      <w:r w:rsidRPr="00AD4C3A">
        <w:rPr>
          <w:i/>
          <w:sz w:val="22"/>
          <w:szCs w:val="22"/>
        </w:rPr>
        <w:t xml:space="preserve">los </w:t>
      </w:r>
      <w:r w:rsidR="002D4D5E">
        <w:rPr>
          <w:i/>
          <w:sz w:val="22"/>
          <w:szCs w:val="22"/>
        </w:rPr>
        <w:t xml:space="preserve"> *</w:t>
      </w:r>
      <w:proofErr w:type="gramEnd"/>
      <w:r w:rsidR="002D4D5E">
        <w:rPr>
          <w:i/>
          <w:sz w:val="22"/>
          <w:szCs w:val="22"/>
        </w:rPr>
        <w:t xml:space="preserve">*** </w:t>
      </w:r>
      <w:r w:rsidRPr="00AD4C3A">
        <w:rPr>
          <w:i/>
          <w:sz w:val="22"/>
          <w:szCs w:val="22"/>
        </w:rPr>
        <w:t>por lo tanto, estamos en la disponibilidad de otorgar a nuestros clientes un convenio de pago sin intereses. (…)”</w:t>
      </w:r>
    </w:p>
    <w:p w:rsidR="008F6E6F" w:rsidRPr="00AD4C3A" w:rsidRDefault="008F6E6F" w:rsidP="00F10FD7">
      <w:pPr>
        <w:ind w:left="567"/>
        <w:contextualSpacing/>
        <w:jc w:val="both"/>
        <w:rPr>
          <w:i/>
          <w:sz w:val="22"/>
          <w:szCs w:val="22"/>
        </w:rPr>
      </w:pPr>
    </w:p>
    <w:p w:rsidR="00244A28" w:rsidRPr="00AD4C3A" w:rsidRDefault="003A539E" w:rsidP="00244A28">
      <w:pPr>
        <w:pStyle w:val="Prrafodelista"/>
        <w:numPr>
          <w:ilvl w:val="0"/>
          <w:numId w:val="20"/>
        </w:numPr>
        <w:ind w:left="567" w:hanging="567"/>
        <w:jc w:val="both"/>
        <w:rPr>
          <w:rFonts w:eastAsia="Calibri"/>
          <w:sz w:val="22"/>
          <w:szCs w:val="22"/>
          <w:lang w:val="es-ES_tradnl" w:eastAsia="en-US"/>
        </w:rPr>
      </w:pPr>
      <w:r w:rsidRPr="00AD4C3A">
        <w:rPr>
          <w:rFonts w:eastAsia="Calibri"/>
          <w:sz w:val="22"/>
          <w:szCs w:val="22"/>
          <w:lang w:val="es-ES_tradnl" w:eastAsia="en-US"/>
        </w:rPr>
        <w:t>Mediante al a</w:t>
      </w:r>
      <w:r w:rsidR="00244A28" w:rsidRPr="00AD4C3A">
        <w:rPr>
          <w:rFonts w:eastAsia="Calibri"/>
          <w:sz w:val="22"/>
          <w:szCs w:val="22"/>
          <w:lang w:val="es-ES_tradnl" w:eastAsia="en-US"/>
        </w:rPr>
        <w:t xml:space="preserve">cuerdo No. </w:t>
      </w:r>
      <w:r w:rsidR="006C5C1D" w:rsidRPr="00AD4C3A">
        <w:rPr>
          <w:rFonts w:eastAsia="Calibri"/>
          <w:sz w:val="22"/>
          <w:szCs w:val="22"/>
          <w:lang w:val="es-ES_tradnl" w:eastAsia="en-US"/>
        </w:rPr>
        <w:t>E-284-2018</w:t>
      </w:r>
      <w:r w:rsidR="00244A28" w:rsidRPr="00AD4C3A">
        <w:rPr>
          <w:rFonts w:eastAsia="Calibri"/>
          <w:sz w:val="22"/>
          <w:szCs w:val="22"/>
          <w:lang w:val="es-ES_tradnl" w:eastAsia="en-US"/>
        </w:rPr>
        <w:t>-CAU, esta Superintendencia comisionó al Centro de Atención al Usuario para que por escrito manifestara la necesidad o no de contratar un perito externo, o indicara que</w:t>
      </w:r>
      <w:r w:rsidRPr="00AD4C3A">
        <w:rPr>
          <w:rFonts w:eastAsia="Calibri"/>
          <w:sz w:val="22"/>
          <w:szCs w:val="22"/>
          <w:lang w:val="es-ES_tradnl" w:eastAsia="en-US"/>
        </w:rPr>
        <w:t xml:space="preserve"> dicho Centro realizaría</w:t>
      </w:r>
      <w:r w:rsidR="00244A28" w:rsidRPr="00AD4C3A">
        <w:rPr>
          <w:rFonts w:eastAsia="Calibri"/>
          <w:sz w:val="22"/>
          <w:szCs w:val="22"/>
          <w:lang w:val="es-ES_tradnl" w:eastAsia="en-US"/>
        </w:rPr>
        <w:t xml:space="preserve"> la investigación correspondiente.</w:t>
      </w:r>
    </w:p>
    <w:p w:rsidR="00FE4E72" w:rsidRPr="00AD4C3A" w:rsidRDefault="00FE4E72" w:rsidP="00FE4E72">
      <w:pPr>
        <w:pStyle w:val="Prrafodelista"/>
        <w:tabs>
          <w:tab w:val="left" w:pos="567"/>
        </w:tabs>
        <w:ind w:left="567"/>
        <w:jc w:val="both"/>
        <w:rPr>
          <w:sz w:val="22"/>
          <w:szCs w:val="22"/>
        </w:rPr>
      </w:pPr>
    </w:p>
    <w:p w:rsidR="008F6E6F" w:rsidRPr="00AD4C3A" w:rsidRDefault="008F6E6F" w:rsidP="00244A28">
      <w:pPr>
        <w:pStyle w:val="Prrafodelista"/>
        <w:numPr>
          <w:ilvl w:val="0"/>
          <w:numId w:val="20"/>
        </w:numPr>
        <w:ind w:left="567" w:hanging="567"/>
        <w:jc w:val="both"/>
        <w:rPr>
          <w:sz w:val="22"/>
          <w:szCs w:val="22"/>
        </w:rPr>
      </w:pPr>
      <w:r w:rsidRPr="00AD4C3A">
        <w:rPr>
          <w:color w:val="000000"/>
          <w:sz w:val="22"/>
          <w:szCs w:val="22"/>
        </w:rPr>
        <w:t xml:space="preserve">El </w:t>
      </w:r>
      <w:r w:rsidRPr="00AD4C3A">
        <w:rPr>
          <w:sz w:val="22"/>
          <w:szCs w:val="22"/>
        </w:rPr>
        <w:t>Centro de Atención al Usuario de esta Superintendencia</w:t>
      </w:r>
      <w:r w:rsidRPr="00AD4C3A">
        <w:rPr>
          <w:color w:val="000000"/>
          <w:sz w:val="22"/>
          <w:szCs w:val="22"/>
        </w:rPr>
        <w:t xml:space="preserve"> informó </w:t>
      </w:r>
      <w:r w:rsidR="009F4DB0" w:rsidRPr="00AD4C3A">
        <w:rPr>
          <w:color w:val="000000"/>
          <w:sz w:val="22"/>
          <w:szCs w:val="22"/>
        </w:rPr>
        <w:t>que,</w:t>
      </w:r>
      <w:r w:rsidRPr="00AD4C3A">
        <w:rPr>
          <w:color w:val="000000"/>
          <w:sz w:val="22"/>
          <w:szCs w:val="22"/>
        </w:rPr>
        <w:t xml:space="preserve"> con base en los argumentos y comentarios expuestos por las partes, no era necesaria la intervención de un perito externo para la solución de</w:t>
      </w:r>
      <w:r w:rsidR="00C16F91" w:rsidRPr="00AD4C3A">
        <w:rPr>
          <w:color w:val="000000"/>
          <w:sz w:val="22"/>
          <w:szCs w:val="22"/>
        </w:rPr>
        <w:t xml:space="preserve"> </w:t>
      </w:r>
      <w:r w:rsidRPr="00AD4C3A">
        <w:rPr>
          <w:color w:val="000000"/>
          <w:sz w:val="22"/>
          <w:szCs w:val="22"/>
        </w:rPr>
        <w:t>l</w:t>
      </w:r>
      <w:r w:rsidR="00C16F91" w:rsidRPr="00AD4C3A">
        <w:rPr>
          <w:color w:val="000000"/>
          <w:sz w:val="22"/>
          <w:szCs w:val="22"/>
        </w:rPr>
        <w:t>os</w:t>
      </w:r>
      <w:r w:rsidRPr="00AD4C3A">
        <w:rPr>
          <w:color w:val="000000"/>
          <w:sz w:val="22"/>
          <w:szCs w:val="22"/>
        </w:rPr>
        <w:t xml:space="preserve"> reclamo</w:t>
      </w:r>
      <w:r w:rsidR="00C16F91" w:rsidRPr="00AD4C3A">
        <w:rPr>
          <w:color w:val="000000"/>
          <w:sz w:val="22"/>
          <w:szCs w:val="22"/>
        </w:rPr>
        <w:t>s</w:t>
      </w:r>
      <w:r w:rsidR="00FE4E72" w:rsidRPr="00AD4C3A">
        <w:rPr>
          <w:color w:val="000000"/>
          <w:sz w:val="22"/>
          <w:szCs w:val="22"/>
        </w:rPr>
        <w:t>.</w:t>
      </w:r>
    </w:p>
    <w:p w:rsidR="00FE4E72" w:rsidRPr="00AD4C3A" w:rsidRDefault="00FE4E72" w:rsidP="00FE4E72">
      <w:pPr>
        <w:tabs>
          <w:tab w:val="left" w:pos="567"/>
        </w:tabs>
        <w:contextualSpacing/>
        <w:jc w:val="both"/>
        <w:rPr>
          <w:sz w:val="22"/>
          <w:szCs w:val="22"/>
        </w:rPr>
      </w:pPr>
    </w:p>
    <w:p w:rsidR="008F6E6F" w:rsidRPr="00AD4C3A" w:rsidRDefault="000B708D" w:rsidP="001C7D04">
      <w:pPr>
        <w:pStyle w:val="Prrafodelista"/>
        <w:numPr>
          <w:ilvl w:val="0"/>
          <w:numId w:val="20"/>
        </w:numPr>
        <w:ind w:left="567" w:hanging="567"/>
        <w:jc w:val="both"/>
        <w:rPr>
          <w:bCs/>
          <w:sz w:val="22"/>
          <w:szCs w:val="22"/>
        </w:rPr>
      </w:pPr>
      <w:r w:rsidRPr="00AD4C3A">
        <w:rPr>
          <w:bCs/>
          <w:sz w:val="22"/>
          <w:szCs w:val="22"/>
        </w:rPr>
        <w:t xml:space="preserve">Mediante el acuerdo No. E-007-2019-CAU, </w:t>
      </w:r>
      <w:r w:rsidR="008F6E6F" w:rsidRPr="00AD4C3A">
        <w:rPr>
          <w:bCs/>
          <w:sz w:val="22"/>
          <w:szCs w:val="22"/>
        </w:rPr>
        <w:t>esta Superintendencia</w:t>
      </w:r>
      <w:r w:rsidR="008F6E6F" w:rsidRPr="00AD4C3A">
        <w:rPr>
          <w:bCs/>
          <w:color w:val="FF0000"/>
          <w:sz w:val="22"/>
          <w:szCs w:val="22"/>
        </w:rPr>
        <w:t xml:space="preserve"> </w:t>
      </w:r>
      <w:r w:rsidRPr="00AD4C3A">
        <w:rPr>
          <w:bCs/>
          <w:sz w:val="22"/>
          <w:szCs w:val="22"/>
        </w:rPr>
        <w:t xml:space="preserve">concedió </w:t>
      </w:r>
      <w:r w:rsidR="0006225A" w:rsidRPr="00AD4C3A">
        <w:rPr>
          <w:bCs/>
          <w:sz w:val="22"/>
          <w:szCs w:val="22"/>
        </w:rPr>
        <w:t>audiencia a</w:t>
      </w:r>
      <w:r w:rsidR="0006225A" w:rsidRPr="00AD4C3A">
        <w:rPr>
          <w:sz w:val="22"/>
          <w:szCs w:val="22"/>
        </w:rPr>
        <w:t xml:space="preserve"> </w:t>
      </w:r>
      <w:r w:rsidRPr="00AD4C3A">
        <w:rPr>
          <w:bCs/>
          <w:sz w:val="22"/>
          <w:szCs w:val="22"/>
        </w:rPr>
        <w:t>las partes</w:t>
      </w:r>
      <w:r w:rsidR="00744052">
        <w:rPr>
          <w:bCs/>
          <w:sz w:val="22"/>
          <w:szCs w:val="22"/>
        </w:rPr>
        <w:t xml:space="preserve"> y</w:t>
      </w:r>
      <w:r w:rsidR="0006225A" w:rsidRPr="00AD4C3A">
        <w:rPr>
          <w:bCs/>
          <w:sz w:val="22"/>
          <w:szCs w:val="22"/>
        </w:rPr>
        <w:t xml:space="preserve"> comisionó </w:t>
      </w:r>
      <w:r w:rsidR="008F6E6F" w:rsidRPr="00AD4C3A">
        <w:rPr>
          <w:bCs/>
          <w:sz w:val="22"/>
          <w:szCs w:val="22"/>
        </w:rPr>
        <w:t xml:space="preserve">a la </w:t>
      </w:r>
      <w:r w:rsidR="008F6E6F" w:rsidRPr="00AD4C3A">
        <w:rPr>
          <w:sz w:val="22"/>
          <w:szCs w:val="22"/>
        </w:rPr>
        <w:t>Gerencia de Electricidad de la SIGET, para que, rindiera un informe técnico en el cual analizara y e</w:t>
      </w:r>
      <w:r w:rsidR="00FE4E72" w:rsidRPr="00AD4C3A">
        <w:rPr>
          <w:sz w:val="22"/>
          <w:szCs w:val="22"/>
        </w:rPr>
        <w:t xml:space="preserve">stableciera si con las pruebas </w:t>
      </w:r>
      <w:r w:rsidR="008F6E6F" w:rsidRPr="00AD4C3A">
        <w:rPr>
          <w:sz w:val="22"/>
          <w:szCs w:val="22"/>
        </w:rPr>
        <w:t xml:space="preserve">presentadas, el argumento indicado por la </w:t>
      </w:r>
      <w:r w:rsidR="001C2B37" w:rsidRPr="00AD4C3A">
        <w:rPr>
          <w:sz w:val="22"/>
          <w:szCs w:val="22"/>
        </w:rPr>
        <w:t>sociedad</w:t>
      </w:r>
      <w:r w:rsidR="002D4D5E">
        <w:rPr>
          <w:sz w:val="22"/>
          <w:szCs w:val="22"/>
          <w:lang w:val="es-SV"/>
        </w:rPr>
        <w:t xml:space="preserve"> *** </w:t>
      </w:r>
      <w:r w:rsidR="00F90AAB" w:rsidRPr="00AD4C3A">
        <w:rPr>
          <w:sz w:val="22"/>
          <w:szCs w:val="22"/>
          <w:lang w:val="es-SV"/>
        </w:rPr>
        <w:t>.</w:t>
      </w:r>
      <w:r w:rsidR="005A17E7" w:rsidRPr="00AD4C3A">
        <w:rPr>
          <w:sz w:val="22"/>
          <w:szCs w:val="22"/>
        </w:rPr>
        <w:t>,</w:t>
      </w:r>
      <w:r w:rsidR="008F6E6F" w:rsidRPr="00AD4C3A">
        <w:rPr>
          <w:sz w:val="22"/>
          <w:szCs w:val="22"/>
        </w:rPr>
        <w:t xml:space="preserve"> </w:t>
      </w:r>
      <w:r w:rsidR="006C5C1D" w:rsidRPr="00AD4C3A">
        <w:rPr>
          <w:rFonts w:eastAsiaTheme="minorHAnsi"/>
          <w:sz w:val="22"/>
          <w:szCs w:val="22"/>
          <w:lang w:val="es-MX"/>
        </w:rPr>
        <w:t xml:space="preserve">relacionado con alto riesgo delincuencial </w:t>
      </w:r>
      <w:r w:rsidR="00A00240">
        <w:rPr>
          <w:sz w:val="22"/>
          <w:szCs w:val="22"/>
        </w:rPr>
        <w:t xml:space="preserve">en la </w:t>
      </w:r>
      <w:r w:rsidR="002D4D5E">
        <w:rPr>
          <w:sz w:val="22"/>
          <w:szCs w:val="22"/>
        </w:rPr>
        <w:t xml:space="preserve"> **** </w:t>
      </w:r>
      <w:r w:rsidR="008F6E6F" w:rsidRPr="00AD4C3A">
        <w:rPr>
          <w:sz w:val="22"/>
          <w:szCs w:val="22"/>
        </w:rPr>
        <w:t xml:space="preserve">se puede enmarcar dentro de un evento constitutivo de fuerza mayor, de conformidad con lo establecido en el </w:t>
      </w:r>
      <w:r w:rsidR="003A539E" w:rsidRPr="00AD4C3A">
        <w:rPr>
          <w:sz w:val="22"/>
          <w:szCs w:val="22"/>
        </w:rPr>
        <w:t>Procedimiento para la Determinación de Causales de Casos Fortuitos y Fuerza Mayor</w:t>
      </w:r>
      <w:r w:rsidR="008F6E6F" w:rsidRPr="00AD4C3A">
        <w:rPr>
          <w:sz w:val="22"/>
          <w:szCs w:val="22"/>
        </w:rPr>
        <w:t xml:space="preserve">, así como lo regulado en el artículo 29 de los Términos y Condiciones </w:t>
      </w:r>
      <w:r w:rsidR="00C16F91" w:rsidRPr="00AD4C3A">
        <w:rPr>
          <w:sz w:val="22"/>
          <w:szCs w:val="22"/>
        </w:rPr>
        <w:t xml:space="preserve">al Consumidor Final </w:t>
      </w:r>
      <w:r w:rsidR="008F6E6F" w:rsidRPr="00AD4C3A">
        <w:rPr>
          <w:sz w:val="22"/>
          <w:szCs w:val="22"/>
        </w:rPr>
        <w:t>del Pliego Tarifario.</w:t>
      </w:r>
    </w:p>
    <w:p w:rsidR="008F6E6F" w:rsidRPr="00AD4C3A" w:rsidRDefault="008F6E6F" w:rsidP="000B708D">
      <w:pPr>
        <w:pStyle w:val="Prrafodelista"/>
        <w:ind w:left="567"/>
        <w:jc w:val="both"/>
        <w:rPr>
          <w:bCs/>
          <w:sz w:val="22"/>
          <w:szCs w:val="22"/>
        </w:rPr>
      </w:pPr>
    </w:p>
    <w:p w:rsidR="000B708D" w:rsidRPr="00AD4C3A" w:rsidRDefault="000B708D" w:rsidP="000B708D">
      <w:pPr>
        <w:pStyle w:val="Prrafodelista"/>
        <w:numPr>
          <w:ilvl w:val="0"/>
          <w:numId w:val="20"/>
        </w:numPr>
        <w:ind w:left="567" w:hanging="567"/>
        <w:jc w:val="both"/>
        <w:rPr>
          <w:sz w:val="22"/>
          <w:szCs w:val="22"/>
        </w:rPr>
      </w:pPr>
      <w:r w:rsidRPr="00AD4C3A">
        <w:rPr>
          <w:sz w:val="22"/>
          <w:szCs w:val="22"/>
        </w:rPr>
        <w:t>El licenciado</w:t>
      </w:r>
      <w:r w:rsidR="002D4D5E">
        <w:rPr>
          <w:sz w:val="22"/>
          <w:szCs w:val="22"/>
        </w:rPr>
        <w:t xml:space="preserve"> ***</w:t>
      </w:r>
      <w:proofErr w:type="gramStart"/>
      <w:r w:rsidR="002D4D5E">
        <w:rPr>
          <w:sz w:val="22"/>
          <w:szCs w:val="22"/>
        </w:rPr>
        <w:t xml:space="preserve">* </w:t>
      </w:r>
      <w:r w:rsidRPr="00AD4C3A">
        <w:rPr>
          <w:sz w:val="22"/>
          <w:szCs w:val="22"/>
        </w:rPr>
        <w:t>,</w:t>
      </w:r>
      <w:proofErr w:type="gramEnd"/>
      <w:r w:rsidRPr="00AD4C3A">
        <w:rPr>
          <w:sz w:val="22"/>
          <w:szCs w:val="22"/>
        </w:rPr>
        <w:t xml:space="preserve"> actuando en la calidad antes indicada, respondió la audiencia concedida ratificando lo expresado en su escrito presentado el veinticinco de octubre de dos mil dieciocho.</w:t>
      </w:r>
    </w:p>
    <w:p w:rsidR="000B708D" w:rsidRPr="00AD4C3A" w:rsidRDefault="000B708D" w:rsidP="000B708D">
      <w:pPr>
        <w:pStyle w:val="Prrafodelista"/>
        <w:rPr>
          <w:sz w:val="22"/>
          <w:szCs w:val="22"/>
        </w:rPr>
      </w:pPr>
    </w:p>
    <w:p w:rsidR="00A17768" w:rsidRPr="00AD4C3A" w:rsidRDefault="000B708D" w:rsidP="000B708D">
      <w:pPr>
        <w:pStyle w:val="Prrafodelista"/>
        <w:ind w:left="567"/>
        <w:jc w:val="both"/>
        <w:rPr>
          <w:sz w:val="22"/>
          <w:szCs w:val="22"/>
        </w:rPr>
      </w:pPr>
      <w:r w:rsidRPr="00AD4C3A">
        <w:rPr>
          <w:sz w:val="22"/>
          <w:szCs w:val="22"/>
        </w:rPr>
        <w:t xml:space="preserve">El </w:t>
      </w:r>
      <w:proofErr w:type="gramStart"/>
      <w:r w:rsidRPr="00AD4C3A">
        <w:rPr>
          <w:sz w:val="22"/>
          <w:szCs w:val="22"/>
        </w:rPr>
        <w:t xml:space="preserve">señor </w:t>
      </w:r>
      <w:r w:rsidR="002D4D5E">
        <w:rPr>
          <w:sz w:val="22"/>
          <w:szCs w:val="22"/>
        </w:rPr>
        <w:t xml:space="preserve"> *</w:t>
      </w:r>
      <w:proofErr w:type="gramEnd"/>
      <w:r w:rsidR="002D4D5E">
        <w:rPr>
          <w:sz w:val="22"/>
          <w:szCs w:val="22"/>
        </w:rPr>
        <w:t xml:space="preserve">** </w:t>
      </w:r>
      <w:r w:rsidRPr="00AD4C3A">
        <w:rPr>
          <w:sz w:val="22"/>
          <w:szCs w:val="22"/>
        </w:rPr>
        <w:t>contestó la audiencia expresando su inconformidad con los cobros efectuados por la distribuidora, debido a que entre los años de dos mil catorce a dos mil diecisiete no le envi</w:t>
      </w:r>
      <w:r w:rsidR="00744052">
        <w:rPr>
          <w:sz w:val="22"/>
          <w:szCs w:val="22"/>
        </w:rPr>
        <w:t xml:space="preserve">aron recibos y tuvo que acudir </w:t>
      </w:r>
      <w:r w:rsidRPr="00AD4C3A">
        <w:rPr>
          <w:sz w:val="22"/>
          <w:szCs w:val="22"/>
        </w:rPr>
        <w:t xml:space="preserve">a las oficinas de CAESS a pagar las facturas del suministro. </w:t>
      </w:r>
    </w:p>
    <w:p w:rsidR="00A17768" w:rsidRPr="00AD4C3A" w:rsidRDefault="00A17768" w:rsidP="000B708D">
      <w:pPr>
        <w:pStyle w:val="Prrafodelista"/>
        <w:ind w:left="567"/>
        <w:jc w:val="both"/>
        <w:rPr>
          <w:sz w:val="22"/>
          <w:szCs w:val="22"/>
        </w:rPr>
      </w:pPr>
    </w:p>
    <w:p w:rsidR="000B708D" w:rsidRPr="00AD4C3A" w:rsidRDefault="000B708D" w:rsidP="000B708D">
      <w:pPr>
        <w:pStyle w:val="Prrafodelista"/>
        <w:ind w:left="567"/>
        <w:jc w:val="both"/>
        <w:rPr>
          <w:sz w:val="22"/>
          <w:szCs w:val="22"/>
        </w:rPr>
      </w:pPr>
      <w:r w:rsidRPr="00AD4C3A">
        <w:rPr>
          <w:sz w:val="22"/>
          <w:szCs w:val="22"/>
        </w:rPr>
        <w:t>Por su parte, el señor Ruiz Águila no hizo uso de la audiencia señalada.</w:t>
      </w:r>
    </w:p>
    <w:p w:rsidR="000B708D" w:rsidRPr="00AD4C3A" w:rsidRDefault="000B708D" w:rsidP="000B708D">
      <w:pPr>
        <w:pStyle w:val="Prrafodelista"/>
        <w:rPr>
          <w:bCs/>
          <w:sz w:val="22"/>
          <w:szCs w:val="22"/>
        </w:rPr>
      </w:pPr>
    </w:p>
    <w:p w:rsidR="00F06259" w:rsidRPr="00AD4C3A" w:rsidRDefault="008F6E6F" w:rsidP="00F06259">
      <w:pPr>
        <w:pStyle w:val="Prrafodelista"/>
        <w:numPr>
          <w:ilvl w:val="0"/>
          <w:numId w:val="20"/>
        </w:numPr>
        <w:ind w:left="567" w:hanging="567"/>
        <w:jc w:val="both"/>
        <w:rPr>
          <w:sz w:val="22"/>
          <w:szCs w:val="22"/>
        </w:rPr>
      </w:pPr>
      <w:r w:rsidRPr="00AD4C3A">
        <w:rPr>
          <w:bCs/>
          <w:sz w:val="22"/>
          <w:szCs w:val="22"/>
        </w:rPr>
        <w:t xml:space="preserve">La Gerencia de Electricidad rindió el </w:t>
      </w:r>
      <w:r w:rsidR="00C95947" w:rsidRPr="00AD4C3A">
        <w:rPr>
          <w:bCs/>
          <w:sz w:val="22"/>
          <w:szCs w:val="22"/>
        </w:rPr>
        <w:t xml:space="preserve">informe técnico No. </w:t>
      </w:r>
      <w:r w:rsidR="00F06259" w:rsidRPr="00AD4C3A">
        <w:rPr>
          <w:bCs/>
          <w:sz w:val="22"/>
          <w:szCs w:val="22"/>
        </w:rPr>
        <w:t>IT-NT-2019-02-012</w:t>
      </w:r>
      <w:r w:rsidRPr="00AD4C3A">
        <w:rPr>
          <w:bCs/>
          <w:sz w:val="22"/>
          <w:szCs w:val="22"/>
        </w:rPr>
        <w:t xml:space="preserve">, </w:t>
      </w:r>
      <w:r w:rsidR="00F06259" w:rsidRPr="00AD4C3A">
        <w:rPr>
          <w:sz w:val="22"/>
          <w:szCs w:val="22"/>
        </w:rPr>
        <w:t>en el cual dictaminó lo siguiente:</w:t>
      </w:r>
    </w:p>
    <w:p w:rsidR="00F06259" w:rsidRPr="00AD4C3A" w:rsidRDefault="00F06259" w:rsidP="00F06259">
      <w:pPr>
        <w:pStyle w:val="Prrafodelista"/>
        <w:ind w:left="567"/>
        <w:jc w:val="both"/>
        <w:rPr>
          <w:sz w:val="22"/>
          <w:szCs w:val="22"/>
        </w:rPr>
      </w:pPr>
    </w:p>
    <w:p w:rsidR="00F06259" w:rsidRPr="00AD4C3A" w:rsidRDefault="00F06259" w:rsidP="00F06259">
      <w:pPr>
        <w:pStyle w:val="Prrafodelista"/>
        <w:ind w:left="567"/>
        <w:jc w:val="both"/>
        <w:rPr>
          <w:i/>
          <w:sz w:val="22"/>
          <w:szCs w:val="22"/>
        </w:rPr>
      </w:pPr>
      <w:r w:rsidRPr="00AD4C3A">
        <w:rPr>
          <w:i/>
          <w:sz w:val="22"/>
          <w:szCs w:val="22"/>
        </w:rPr>
        <w:t xml:space="preserve">“(…) Del análisis realizado se concluye que el planteamiento expuesto por la sociedad </w:t>
      </w:r>
      <w:r w:rsidR="002D4D5E">
        <w:rPr>
          <w:bCs/>
          <w:i/>
          <w:sz w:val="22"/>
          <w:szCs w:val="22"/>
        </w:rPr>
        <w:t xml:space="preserve"> **** </w:t>
      </w:r>
      <w:r w:rsidRPr="00AD4C3A">
        <w:rPr>
          <w:i/>
          <w:sz w:val="22"/>
          <w:szCs w:val="22"/>
        </w:rPr>
        <w:t>sobre que los altos niveles de delincuencia en la zona geográfica de la</w:t>
      </w:r>
      <w:r w:rsidR="002D4D5E">
        <w:rPr>
          <w:i/>
          <w:sz w:val="22"/>
          <w:szCs w:val="22"/>
        </w:rPr>
        <w:t xml:space="preserve"> *** </w:t>
      </w:r>
      <w:r w:rsidRPr="00AD4C3A">
        <w:rPr>
          <w:i/>
          <w:sz w:val="22"/>
          <w:szCs w:val="22"/>
        </w:rPr>
        <w:t>, le impiden la toma de lectura y la notificación normal de la facturas en el sector, no se enmarca dentro de un evento constitutivo de fuerza mayor, de conformidad con el PROCEDIMIENTO PARA LA DETERMINACIÓN DE LAS CAUSALES DE CASOS FORTUITOS Y FUERZA MAYOR, contenido en el Acuerdo No. 223-E-2003 y a lo regulado en el artículo 29 de los Términos y Condiciones del Pliego Tarifario aplicables.</w:t>
      </w:r>
    </w:p>
    <w:p w:rsidR="00F06259" w:rsidRPr="00AD4C3A" w:rsidRDefault="00F06259" w:rsidP="00F06259">
      <w:pPr>
        <w:pStyle w:val="Prrafodelista"/>
        <w:ind w:left="567"/>
        <w:jc w:val="both"/>
        <w:rPr>
          <w:i/>
          <w:sz w:val="22"/>
          <w:szCs w:val="22"/>
        </w:rPr>
      </w:pPr>
    </w:p>
    <w:p w:rsidR="00F06259" w:rsidRPr="00AD4C3A" w:rsidRDefault="00F06259" w:rsidP="00F06259">
      <w:pPr>
        <w:pStyle w:val="Prrafodelista"/>
        <w:ind w:left="567"/>
        <w:jc w:val="both"/>
        <w:rPr>
          <w:i/>
          <w:sz w:val="22"/>
          <w:szCs w:val="22"/>
        </w:rPr>
      </w:pPr>
      <w:r w:rsidRPr="00AD4C3A">
        <w:rPr>
          <w:i/>
          <w:sz w:val="22"/>
          <w:szCs w:val="22"/>
        </w:rPr>
        <w:t>Lo anterior principalmente, debido a lo siguiente:</w:t>
      </w:r>
    </w:p>
    <w:p w:rsidR="00F06259" w:rsidRPr="00AD4C3A" w:rsidRDefault="00F06259" w:rsidP="00F06259">
      <w:pPr>
        <w:pStyle w:val="Prrafodelista"/>
        <w:ind w:left="567"/>
        <w:jc w:val="both"/>
        <w:rPr>
          <w:i/>
          <w:sz w:val="22"/>
          <w:szCs w:val="22"/>
        </w:rPr>
      </w:pPr>
    </w:p>
    <w:p w:rsidR="00F06259" w:rsidRPr="00AD4C3A" w:rsidRDefault="00F06259" w:rsidP="00F06259">
      <w:pPr>
        <w:pStyle w:val="Prrafodelista"/>
        <w:ind w:left="567"/>
        <w:jc w:val="both"/>
        <w:rPr>
          <w:i/>
          <w:sz w:val="22"/>
          <w:szCs w:val="22"/>
        </w:rPr>
      </w:pPr>
      <w:r w:rsidRPr="00AD4C3A">
        <w:rPr>
          <w:i/>
          <w:sz w:val="22"/>
          <w:szCs w:val="22"/>
        </w:rPr>
        <w:t xml:space="preserve">(…) b) La empresa distribuidora no presentó documentación adecuada para verificar la imposibilidad de efectuar las lecturas de consumo de energía eléctrica, al respecto, conforme a lo establecido en el numeral 2.1, </w:t>
      </w:r>
      <w:proofErr w:type="spellStart"/>
      <w:r w:rsidRPr="00AD4C3A">
        <w:rPr>
          <w:i/>
          <w:sz w:val="22"/>
          <w:szCs w:val="22"/>
        </w:rPr>
        <w:t>subnumeral</w:t>
      </w:r>
      <w:proofErr w:type="spellEnd"/>
      <w:r w:rsidRPr="00AD4C3A">
        <w:rPr>
          <w:i/>
          <w:sz w:val="22"/>
          <w:szCs w:val="22"/>
        </w:rPr>
        <w:t xml:space="preserve"> 1 del PROCEDIMIENTO PARA LA DETERMINACIÓN DE LAS CAUSALES DE CASOS FORTUITOS Y FUERZA MAYOR, no es suficiente que la distribuidora invoque la ocurrencia de cierto tipo de causales, sino que también es necesario demostrar que ocurrió el evento y que la situación ocurrida es suficiente para ocasionar la extinción de su obligación, que para el caso, sería la de efectuar la lectura de los medidores de consumo eléctrico.</w:t>
      </w:r>
    </w:p>
    <w:p w:rsidR="00F06259" w:rsidRPr="00AD4C3A" w:rsidRDefault="00F06259" w:rsidP="00F06259">
      <w:pPr>
        <w:pStyle w:val="Prrafodelista"/>
        <w:ind w:left="567"/>
        <w:jc w:val="both"/>
        <w:rPr>
          <w:i/>
          <w:sz w:val="22"/>
          <w:szCs w:val="22"/>
        </w:rPr>
      </w:pPr>
    </w:p>
    <w:p w:rsidR="00F06259" w:rsidRPr="00AD4C3A" w:rsidRDefault="00F06259" w:rsidP="00F06259">
      <w:pPr>
        <w:pStyle w:val="Prrafodelista"/>
        <w:ind w:left="567"/>
        <w:jc w:val="both"/>
        <w:rPr>
          <w:i/>
          <w:sz w:val="22"/>
          <w:szCs w:val="22"/>
        </w:rPr>
      </w:pPr>
      <w:r w:rsidRPr="00AD4C3A">
        <w:rPr>
          <w:i/>
          <w:sz w:val="22"/>
          <w:szCs w:val="22"/>
        </w:rPr>
        <w:t xml:space="preserve"> c) Asimismo, de la misma forma que el usuario final necesita mensualmente una señal económica que le motive a hacer un uso racional de la electricidad conforme a sus posibilidades económicas, la empresa distribuidora necesita la señal que la motive a buscar una alternativa técnica o logística de solución o mitigación del problema señalado que le imposibilita en ocasiones tomar la lectura mensual del consumo de energía en algunos usuarios finales; lo anterior es necesario enfatizarse cuando otras empresas distribuidoras que están expuestas a la misma problemática han implementado diferentes tipos de medidas para mitigar su incidencia. (…)”</w:t>
      </w:r>
    </w:p>
    <w:p w:rsidR="00F06259" w:rsidRPr="00AD4C3A" w:rsidRDefault="00F06259" w:rsidP="00F06259">
      <w:pPr>
        <w:pStyle w:val="Prrafodelista"/>
        <w:ind w:left="567"/>
        <w:jc w:val="both"/>
        <w:rPr>
          <w:sz w:val="22"/>
          <w:szCs w:val="22"/>
        </w:rPr>
      </w:pPr>
    </w:p>
    <w:p w:rsidR="00F06259" w:rsidRPr="00AD4C3A" w:rsidRDefault="008F6E6F" w:rsidP="00F06259">
      <w:pPr>
        <w:pStyle w:val="Prrafodelista"/>
        <w:numPr>
          <w:ilvl w:val="0"/>
          <w:numId w:val="20"/>
        </w:numPr>
        <w:ind w:left="567" w:hanging="567"/>
        <w:jc w:val="both"/>
        <w:rPr>
          <w:sz w:val="22"/>
          <w:szCs w:val="22"/>
          <w:lang w:val="es-SV"/>
        </w:rPr>
      </w:pPr>
      <w:r w:rsidRPr="00AD4C3A">
        <w:rPr>
          <w:sz w:val="22"/>
          <w:szCs w:val="22"/>
        </w:rPr>
        <w:t>P</w:t>
      </w:r>
      <w:r w:rsidR="003A539E" w:rsidRPr="00AD4C3A">
        <w:rPr>
          <w:sz w:val="22"/>
          <w:szCs w:val="22"/>
        </w:rPr>
        <w:t>or medio del a</w:t>
      </w:r>
      <w:r w:rsidRPr="00AD4C3A">
        <w:rPr>
          <w:sz w:val="22"/>
          <w:szCs w:val="22"/>
        </w:rPr>
        <w:t>cuerdo No</w:t>
      </w:r>
      <w:r w:rsidR="00F06259" w:rsidRPr="00AD4C3A">
        <w:rPr>
          <w:rFonts w:eastAsiaTheme="minorEastAsia"/>
          <w:sz w:val="22"/>
          <w:szCs w:val="22"/>
          <w:lang w:val="es-SV" w:eastAsia="es-SV"/>
        </w:rPr>
        <w:t xml:space="preserve"> </w:t>
      </w:r>
      <w:r w:rsidR="00F06259" w:rsidRPr="00AD4C3A">
        <w:rPr>
          <w:sz w:val="22"/>
          <w:szCs w:val="22"/>
          <w:lang w:val="es-SV"/>
        </w:rPr>
        <w:t xml:space="preserve">E-058-2019-CAU, esta Superintendencia remitió a la sociedad </w:t>
      </w:r>
      <w:r w:rsidR="002D4D5E">
        <w:rPr>
          <w:sz w:val="22"/>
          <w:szCs w:val="22"/>
          <w:lang w:val="es-SV"/>
        </w:rPr>
        <w:t>****</w:t>
      </w:r>
      <w:r w:rsidR="00F06259" w:rsidRPr="00AD4C3A">
        <w:rPr>
          <w:sz w:val="22"/>
          <w:szCs w:val="22"/>
          <w:lang w:val="es-SV"/>
        </w:rPr>
        <w:t>, copia del informe técnico No. IT-NT-2019-02-012, rendido por la Gerencia de Electricidad de la SIGET, para que presentaran los argumentos que consideraran pertinentes.</w:t>
      </w:r>
    </w:p>
    <w:p w:rsidR="00F06259" w:rsidRPr="00AD4C3A" w:rsidRDefault="00F06259" w:rsidP="00F06259">
      <w:pPr>
        <w:pStyle w:val="Prrafodelista"/>
        <w:ind w:left="567"/>
        <w:jc w:val="both"/>
        <w:rPr>
          <w:sz w:val="22"/>
          <w:szCs w:val="22"/>
          <w:lang w:val="es-SV"/>
        </w:rPr>
      </w:pPr>
    </w:p>
    <w:p w:rsidR="008F6E6F" w:rsidRDefault="00F06259" w:rsidP="00F06259">
      <w:pPr>
        <w:pStyle w:val="Prrafodelista"/>
        <w:ind w:left="567"/>
        <w:jc w:val="both"/>
        <w:rPr>
          <w:sz w:val="22"/>
          <w:szCs w:val="22"/>
          <w:lang w:val="es-SV"/>
        </w:rPr>
      </w:pPr>
      <w:r w:rsidRPr="00AD4C3A">
        <w:rPr>
          <w:sz w:val="22"/>
          <w:szCs w:val="22"/>
          <w:lang w:val="es-SV"/>
        </w:rPr>
        <w:t>En dicho proveído</w:t>
      </w:r>
      <w:r w:rsidR="00A17768" w:rsidRPr="00AD4C3A">
        <w:rPr>
          <w:sz w:val="22"/>
          <w:szCs w:val="22"/>
          <w:lang w:val="es-SV"/>
        </w:rPr>
        <w:t>,</w:t>
      </w:r>
      <w:r w:rsidRPr="00AD4C3A">
        <w:rPr>
          <w:sz w:val="22"/>
          <w:szCs w:val="22"/>
          <w:lang w:val="es-SV"/>
        </w:rPr>
        <w:t xml:space="preserve"> se requirió al área jurídica del CAU de la SIGET, que, una vez evacuada la audiencia a las partes, rindiera un informe jurídico en el que se analizarán los argumentos expresados por la sociedad</w:t>
      </w:r>
      <w:r w:rsidR="002D4D5E">
        <w:rPr>
          <w:sz w:val="22"/>
          <w:szCs w:val="22"/>
          <w:lang w:val="es-SV"/>
        </w:rPr>
        <w:t xml:space="preserve"> **</w:t>
      </w:r>
      <w:proofErr w:type="gramStart"/>
      <w:r w:rsidR="002D4D5E">
        <w:rPr>
          <w:sz w:val="22"/>
          <w:szCs w:val="22"/>
          <w:lang w:val="es-SV"/>
        </w:rPr>
        <w:t xml:space="preserve">* </w:t>
      </w:r>
      <w:r w:rsidRPr="00AD4C3A">
        <w:rPr>
          <w:sz w:val="22"/>
          <w:szCs w:val="22"/>
          <w:lang w:val="es-SV"/>
        </w:rPr>
        <w:t>.</w:t>
      </w:r>
      <w:proofErr w:type="gramEnd"/>
      <w:r w:rsidRPr="00AD4C3A">
        <w:rPr>
          <w:sz w:val="22"/>
          <w:szCs w:val="22"/>
          <w:lang w:val="es-SV"/>
        </w:rPr>
        <w:t xml:space="preserve">, respecto de las razones para no realizar la gestión comercial de lectura en los suministros de energía eléctrica en la lotificación </w:t>
      </w:r>
      <w:r w:rsidR="002D4D5E">
        <w:rPr>
          <w:sz w:val="22"/>
          <w:szCs w:val="22"/>
          <w:lang w:val="es-SV"/>
        </w:rPr>
        <w:t xml:space="preserve"> ***.</w:t>
      </w:r>
    </w:p>
    <w:p w:rsidR="002D4D5E" w:rsidRPr="00AD4C3A" w:rsidRDefault="002D4D5E" w:rsidP="00F06259">
      <w:pPr>
        <w:pStyle w:val="Prrafodelista"/>
        <w:ind w:left="567"/>
        <w:jc w:val="both"/>
        <w:rPr>
          <w:bCs/>
          <w:i/>
          <w:sz w:val="22"/>
          <w:szCs w:val="22"/>
        </w:rPr>
      </w:pPr>
    </w:p>
    <w:p w:rsidR="000F603E" w:rsidRPr="00AD4C3A" w:rsidRDefault="000F603E" w:rsidP="000F603E">
      <w:pPr>
        <w:pStyle w:val="Prrafodelista"/>
        <w:numPr>
          <w:ilvl w:val="0"/>
          <w:numId w:val="20"/>
        </w:numPr>
        <w:ind w:left="567" w:hanging="567"/>
        <w:jc w:val="both"/>
        <w:rPr>
          <w:sz w:val="22"/>
          <w:szCs w:val="22"/>
          <w:lang w:val="es-SV" w:eastAsia="es-SV"/>
        </w:rPr>
      </w:pPr>
      <w:r w:rsidRPr="00AD4C3A">
        <w:rPr>
          <w:sz w:val="22"/>
          <w:szCs w:val="22"/>
          <w:lang w:val="es-SV" w:eastAsia="es-SV"/>
        </w:rPr>
        <w:t>El licenciado</w:t>
      </w:r>
      <w:r w:rsidR="002D4D5E">
        <w:rPr>
          <w:sz w:val="22"/>
          <w:szCs w:val="22"/>
          <w:lang w:val="es-SV" w:eastAsia="es-SV"/>
        </w:rPr>
        <w:t xml:space="preserve"> ***</w:t>
      </w:r>
      <w:proofErr w:type="gramStart"/>
      <w:r w:rsidR="002D4D5E">
        <w:rPr>
          <w:sz w:val="22"/>
          <w:szCs w:val="22"/>
          <w:lang w:val="es-SV" w:eastAsia="es-SV"/>
        </w:rPr>
        <w:t xml:space="preserve">* </w:t>
      </w:r>
      <w:r w:rsidRPr="00AD4C3A">
        <w:rPr>
          <w:sz w:val="22"/>
          <w:szCs w:val="22"/>
          <w:lang w:val="es-SV" w:eastAsia="es-SV"/>
        </w:rPr>
        <w:t>,</w:t>
      </w:r>
      <w:proofErr w:type="gramEnd"/>
      <w:r w:rsidRPr="00AD4C3A">
        <w:rPr>
          <w:sz w:val="22"/>
          <w:szCs w:val="22"/>
          <w:lang w:val="es-SV" w:eastAsia="es-SV"/>
        </w:rPr>
        <w:t xml:space="preserve"> actuando en la calidad previamente indicada, mediante un escrito manifestó su inconformidad con el informe técnico rendido por la Gerencia de Electricidad de la SIGET, concluyendo lo siguiente:</w:t>
      </w:r>
    </w:p>
    <w:p w:rsidR="000F603E" w:rsidRPr="00AD4C3A" w:rsidRDefault="000F603E" w:rsidP="000F603E">
      <w:pPr>
        <w:pStyle w:val="Prrafodelista"/>
        <w:rPr>
          <w:bCs/>
          <w:i/>
          <w:sz w:val="22"/>
          <w:szCs w:val="22"/>
        </w:rPr>
      </w:pPr>
    </w:p>
    <w:p w:rsidR="000F603E" w:rsidRPr="00AD4C3A" w:rsidRDefault="000F603E" w:rsidP="000F603E">
      <w:pPr>
        <w:pStyle w:val="Prrafodelista"/>
        <w:ind w:left="567"/>
        <w:jc w:val="both"/>
        <w:rPr>
          <w:bCs/>
          <w:i/>
          <w:sz w:val="22"/>
          <w:szCs w:val="22"/>
        </w:rPr>
      </w:pPr>
      <w:r w:rsidRPr="00AD4C3A">
        <w:rPr>
          <w:bCs/>
          <w:i/>
          <w:sz w:val="22"/>
          <w:szCs w:val="22"/>
        </w:rPr>
        <w:t>“… a) El presente caso debe resolverse a la luz del derecho constitucional a la vida y a la integridad física, así como con base a la sentencia de inconstitucionalidad 22-2007/42-2007/89-2007/96/2007 que declara terroristas a las pandillas.</w:t>
      </w:r>
    </w:p>
    <w:p w:rsidR="000F603E" w:rsidRPr="00AD4C3A" w:rsidRDefault="000F603E" w:rsidP="000F603E">
      <w:pPr>
        <w:pStyle w:val="Prrafodelista"/>
        <w:ind w:left="567"/>
        <w:jc w:val="both"/>
        <w:rPr>
          <w:bCs/>
          <w:i/>
          <w:sz w:val="22"/>
          <w:szCs w:val="22"/>
        </w:rPr>
      </w:pPr>
    </w:p>
    <w:p w:rsidR="000F603E" w:rsidRPr="00AD4C3A" w:rsidRDefault="000F603E" w:rsidP="000F603E">
      <w:pPr>
        <w:pStyle w:val="Prrafodelista"/>
        <w:ind w:left="567"/>
        <w:jc w:val="both"/>
        <w:rPr>
          <w:bCs/>
          <w:i/>
          <w:sz w:val="22"/>
          <w:szCs w:val="22"/>
        </w:rPr>
      </w:pPr>
      <w:r w:rsidRPr="00AD4C3A">
        <w:rPr>
          <w:bCs/>
          <w:i/>
          <w:sz w:val="22"/>
          <w:szCs w:val="22"/>
        </w:rPr>
        <w:t xml:space="preserve">b) La Gerencia de Electricidad desestima las declaraciones testimoniales juradas presentadas por personal de la distribuidora a pesar de que estas son pruebas documentales y fehacientes de las </w:t>
      </w:r>
      <w:r w:rsidRPr="00AD4C3A">
        <w:rPr>
          <w:bCs/>
          <w:i/>
          <w:sz w:val="22"/>
          <w:szCs w:val="22"/>
        </w:rPr>
        <w:lastRenderedPageBreak/>
        <w:t>agresiones recibidas por parte de los delincuentes, y que dichas pruebas están contempladas dentro del cuerpo legal salvadoreño como pruebas documentales.</w:t>
      </w:r>
    </w:p>
    <w:p w:rsidR="000F603E" w:rsidRPr="00AD4C3A" w:rsidRDefault="000F603E" w:rsidP="000F603E">
      <w:pPr>
        <w:pStyle w:val="Prrafodelista"/>
        <w:ind w:left="567"/>
        <w:jc w:val="both"/>
        <w:rPr>
          <w:bCs/>
          <w:i/>
          <w:sz w:val="22"/>
          <w:szCs w:val="22"/>
        </w:rPr>
      </w:pPr>
    </w:p>
    <w:p w:rsidR="000F603E" w:rsidRPr="00AD4C3A" w:rsidRDefault="000F603E" w:rsidP="000F603E">
      <w:pPr>
        <w:pStyle w:val="Prrafodelista"/>
        <w:ind w:left="567"/>
        <w:jc w:val="both"/>
        <w:rPr>
          <w:bCs/>
          <w:i/>
          <w:sz w:val="22"/>
          <w:szCs w:val="22"/>
        </w:rPr>
      </w:pPr>
      <w:r w:rsidRPr="00AD4C3A">
        <w:rPr>
          <w:bCs/>
          <w:i/>
          <w:sz w:val="22"/>
          <w:szCs w:val="22"/>
        </w:rPr>
        <w:t>c) La no realización de las actividades comerciales que comprenden la lectura y notificación por parte de la distribuidora es a consecuencia de acosamiento que existe por parte de pandilleros, agrupaciones, asociaciones y organizaciones de naturaleza criminal los cuales han manifestado en diversas ocasiones que atentarán en contra de la vida de nuestro personal, debido a estas amenazas y al analizar la situación crítica la cual está enfrentando nuestro país se hace imposible la realización de las actividades antes dichas. (…)</w:t>
      </w:r>
    </w:p>
    <w:p w:rsidR="000F603E" w:rsidRPr="00AD4C3A" w:rsidRDefault="000F603E" w:rsidP="000F603E">
      <w:pPr>
        <w:pStyle w:val="Prrafodelista"/>
        <w:ind w:left="567"/>
        <w:jc w:val="both"/>
        <w:rPr>
          <w:bCs/>
          <w:i/>
          <w:sz w:val="22"/>
          <w:szCs w:val="22"/>
        </w:rPr>
      </w:pPr>
    </w:p>
    <w:p w:rsidR="000F603E" w:rsidRPr="00AD4C3A" w:rsidRDefault="000F603E" w:rsidP="000F603E">
      <w:pPr>
        <w:pStyle w:val="Prrafodelista"/>
        <w:ind w:left="567"/>
        <w:jc w:val="both"/>
        <w:rPr>
          <w:bCs/>
          <w:i/>
          <w:sz w:val="22"/>
          <w:szCs w:val="22"/>
        </w:rPr>
      </w:pPr>
      <w:r w:rsidRPr="00AD4C3A">
        <w:rPr>
          <w:bCs/>
          <w:i/>
          <w:sz w:val="22"/>
          <w:szCs w:val="22"/>
        </w:rPr>
        <w:t xml:space="preserve"> d) Se ha demostrado que no existe duda de que el no haber efectuado la lectura de los medidores de energía en de la</w:t>
      </w:r>
      <w:r w:rsidR="002D4D5E">
        <w:rPr>
          <w:bCs/>
          <w:i/>
          <w:sz w:val="22"/>
          <w:szCs w:val="22"/>
        </w:rPr>
        <w:t xml:space="preserve"> *** </w:t>
      </w:r>
      <w:r w:rsidRPr="00AD4C3A">
        <w:rPr>
          <w:bCs/>
          <w:i/>
          <w:sz w:val="22"/>
          <w:szCs w:val="22"/>
        </w:rPr>
        <w:t>, se debió a la imposibilidad del libre tránsito del personal propio y subcontratado por la distribuidora para realizar estas actividades, debido al acoso y amenaza de pandillas que operan en el sector; lo manifestado está determinado por la Gerencia de Electricidad que puede enmarcarse como un caso de fuerza mayor, y de acuerdo a los argumentos plasmados en el presente escrito, tomando como base la doctrina jurídica, la legislación salvadoreña y el sentido común, existe prueba fehaciente de los hechos acaecidos y documentados en declaraciones juradas por parte de los trabajadores de la distribuidora y empresa subcontratada (…)”</w:t>
      </w:r>
    </w:p>
    <w:p w:rsidR="000F603E" w:rsidRPr="00AD4C3A" w:rsidRDefault="000F603E" w:rsidP="000F603E">
      <w:pPr>
        <w:jc w:val="both"/>
        <w:rPr>
          <w:sz w:val="22"/>
          <w:szCs w:val="22"/>
          <w:lang w:val="es-SV" w:eastAsia="es-SV"/>
        </w:rPr>
      </w:pPr>
    </w:p>
    <w:p w:rsidR="000F603E" w:rsidRPr="00AD4C3A" w:rsidRDefault="000F603E" w:rsidP="000F603E">
      <w:pPr>
        <w:pStyle w:val="Prrafodelista"/>
        <w:ind w:left="567"/>
        <w:jc w:val="both"/>
        <w:rPr>
          <w:sz w:val="22"/>
          <w:szCs w:val="22"/>
          <w:lang w:val="es-SV" w:eastAsia="es-SV"/>
        </w:rPr>
      </w:pPr>
      <w:r w:rsidRPr="00AD4C3A">
        <w:rPr>
          <w:sz w:val="22"/>
          <w:szCs w:val="22"/>
          <w:lang w:val="es-SV" w:eastAsia="es-SV"/>
        </w:rPr>
        <w:t>Por otra parte,</w:t>
      </w:r>
      <w:r w:rsidRPr="00AD4C3A">
        <w:rPr>
          <w:sz w:val="22"/>
          <w:szCs w:val="22"/>
          <w:lang w:val="es-MX" w:eastAsia="es-SV"/>
        </w:rPr>
        <w:t xml:space="preserve"> e</w:t>
      </w:r>
      <w:r w:rsidRPr="00AD4C3A">
        <w:rPr>
          <w:sz w:val="22"/>
          <w:szCs w:val="22"/>
          <w:lang w:val="es-SV" w:eastAsia="es-SV"/>
        </w:rPr>
        <w:t xml:space="preserve">l </w:t>
      </w:r>
      <w:proofErr w:type="gramStart"/>
      <w:r w:rsidRPr="00AD4C3A">
        <w:rPr>
          <w:sz w:val="22"/>
          <w:szCs w:val="22"/>
          <w:lang w:val="es-SV" w:eastAsia="es-SV"/>
        </w:rPr>
        <w:t xml:space="preserve">señor </w:t>
      </w:r>
      <w:r w:rsidR="002D4D5E">
        <w:rPr>
          <w:sz w:val="22"/>
          <w:szCs w:val="22"/>
          <w:lang w:val="es-SV" w:eastAsia="es-SV"/>
        </w:rPr>
        <w:t xml:space="preserve"> *</w:t>
      </w:r>
      <w:proofErr w:type="gramEnd"/>
      <w:r w:rsidR="002D4D5E">
        <w:rPr>
          <w:sz w:val="22"/>
          <w:szCs w:val="22"/>
          <w:lang w:val="es-SV" w:eastAsia="es-SV"/>
        </w:rPr>
        <w:t xml:space="preserve">*** </w:t>
      </w:r>
      <w:r w:rsidRPr="00AD4C3A">
        <w:rPr>
          <w:sz w:val="22"/>
          <w:szCs w:val="22"/>
          <w:lang w:val="es-SV" w:eastAsia="es-SV"/>
        </w:rPr>
        <w:t xml:space="preserve">presentó un escrito expresando que </w:t>
      </w:r>
      <w:r w:rsidR="00744052">
        <w:rPr>
          <w:sz w:val="22"/>
          <w:szCs w:val="22"/>
          <w:lang w:val="es-SV" w:eastAsia="es-SV"/>
        </w:rPr>
        <w:t>l</w:t>
      </w:r>
      <w:r w:rsidRPr="00AD4C3A">
        <w:rPr>
          <w:sz w:val="22"/>
          <w:szCs w:val="22"/>
          <w:lang w:val="es-SV" w:eastAsia="es-SV"/>
        </w:rPr>
        <w:t xml:space="preserve">a justificación del cobro excesivo y abusivo, se basó en la situación de peligrosidad que no fue comprobada, además consideró que la distribuidora no es la entidad idónea para calificar que la zona no es segura. </w:t>
      </w:r>
    </w:p>
    <w:p w:rsidR="000F603E" w:rsidRPr="00AD4C3A" w:rsidRDefault="000F603E" w:rsidP="000F603E">
      <w:pPr>
        <w:pStyle w:val="Prrafodelista"/>
        <w:ind w:left="567"/>
        <w:jc w:val="both"/>
        <w:rPr>
          <w:sz w:val="22"/>
          <w:szCs w:val="22"/>
          <w:lang w:val="es-SV" w:eastAsia="es-SV"/>
        </w:rPr>
      </w:pPr>
    </w:p>
    <w:p w:rsidR="000F603E" w:rsidRPr="00AD4C3A" w:rsidRDefault="000F603E" w:rsidP="000F603E">
      <w:pPr>
        <w:pStyle w:val="Prrafodelista"/>
        <w:ind w:left="567"/>
        <w:jc w:val="both"/>
        <w:rPr>
          <w:sz w:val="22"/>
          <w:szCs w:val="22"/>
          <w:lang w:val="es-SV" w:eastAsia="es-SV"/>
        </w:rPr>
      </w:pPr>
      <w:r w:rsidRPr="00AD4C3A">
        <w:rPr>
          <w:sz w:val="22"/>
          <w:szCs w:val="22"/>
          <w:lang w:val="es-SV" w:eastAsia="es-SV"/>
        </w:rPr>
        <w:t>Asimismo, el señor Ruiz Águila no se pronunció sobre el contenido del informe técnico.</w:t>
      </w:r>
    </w:p>
    <w:p w:rsidR="00342923" w:rsidRPr="00AD4C3A" w:rsidRDefault="00342923" w:rsidP="008C3FB7">
      <w:pPr>
        <w:tabs>
          <w:tab w:val="num" w:pos="142"/>
        </w:tabs>
        <w:ind w:left="426" w:hanging="426"/>
        <w:jc w:val="both"/>
        <w:rPr>
          <w:sz w:val="22"/>
          <w:szCs w:val="22"/>
        </w:rPr>
      </w:pPr>
    </w:p>
    <w:p w:rsidR="00843DCF" w:rsidRPr="00AD4C3A" w:rsidRDefault="000F603E" w:rsidP="000F603E">
      <w:pPr>
        <w:pStyle w:val="Prrafodelista"/>
        <w:numPr>
          <w:ilvl w:val="0"/>
          <w:numId w:val="20"/>
        </w:numPr>
        <w:ind w:left="567" w:hanging="567"/>
        <w:jc w:val="both"/>
        <w:rPr>
          <w:sz w:val="22"/>
          <w:szCs w:val="22"/>
        </w:rPr>
      </w:pPr>
      <w:r w:rsidRPr="00AD4C3A">
        <w:rPr>
          <w:sz w:val="22"/>
          <w:szCs w:val="22"/>
        </w:rPr>
        <w:t xml:space="preserve">En cumplimiento del acuerdo No. E-058-2019-CAU, el </w:t>
      </w:r>
      <w:r w:rsidR="003A539E" w:rsidRPr="00AD4C3A">
        <w:rPr>
          <w:sz w:val="22"/>
          <w:szCs w:val="22"/>
        </w:rPr>
        <w:t xml:space="preserve">área </w:t>
      </w:r>
      <w:r w:rsidRPr="00AD4C3A">
        <w:rPr>
          <w:sz w:val="22"/>
          <w:szCs w:val="22"/>
        </w:rPr>
        <w:t xml:space="preserve">jurídica del CAU de la SIGET </w:t>
      </w:r>
      <w:r w:rsidR="00843DCF" w:rsidRPr="00AD4C3A">
        <w:rPr>
          <w:sz w:val="22"/>
          <w:szCs w:val="22"/>
        </w:rPr>
        <w:t xml:space="preserve">rindió el informe jurídico No. </w:t>
      </w:r>
      <w:r w:rsidRPr="00AD4C3A">
        <w:rPr>
          <w:sz w:val="22"/>
          <w:szCs w:val="22"/>
        </w:rPr>
        <w:t>IJ-002-CAU-2019</w:t>
      </w:r>
      <w:r w:rsidR="00843DCF" w:rsidRPr="00AD4C3A">
        <w:rPr>
          <w:sz w:val="22"/>
          <w:szCs w:val="22"/>
        </w:rPr>
        <w:t>, concluyendo lo siguiente:</w:t>
      </w:r>
    </w:p>
    <w:p w:rsidR="001B131E" w:rsidRPr="00AD4C3A" w:rsidRDefault="001B131E" w:rsidP="008C3FB7">
      <w:pPr>
        <w:pStyle w:val="Prrafodelista"/>
        <w:ind w:left="426"/>
        <w:jc w:val="both"/>
        <w:rPr>
          <w:sz w:val="22"/>
          <w:szCs w:val="22"/>
        </w:rPr>
      </w:pPr>
    </w:p>
    <w:p w:rsidR="000F603E" w:rsidRPr="00AD4C3A" w:rsidRDefault="001B131E" w:rsidP="000F603E">
      <w:pPr>
        <w:ind w:left="567"/>
        <w:jc w:val="both"/>
        <w:rPr>
          <w:i/>
          <w:color w:val="111111"/>
          <w:sz w:val="22"/>
          <w:szCs w:val="22"/>
          <w:shd w:val="clear" w:color="auto" w:fill="FFFFFF"/>
          <w:lang w:val="es-SV" w:eastAsia="es-SV"/>
        </w:rPr>
      </w:pPr>
      <w:r w:rsidRPr="00AD4C3A">
        <w:rPr>
          <w:i/>
          <w:sz w:val="22"/>
          <w:szCs w:val="22"/>
        </w:rPr>
        <w:t>“(…)</w:t>
      </w:r>
      <w:r w:rsidR="000F603E" w:rsidRPr="00AD4C3A">
        <w:rPr>
          <w:i/>
          <w:sz w:val="22"/>
          <w:szCs w:val="22"/>
        </w:rPr>
        <w:t xml:space="preserve"> </w:t>
      </w:r>
      <w:r w:rsidR="000F603E" w:rsidRPr="00AD4C3A">
        <w:rPr>
          <w:i/>
          <w:color w:val="111111"/>
          <w:sz w:val="22"/>
          <w:szCs w:val="22"/>
          <w:shd w:val="clear" w:color="auto" w:fill="FFFFFF"/>
          <w:lang w:val="es-SV" w:eastAsia="es-SV"/>
        </w:rPr>
        <w:t>se recomienda no aceptar los argumentos o pruebas remitidas por la sociedad</w:t>
      </w:r>
      <w:r w:rsidR="002D4D5E">
        <w:rPr>
          <w:i/>
          <w:color w:val="111111"/>
          <w:sz w:val="22"/>
          <w:szCs w:val="22"/>
          <w:shd w:val="clear" w:color="auto" w:fill="FFFFFF"/>
          <w:lang w:val="es-SV" w:eastAsia="es-SV"/>
        </w:rPr>
        <w:t xml:space="preserve"> **</w:t>
      </w:r>
      <w:proofErr w:type="gramStart"/>
      <w:r w:rsidR="002D4D5E">
        <w:rPr>
          <w:i/>
          <w:color w:val="111111"/>
          <w:sz w:val="22"/>
          <w:szCs w:val="22"/>
          <w:shd w:val="clear" w:color="auto" w:fill="FFFFFF"/>
          <w:lang w:val="es-SV" w:eastAsia="es-SV"/>
        </w:rPr>
        <w:t xml:space="preserve">* </w:t>
      </w:r>
      <w:r w:rsidR="000F603E" w:rsidRPr="00AD4C3A">
        <w:rPr>
          <w:i/>
          <w:color w:val="111111"/>
          <w:sz w:val="22"/>
          <w:szCs w:val="22"/>
          <w:shd w:val="clear" w:color="auto" w:fill="FFFFFF"/>
          <w:lang w:val="es-SV" w:eastAsia="es-SV"/>
        </w:rPr>
        <w:t>,</w:t>
      </w:r>
      <w:proofErr w:type="gramEnd"/>
      <w:r w:rsidR="000F603E" w:rsidRPr="00AD4C3A">
        <w:rPr>
          <w:i/>
          <w:color w:val="111111"/>
          <w:sz w:val="22"/>
          <w:szCs w:val="22"/>
          <w:shd w:val="clear" w:color="auto" w:fill="FFFFFF"/>
          <w:lang w:val="es-SV" w:eastAsia="es-SV"/>
        </w:rPr>
        <w:t xml:space="preserve"> como causales constitutivas de fuerza mayor para no realizar la lectura en los suministros de energía eléctrica identificados NIC</w:t>
      </w:r>
      <w:r w:rsidR="002D4D5E">
        <w:rPr>
          <w:i/>
          <w:color w:val="111111"/>
          <w:sz w:val="22"/>
          <w:szCs w:val="22"/>
          <w:shd w:val="clear" w:color="auto" w:fill="FFFFFF"/>
          <w:lang w:val="es-SV" w:eastAsia="es-SV"/>
        </w:rPr>
        <w:t xml:space="preserve"> *** </w:t>
      </w:r>
      <w:r w:rsidR="000F603E" w:rsidRPr="00AD4C3A">
        <w:rPr>
          <w:i/>
          <w:color w:val="111111"/>
          <w:sz w:val="22"/>
          <w:szCs w:val="22"/>
          <w:shd w:val="clear" w:color="auto" w:fill="FFFFFF"/>
          <w:lang w:val="es-SV" w:eastAsia="es-SV"/>
        </w:rPr>
        <w:t>.</w:t>
      </w:r>
    </w:p>
    <w:p w:rsidR="000F603E" w:rsidRPr="00AD4C3A" w:rsidRDefault="000F603E" w:rsidP="000F603E">
      <w:pPr>
        <w:ind w:left="567"/>
        <w:jc w:val="both"/>
        <w:rPr>
          <w:i/>
          <w:color w:val="111111"/>
          <w:sz w:val="22"/>
          <w:szCs w:val="22"/>
          <w:shd w:val="clear" w:color="auto" w:fill="FFFFFF"/>
          <w:lang w:val="es-SV" w:eastAsia="es-SV"/>
        </w:rPr>
      </w:pPr>
    </w:p>
    <w:p w:rsidR="001B131E" w:rsidRPr="00AD4C3A" w:rsidRDefault="000F603E" w:rsidP="000F603E">
      <w:pPr>
        <w:ind w:left="567"/>
        <w:jc w:val="both"/>
        <w:rPr>
          <w:i/>
          <w:color w:val="111111"/>
          <w:sz w:val="22"/>
          <w:szCs w:val="22"/>
          <w:shd w:val="clear" w:color="auto" w:fill="FFFFFF"/>
          <w:lang w:val="es-SV" w:eastAsia="es-SV"/>
        </w:rPr>
      </w:pPr>
      <w:r w:rsidRPr="00AD4C3A">
        <w:rPr>
          <w:i/>
          <w:color w:val="111111"/>
          <w:sz w:val="22"/>
          <w:szCs w:val="22"/>
          <w:shd w:val="clear" w:color="auto" w:fill="FFFFFF"/>
          <w:lang w:val="es-SV" w:eastAsia="es-SV"/>
        </w:rPr>
        <w:t>Por lo anterior, la sociedad</w:t>
      </w:r>
      <w:r w:rsidR="002D4D5E">
        <w:rPr>
          <w:i/>
          <w:color w:val="111111"/>
          <w:sz w:val="22"/>
          <w:szCs w:val="22"/>
          <w:shd w:val="clear" w:color="auto" w:fill="FFFFFF"/>
          <w:lang w:val="es-SV" w:eastAsia="es-SV"/>
        </w:rPr>
        <w:t xml:space="preserve"> **</w:t>
      </w:r>
      <w:proofErr w:type="gramStart"/>
      <w:r w:rsidR="002D4D5E">
        <w:rPr>
          <w:i/>
          <w:color w:val="111111"/>
          <w:sz w:val="22"/>
          <w:szCs w:val="22"/>
          <w:shd w:val="clear" w:color="auto" w:fill="FFFFFF"/>
          <w:lang w:val="es-SV" w:eastAsia="es-SV"/>
        </w:rPr>
        <w:t xml:space="preserve">* </w:t>
      </w:r>
      <w:r w:rsidRPr="00AD4C3A">
        <w:rPr>
          <w:i/>
          <w:color w:val="111111"/>
          <w:sz w:val="22"/>
          <w:szCs w:val="22"/>
          <w:shd w:val="clear" w:color="auto" w:fill="FFFFFF"/>
          <w:lang w:val="es-SV" w:eastAsia="es-SV"/>
        </w:rPr>
        <w:t>.</w:t>
      </w:r>
      <w:proofErr w:type="gramEnd"/>
      <w:r w:rsidRPr="00AD4C3A">
        <w:rPr>
          <w:i/>
          <w:color w:val="111111"/>
          <w:sz w:val="22"/>
          <w:szCs w:val="22"/>
          <w:shd w:val="clear" w:color="auto" w:fill="FFFFFF"/>
          <w:lang w:val="es-SV" w:eastAsia="es-SV"/>
        </w:rPr>
        <w:t xml:space="preserve">, no debería ser exonerada del incumplimiento a la calidad del servicio comercial, de conformidad con el Procedimiento para la Determinación de Causales de Fuerza Mayor o Caso Fortuito, así como lo regulado en el artículo 29 de los Términos y Condiciones del Pliego Tarifario vigente, y el </w:t>
      </w:r>
      <w:r w:rsidRPr="00AD4C3A">
        <w:rPr>
          <w:i/>
          <w:color w:val="111111"/>
          <w:sz w:val="22"/>
          <w:szCs w:val="22"/>
          <w:shd w:val="clear" w:color="auto" w:fill="FFFFFF"/>
          <w:lang w:val="es-ES_tradnl" w:eastAsia="es-SV"/>
        </w:rPr>
        <w:t xml:space="preserve">Anexo A de la Metodología Para el Control de la Calidad del Servicio Comercial de las Normas de </w:t>
      </w:r>
      <w:r w:rsidRPr="00AD4C3A">
        <w:rPr>
          <w:i/>
          <w:color w:val="111111"/>
          <w:sz w:val="22"/>
          <w:szCs w:val="22"/>
          <w:shd w:val="clear" w:color="auto" w:fill="FFFFFF"/>
          <w:lang w:val="es-SV" w:eastAsia="es-SV"/>
        </w:rPr>
        <w:t>Calidad del Servicio de los Sistemas de Distribución.</w:t>
      </w:r>
      <w:r w:rsidR="003050FD" w:rsidRPr="00AD4C3A">
        <w:rPr>
          <w:i/>
          <w:color w:val="111111"/>
          <w:sz w:val="22"/>
          <w:szCs w:val="22"/>
          <w:shd w:val="clear" w:color="auto" w:fill="FFFFFF"/>
          <w:lang w:val="es-SV" w:eastAsia="es-SV"/>
        </w:rPr>
        <w:t xml:space="preserve"> </w:t>
      </w:r>
      <w:r w:rsidR="001B131E" w:rsidRPr="00AD4C3A">
        <w:rPr>
          <w:i/>
          <w:sz w:val="22"/>
          <w:szCs w:val="22"/>
        </w:rPr>
        <w:t>(…)”</w:t>
      </w:r>
    </w:p>
    <w:p w:rsidR="003051F2" w:rsidRPr="00AD4C3A" w:rsidRDefault="003051F2" w:rsidP="008C3FB7">
      <w:pPr>
        <w:ind w:left="567"/>
        <w:jc w:val="both"/>
        <w:rPr>
          <w:i/>
          <w:sz w:val="22"/>
          <w:szCs w:val="22"/>
        </w:rPr>
      </w:pPr>
    </w:p>
    <w:p w:rsidR="00A53318" w:rsidRPr="00AD4C3A" w:rsidRDefault="00A53318" w:rsidP="009A54EA">
      <w:pPr>
        <w:pStyle w:val="Prrafodelista"/>
        <w:numPr>
          <w:ilvl w:val="0"/>
          <w:numId w:val="20"/>
        </w:numPr>
        <w:ind w:left="567" w:hanging="567"/>
        <w:jc w:val="both"/>
        <w:rPr>
          <w:i/>
          <w:sz w:val="22"/>
          <w:szCs w:val="22"/>
        </w:rPr>
      </w:pPr>
      <w:r w:rsidRPr="00AD4C3A">
        <w:rPr>
          <w:sz w:val="22"/>
          <w:szCs w:val="22"/>
        </w:rPr>
        <w:t>Con base en los antecedentes expuestos, esta Superintendencia considera procedente realizar las valoraciones siguientes:</w:t>
      </w:r>
    </w:p>
    <w:p w:rsidR="00A53318" w:rsidRPr="00AD4C3A" w:rsidRDefault="00A53318" w:rsidP="008C3FB7">
      <w:pPr>
        <w:pStyle w:val="Prrafodelista"/>
        <w:ind w:left="567"/>
        <w:jc w:val="both"/>
        <w:rPr>
          <w:sz w:val="22"/>
          <w:szCs w:val="22"/>
        </w:rPr>
      </w:pPr>
    </w:p>
    <w:p w:rsidR="00A53318" w:rsidRPr="00AD4C3A" w:rsidRDefault="00A53318" w:rsidP="001C2B37">
      <w:pPr>
        <w:pStyle w:val="Prrafodelista"/>
        <w:numPr>
          <w:ilvl w:val="3"/>
          <w:numId w:val="4"/>
        </w:numPr>
        <w:tabs>
          <w:tab w:val="left" w:pos="993"/>
        </w:tabs>
        <w:ind w:left="567" w:firstLine="0"/>
        <w:jc w:val="both"/>
        <w:rPr>
          <w:sz w:val="22"/>
          <w:szCs w:val="22"/>
        </w:rPr>
      </w:pPr>
      <w:r w:rsidRPr="00AD4C3A">
        <w:rPr>
          <w:sz w:val="22"/>
          <w:szCs w:val="22"/>
        </w:rPr>
        <w:t>MARCO NORMATIVO</w:t>
      </w:r>
    </w:p>
    <w:p w:rsidR="00A53318" w:rsidRPr="00AD4C3A" w:rsidRDefault="00A53318" w:rsidP="008C3FB7">
      <w:pPr>
        <w:ind w:left="851"/>
        <w:jc w:val="both"/>
        <w:rPr>
          <w:sz w:val="22"/>
          <w:szCs w:val="22"/>
          <w:u w:val="single"/>
        </w:rPr>
      </w:pPr>
    </w:p>
    <w:p w:rsidR="00A53318" w:rsidRPr="00AD4C3A" w:rsidRDefault="00A53318" w:rsidP="00A17768">
      <w:pPr>
        <w:pStyle w:val="Prrafodelista"/>
        <w:numPr>
          <w:ilvl w:val="0"/>
          <w:numId w:val="9"/>
        </w:numPr>
        <w:tabs>
          <w:tab w:val="left" w:pos="993"/>
        </w:tabs>
        <w:ind w:left="993" w:hanging="426"/>
        <w:jc w:val="both"/>
        <w:rPr>
          <w:sz w:val="22"/>
          <w:szCs w:val="22"/>
        </w:rPr>
      </w:pPr>
      <w:r w:rsidRPr="00AD4C3A">
        <w:rPr>
          <w:sz w:val="22"/>
          <w:szCs w:val="22"/>
        </w:rPr>
        <w:t>Ley de Creación de la SIGET, Ley General de Electricidad y Reglamento de la Ley General de Electricidad</w:t>
      </w:r>
    </w:p>
    <w:p w:rsidR="00A53318" w:rsidRPr="00AD4C3A" w:rsidRDefault="00A53318" w:rsidP="008C3FB7">
      <w:pPr>
        <w:pStyle w:val="NormalWeb"/>
        <w:spacing w:before="0" w:beforeAutospacing="0" w:after="0" w:afterAutospacing="0"/>
        <w:ind w:left="567"/>
        <w:jc w:val="both"/>
        <w:rPr>
          <w:rFonts w:ascii="Times New Roman" w:hAnsi="Times New Roman" w:cs="Times New Roman"/>
          <w:sz w:val="22"/>
          <w:szCs w:val="22"/>
        </w:rPr>
      </w:pPr>
    </w:p>
    <w:p w:rsidR="00A53318" w:rsidRPr="00AD4C3A" w:rsidRDefault="00A53318" w:rsidP="008C3FB7">
      <w:pPr>
        <w:autoSpaceDE w:val="0"/>
        <w:autoSpaceDN w:val="0"/>
        <w:adjustRightInd w:val="0"/>
        <w:ind w:left="567"/>
        <w:jc w:val="both"/>
        <w:rPr>
          <w:iCs/>
          <w:sz w:val="22"/>
          <w:szCs w:val="22"/>
        </w:rPr>
      </w:pPr>
      <w:r w:rsidRPr="00AD4C3A">
        <w:rPr>
          <w:sz w:val="22"/>
          <w:szCs w:val="22"/>
        </w:rPr>
        <w:lastRenderedPageBreak/>
        <w:t xml:space="preserve">El artículo 4 de la Ley de Creación de la SIGET, establece que esta Institución es </w:t>
      </w:r>
      <w:r w:rsidRPr="00AD4C3A">
        <w:rPr>
          <w:iCs/>
          <w:sz w:val="22"/>
          <w:szCs w:val="22"/>
        </w:rPr>
        <w:t>la entidad competente para aplicar las normas contenidas en tratados internacionales sobre</w:t>
      </w:r>
      <w:r w:rsidRPr="00AD4C3A">
        <w:rPr>
          <w:sz w:val="22"/>
          <w:szCs w:val="22"/>
        </w:rPr>
        <w:t xml:space="preserve"> </w:t>
      </w:r>
      <w:r w:rsidRPr="00AD4C3A">
        <w:rPr>
          <w:iCs/>
          <w:sz w:val="22"/>
          <w:szCs w:val="22"/>
        </w:rPr>
        <w:t>electricidad y telecomunicaciones vigentes en El Salvador, en las leyes que rigen los sectores de</w:t>
      </w:r>
      <w:r w:rsidRPr="00AD4C3A">
        <w:rPr>
          <w:sz w:val="22"/>
          <w:szCs w:val="22"/>
        </w:rPr>
        <w:t xml:space="preserve"> </w:t>
      </w:r>
      <w:r w:rsidRPr="00AD4C3A">
        <w:rPr>
          <w:iCs/>
          <w:sz w:val="22"/>
          <w:szCs w:val="22"/>
        </w:rPr>
        <w:t>Electricidad y de Telecomunicaciones y sus reglamentos, así como para conocer del</w:t>
      </w:r>
      <w:r w:rsidRPr="00AD4C3A">
        <w:rPr>
          <w:sz w:val="22"/>
          <w:szCs w:val="22"/>
        </w:rPr>
        <w:t xml:space="preserve"> </w:t>
      </w:r>
      <w:r w:rsidRPr="00AD4C3A">
        <w:rPr>
          <w:iCs/>
          <w:sz w:val="22"/>
          <w:szCs w:val="22"/>
        </w:rPr>
        <w:t>incumplimiento de las mismas.</w:t>
      </w:r>
    </w:p>
    <w:p w:rsidR="00A53318" w:rsidRPr="00AD4C3A" w:rsidRDefault="00A53318" w:rsidP="008C3FB7">
      <w:pPr>
        <w:ind w:left="567"/>
        <w:jc w:val="both"/>
        <w:rPr>
          <w:sz w:val="22"/>
          <w:szCs w:val="22"/>
        </w:rPr>
      </w:pPr>
    </w:p>
    <w:p w:rsidR="00A53318" w:rsidRPr="00AD4C3A" w:rsidRDefault="00A53318" w:rsidP="008C3FB7">
      <w:pPr>
        <w:ind w:left="567"/>
        <w:jc w:val="both"/>
        <w:rPr>
          <w:sz w:val="22"/>
          <w:szCs w:val="22"/>
        </w:rPr>
      </w:pPr>
      <w:r w:rsidRPr="00AD4C3A">
        <w:rPr>
          <w:sz w:val="22"/>
          <w:szCs w:val="22"/>
        </w:rPr>
        <w:t xml:space="preserve">El artículo 1 de la Ley General de Electricidad –LGE-, establece que dicha Ley norma las actividades de distribución y comercialización de energía eléctrica. El artículo 2 letras a), d) y e) de la LGE, dispone que la aplicación de los preceptos contenidos en tal Ley, tomará en cuenta los objetivos siguientes: </w:t>
      </w:r>
    </w:p>
    <w:p w:rsidR="00A53318" w:rsidRPr="00AD4C3A" w:rsidRDefault="00A53318" w:rsidP="008C3FB7">
      <w:pPr>
        <w:tabs>
          <w:tab w:val="left" w:pos="0"/>
        </w:tabs>
        <w:ind w:left="567"/>
        <w:jc w:val="both"/>
        <w:rPr>
          <w:sz w:val="22"/>
          <w:szCs w:val="22"/>
        </w:rPr>
      </w:pPr>
    </w:p>
    <w:p w:rsidR="00A53318" w:rsidRPr="00AD4C3A" w:rsidRDefault="00A53318" w:rsidP="008C3FB7">
      <w:pPr>
        <w:pStyle w:val="Prrafodelista"/>
        <w:numPr>
          <w:ilvl w:val="0"/>
          <w:numId w:val="10"/>
        </w:numPr>
        <w:tabs>
          <w:tab w:val="left" w:pos="0"/>
        </w:tabs>
        <w:ind w:left="709" w:hanging="142"/>
        <w:jc w:val="both"/>
        <w:rPr>
          <w:sz w:val="22"/>
          <w:szCs w:val="22"/>
        </w:rPr>
      </w:pPr>
      <w:r w:rsidRPr="00AD4C3A">
        <w:rPr>
          <w:sz w:val="22"/>
          <w:szCs w:val="22"/>
        </w:rPr>
        <w:t xml:space="preserve">Desarrollo de un mercado competitivo en la actividad de comercialización de energía eléctrica; </w:t>
      </w:r>
    </w:p>
    <w:p w:rsidR="00A53318" w:rsidRPr="00AD4C3A" w:rsidRDefault="00A53318" w:rsidP="008C3FB7">
      <w:pPr>
        <w:pStyle w:val="Prrafodelista"/>
        <w:numPr>
          <w:ilvl w:val="0"/>
          <w:numId w:val="10"/>
        </w:numPr>
        <w:tabs>
          <w:tab w:val="left" w:pos="0"/>
        </w:tabs>
        <w:ind w:left="567" w:firstLine="0"/>
        <w:jc w:val="both"/>
        <w:rPr>
          <w:sz w:val="22"/>
          <w:szCs w:val="22"/>
        </w:rPr>
      </w:pPr>
      <w:r w:rsidRPr="00AD4C3A">
        <w:rPr>
          <w:sz w:val="22"/>
          <w:szCs w:val="22"/>
        </w:rPr>
        <w:t xml:space="preserve">Fomentar el acceso al suministro de energía eléctrica para todos los sectores de la población; y, </w:t>
      </w:r>
    </w:p>
    <w:p w:rsidR="00A53318" w:rsidRPr="00AD4C3A" w:rsidRDefault="00A53318" w:rsidP="00752BF3">
      <w:pPr>
        <w:pStyle w:val="Prrafodelista"/>
        <w:numPr>
          <w:ilvl w:val="0"/>
          <w:numId w:val="10"/>
        </w:numPr>
        <w:tabs>
          <w:tab w:val="left" w:pos="0"/>
        </w:tabs>
        <w:ind w:left="709" w:hanging="142"/>
        <w:jc w:val="both"/>
        <w:rPr>
          <w:sz w:val="22"/>
          <w:szCs w:val="22"/>
        </w:rPr>
      </w:pPr>
      <w:r w:rsidRPr="00AD4C3A">
        <w:rPr>
          <w:sz w:val="22"/>
          <w:szCs w:val="22"/>
        </w:rPr>
        <w:t xml:space="preserve">Protección de los derechos de los usuarios y de todas las entidades que desarrollan actividades en el sector. </w:t>
      </w:r>
    </w:p>
    <w:p w:rsidR="00A53318" w:rsidRPr="00AD4C3A" w:rsidRDefault="00A53318" w:rsidP="008C3FB7">
      <w:pPr>
        <w:tabs>
          <w:tab w:val="left" w:pos="0"/>
        </w:tabs>
        <w:ind w:left="567"/>
        <w:jc w:val="both"/>
        <w:rPr>
          <w:sz w:val="22"/>
          <w:szCs w:val="22"/>
        </w:rPr>
      </w:pPr>
    </w:p>
    <w:p w:rsidR="00A53318" w:rsidRPr="00AD4C3A" w:rsidRDefault="00A53318" w:rsidP="008C3FB7">
      <w:pPr>
        <w:tabs>
          <w:tab w:val="left" w:pos="142"/>
        </w:tabs>
        <w:ind w:left="567"/>
        <w:jc w:val="both"/>
        <w:rPr>
          <w:snapToGrid w:val="0"/>
          <w:kern w:val="16"/>
          <w:sz w:val="22"/>
          <w:szCs w:val="22"/>
        </w:rPr>
      </w:pPr>
      <w:r w:rsidRPr="00AD4C3A">
        <w:rPr>
          <w:sz w:val="22"/>
          <w:szCs w:val="22"/>
        </w:rPr>
        <w:t>El artículo 3 de la LGE, define a esta Institución</w:t>
      </w:r>
      <w:r w:rsidRPr="00AD4C3A">
        <w:rPr>
          <w:snapToGrid w:val="0"/>
          <w:kern w:val="16"/>
          <w:sz w:val="22"/>
          <w:szCs w:val="22"/>
        </w:rPr>
        <w:t xml:space="preserve"> como la responsable del cumplimiento de las normas de carácter general aplicables a las actividades del sector eléctrico.</w:t>
      </w:r>
    </w:p>
    <w:p w:rsidR="00A53318" w:rsidRPr="00AD4C3A" w:rsidRDefault="00A53318" w:rsidP="008C3FB7">
      <w:pPr>
        <w:pStyle w:val="NormalWeb"/>
        <w:tabs>
          <w:tab w:val="left" w:pos="142"/>
        </w:tabs>
        <w:spacing w:before="0" w:beforeAutospacing="0" w:after="0" w:afterAutospacing="0"/>
        <w:ind w:left="567" w:firstLine="283"/>
        <w:jc w:val="both"/>
        <w:rPr>
          <w:rFonts w:ascii="Times New Roman" w:hAnsi="Times New Roman" w:cs="Times New Roman"/>
          <w:sz w:val="22"/>
          <w:szCs w:val="22"/>
        </w:rPr>
      </w:pPr>
    </w:p>
    <w:p w:rsidR="00A53318" w:rsidRPr="00AD4C3A" w:rsidRDefault="00A53318" w:rsidP="008C3FB7">
      <w:pPr>
        <w:pStyle w:val="NormalWeb"/>
        <w:tabs>
          <w:tab w:val="left" w:pos="142"/>
        </w:tabs>
        <w:spacing w:before="0" w:beforeAutospacing="0" w:after="0" w:afterAutospacing="0"/>
        <w:ind w:left="567"/>
        <w:jc w:val="both"/>
        <w:rPr>
          <w:rFonts w:ascii="Times New Roman" w:hAnsi="Times New Roman" w:cs="Times New Roman"/>
          <w:sz w:val="22"/>
          <w:szCs w:val="22"/>
        </w:rPr>
      </w:pPr>
      <w:r w:rsidRPr="00AD4C3A">
        <w:rPr>
          <w:rFonts w:ascii="Times New Roman" w:hAnsi="Times New Roman" w:cs="Times New Roman"/>
          <w:sz w:val="22"/>
          <w:szCs w:val="22"/>
        </w:rPr>
        <w:t>El artículo 95 del Reglamento de la Ley General de Electricidad, estipula lo siguiente:</w:t>
      </w:r>
    </w:p>
    <w:p w:rsidR="00A53318" w:rsidRPr="00AD4C3A" w:rsidRDefault="00A53318" w:rsidP="008C3FB7">
      <w:pPr>
        <w:pStyle w:val="NormalWeb"/>
        <w:tabs>
          <w:tab w:val="left" w:pos="142"/>
        </w:tabs>
        <w:spacing w:before="0" w:beforeAutospacing="0" w:after="0" w:afterAutospacing="0"/>
        <w:ind w:left="567"/>
        <w:jc w:val="both"/>
        <w:rPr>
          <w:rFonts w:ascii="Times New Roman" w:hAnsi="Times New Roman" w:cs="Times New Roman"/>
          <w:sz w:val="22"/>
          <w:szCs w:val="22"/>
        </w:rPr>
      </w:pPr>
      <w:r w:rsidRPr="00AD4C3A">
        <w:rPr>
          <w:rFonts w:ascii="Times New Roman" w:hAnsi="Times New Roman" w:cs="Times New Roman"/>
          <w:sz w:val="22"/>
          <w:szCs w:val="22"/>
        </w:rPr>
        <w:tab/>
      </w:r>
    </w:p>
    <w:p w:rsidR="00A53318" w:rsidRPr="00AD4C3A" w:rsidRDefault="00A53318" w:rsidP="008C3FB7">
      <w:pPr>
        <w:pStyle w:val="NormalWeb"/>
        <w:tabs>
          <w:tab w:val="left" w:pos="142"/>
          <w:tab w:val="left" w:pos="284"/>
        </w:tabs>
        <w:spacing w:before="0" w:beforeAutospacing="0" w:after="0" w:afterAutospacing="0"/>
        <w:ind w:left="567"/>
        <w:jc w:val="both"/>
        <w:rPr>
          <w:rFonts w:ascii="Times New Roman" w:hAnsi="Times New Roman" w:cs="Times New Roman"/>
          <w:i/>
          <w:sz w:val="22"/>
          <w:szCs w:val="22"/>
          <w:lang w:val="es-MX"/>
        </w:rPr>
      </w:pPr>
      <w:r w:rsidRPr="00AD4C3A">
        <w:rPr>
          <w:rFonts w:ascii="Times New Roman" w:hAnsi="Times New Roman" w:cs="Times New Roman"/>
          <w:i/>
          <w:sz w:val="22"/>
          <w:szCs w:val="22"/>
        </w:rPr>
        <w:t>““</w:t>
      </w:r>
      <w:r w:rsidRPr="00AD4C3A">
        <w:rPr>
          <w:rFonts w:ascii="Times New Roman" w:hAnsi="Times New Roman" w:cs="Times New Roman"/>
          <w:i/>
          <w:sz w:val="22"/>
          <w:szCs w:val="22"/>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rsidR="00A53318" w:rsidRPr="00AD4C3A" w:rsidRDefault="00A53318" w:rsidP="008C3FB7">
      <w:pPr>
        <w:pStyle w:val="NormalWeb"/>
        <w:tabs>
          <w:tab w:val="left" w:pos="142"/>
        </w:tabs>
        <w:spacing w:before="0" w:beforeAutospacing="0" w:after="0" w:afterAutospacing="0"/>
        <w:ind w:left="284"/>
        <w:jc w:val="both"/>
        <w:rPr>
          <w:rFonts w:ascii="Times New Roman" w:hAnsi="Times New Roman" w:cs="Times New Roman"/>
          <w:i/>
          <w:sz w:val="22"/>
          <w:szCs w:val="22"/>
        </w:rPr>
      </w:pPr>
    </w:p>
    <w:p w:rsidR="00A53318" w:rsidRPr="00AD4C3A" w:rsidRDefault="00A53318" w:rsidP="008C3FB7">
      <w:pPr>
        <w:pStyle w:val="NormalWeb"/>
        <w:tabs>
          <w:tab w:val="left" w:pos="142"/>
        </w:tabs>
        <w:spacing w:before="0" w:beforeAutospacing="0" w:after="0" w:afterAutospacing="0"/>
        <w:ind w:left="567"/>
        <w:jc w:val="both"/>
        <w:rPr>
          <w:rFonts w:ascii="Times New Roman" w:hAnsi="Times New Roman" w:cs="Times New Roman"/>
          <w:i/>
          <w:sz w:val="22"/>
          <w:szCs w:val="22"/>
          <w:lang w:val="es-MX"/>
        </w:rPr>
      </w:pPr>
      <w:r w:rsidRPr="00AD4C3A">
        <w:rPr>
          <w:rFonts w:ascii="Times New Roman" w:hAnsi="Times New Roman" w:cs="Times New Roman"/>
          <w:i/>
          <w:sz w:val="22"/>
          <w:szCs w:val="22"/>
          <w:lang w:val="es-MX"/>
        </w:rPr>
        <w:t>Estas compensaciones podrán efectuarse entregando en efectivo la cantidad correspondiente, o con energía por un valor equivalente, en los documentos de cobro subsiguientes, cuyo número no podrá ser superior a tres.”””</w:t>
      </w:r>
    </w:p>
    <w:p w:rsidR="00A53318" w:rsidRPr="00AD4C3A" w:rsidRDefault="00A53318" w:rsidP="008C3FB7">
      <w:pPr>
        <w:ind w:left="567"/>
        <w:jc w:val="both"/>
        <w:rPr>
          <w:snapToGrid w:val="0"/>
          <w:kern w:val="16"/>
          <w:sz w:val="22"/>
          <w:szCs w:val="22"/>
        </w:rPr>
      </w:pPr>
    </w:p>
    <w:p w:rsidR="00A53318" w:rsidRPr="00AD4C3A" w:rsidRDefault="00A53318" w:rsidP="00752BF3">
      <w:pPr>
        <w:pStyle w:val="Prrafodelista"/>
        <w:numPr>
          <w:ilvl w:val="0"/>
          <w:numId w:val="9"/>
        </w:numPr>
        <w:tabs>
          <w:tab w:val="left" w:pos="993"/>
        </w:tabs>
        <w:ind w:left="993" w:hanging="426"/>
        <w:jc w:val="both"/>
        <w:rPr>
          <w:snapToGrid w:val="0"/>
          <w:kern w:val="16"/>
          <w:sz w:val="22"/>
          <w:szCs w:val="22"/>
        </w:rPr>
      </w:pPr>
      <w:r w:rsidRPr="00AD4C3A">
        <w:rPr>
          <w:sz w:val="22"/>
          <w:szCs w:val="22"/>
        </w:rPr>
        <w:t xml:space="preserve">Términos y Condiciones </w:t>
      </w:r>
      <w:r w:rsidR="008F6E6F" w:rsidRPr="00AD4C3A">
        <w:rPr>
          <w:sz w:val="22"/>
          <w:szCs w:val="22"/>
        </w:rPr>
        <w:t xml:space="preserve">al Consumidor Final </w:t>
      </w:r>
      <w:r w:rsidRPr="00AD4C3A">
        <w:rPr>
          <w:sz w:val="22"/>
          <w:szCs w:val="22"/>
        </w:rPr>
        <w:t>del Pliego Tarifario aplicable</w:t>
      </w:r>
      <w:r w:rsidR="001C2B37" w:rsidRPr="00AD4C3A">
        <w:rPr>
          <w:sz w:val="22"/>
          <w:szCs w:val="22"/>
        </w:rPr>
        <w:t xml:space="preserve"> a la distribuidora</w:t>
      </w:r>
    </w:p>
    <w:p w:rsidR="00A53318" w:rsidRPr="00AD4C3A" w:rsidRDefault="00A53318" w:rsidP="000A08FE">
      <w:pPr>
        <w:jc w:val="both"/>
        <w:rPr>
          <w:snapToGrid w:val="0"/>
          <w:kern w:val="16"/>
          <w:sz w:val="22"/>
          <w:szCs w:val="22"/>
        </w:rPr>
      </w:pPr>
    </w:p>
    <w:p w:rsidR="00A53318" w:rsidRPr="00AD4C3A" w:rsidRDefault="00A53318" w:rsidP="008C3FB7">
      <w:pPr>
        <w:ind w:left="567"/>
        <w:jc w:val="both"/>
        <w:rPr>
          <w:sz w:val="22"/>
          <w:szCs w:val="22"/>
        </w:rPr>
      </w:pPr>
      <w:r w:rsidRPr="00AD4C3A">
        <w:rPr>
          <w:sz w:val="22"/>
          <w:szCs w:val="22"/>
        </w:rPr>
        <w:t xml:space="preserve">En su artículo 29,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w:t>
      </w:r>
      <w:r w:rsidR="00A1472E" w:rsidRPr="00AD4C3A">
        <w:rPr>
          <w:sz w:val="22"/>
          <w:szCs w:val="22"/>
        </w:rPr>
        <w:t>lectura correspondiente</w:t>
      </w:r>
      <w:r w:rsidRPr="00AD4C3A">
        <w:rPr>
          <w:sz w:val="22"/>
          <w:szCs w:val="22"/>
        </w:rPr>
        <w:t xml:space="preserve">.     </w:t>
      </w:r>
    </w:p>
    <w:p w:rsidR="00A53318" w:rsidRPr="00AD4C3A" w:rsidRDefault="00A53318" w:rsidP="008C3FB7">
      <w:pPr>
        <w:ind w:left="567"/>
        <w:jc w:val="both"/>
        <w:rPr>
          <w:sz w:val="22"/>
          <w:szCs w:val="22"/>
        </w:rPr>
      </w:pPr>
    </w:p>
    <w:p w:rsidR="00A53318" w:rsidRPr="00AD4C3A" w:rsidRDefault="00A53318" w:rsidP="008C3FB7">
      <w:pPr>
        <w:ind w:left="567"/>
        <w:jc w:val="both"/>
        <w:rPr>
          <w:sz w:val="22"/>
          <w:szCs w:val="22"/>
        </w:rPr>
      </w:pPr>
      <w:r w:rsidRPr="00AD4C3A">
        <w:rPr>
          <w:sz w:val="22"/>
          <w:szCs w:val="22"/>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rsidR="00A53318" w:rsidRPr="00AD4C3A" w:rsidRDefault="00A53318" w:rsidP="008C3FB7">
      <w:pPr>
        <w:ind w:left="567"/>
        <w:jc w:val="both"/>
        <w:rPr>
          <w:sz w:val="22"/>
          <w:szCs w:val="22"/>
        </w:rPr>
      </w:pPr>
    </w:p>
    <w:p w:rsidR="00A53318" w:rsidRPr="00AD4C3A" w:rsidRDefault="00A53318" w:rsidP="008C3FB7">
      <w:pPr>
        <w:ind w:left="567"/>
        <w:jc w:val="both"/>
        <w:rPr>
          <w:sz w:val="22"/>
          <w:szCs w:val="22"/>
        </w:rPr>
      </w:pPr>
      <w:r w:rsidRPr="00AD4C3A">
        <w:rPr>
          <w:sz w:val="22"/>
          <w:szCs w:val="22"/>
        </w:rPr>
        <w:t>El Distribuidor no podrá acumular registros de consumos mensuales de energía eléctrica en un usuario final por no haber efectuado las lecturas correspondientes, a excepción de casos fortuitos o de fuerza mayor.</w:t>
      </w:r>
    </w:p>
    <w:p w:rsidR="00A53318" w:rsidRPr="00AD4C3A" w:rsidRDefault="00A53318" w:rsidP="008C3FB7">
      <w:pPr>
        <w:ind w:left="567"/>
        <w:jc w:val="both"/>
        <w:rPr>
          <w:sz w:val="22"/>
          <w:szCs w:val="22"/>
        </w:rPr>
      </w:pPr>
    </w:p>
    <w:p w:rsidR="00A53318" w:rsidRPr="00AD4C3A" w:rsidRDefault="00A53318" w:rsidP="008C3FB7">
      <w:pPr>
        <w:ind w:left="567"/>
        <w:jc w:val="both"/>
        <w:rPr>
          <w:sz w:val="22"/>
          <w:szCs w:val="22"/>
        </w:rPr>
      </w:pPr>
      <w:r w:rsidRPr="00AD4C3A">
        <w:rPr>
          <w:sz w:val="22"/>
          <w:szCs w:val="22"/>
        </w:rPr>
        <w:t xml:space="preserve">El Distribuidor deberá establecer en los documentos de cobro respectivos los montos a pagar por el suministro de energía eléctrica y otros importes, en dólares de los Estados Unidos </w:t>
      </w:r>
      <w:r w:rsidR="00A1472E" w:rsidRPr="00AD4C3A">
        <w:rPr>
          <w:sz w:val="22"/>
          <w:szCs w:val="22"/>
        </w:rPr>
        <w:t>de América</w:t>
      </w:r>
      <w:r w:rsidRPr="00AD4C3A">
        <w:rPr>
          <w:sz w:val="22"/>
          <w:szCs w:val="22"/>
        </w:rPr>
        <w:t xml:space="preserve">. </w:t>
      </w:r>
    </w:p>
    <w:p w:rsidR="00A53318" w:rsidRPr="00AD4C3A" w:rsidRDefault="00A53318" w:rsidP="008C3FB7">
      <w:pPr>
        <w:jc w:val="both"/>
        <w:rPr>
          <w:sz w:val="22"/>
          <w:szCs w:val="22"/>
        </w:rPr>
      </w:pPr>
    </w:p>
    <w:p w:rsidR="00A53318" w:rsidRPr="00AD4C3A" w:rsidRDefault="00A53318" w:rsidP="008C3FB7">
      <w:pPr>
        <w:pStyle w:val="Prrafodelista"/>
        <w:numPr>
          <w:ilvl w:val="0"/>
          <w:numId w:val="9"/>
        </w:numPr>
        <w:tabs>
          <w:tab w:val="left" w:pos="567"/>
          <w:tab w:val="left" w:pos="851"/>
        </w:tabs>
        <w:ind w:left="567" w:firstLine="0"/>
        <w:jc w:val="both"/>
        <w:rPr>
          <w:color w:val="000000" w:themeColor="text1"/>
          <w:sz w:val="22"/>
          <w:szCs w:val="22"/>
        </w:rPr>
      </w:pPr>
      <w:r w:rsidRPr="00AD4C3A">
        <w:rPr>
          <w:color w:val="000000" w:themeColor="text1"/>
          <w:sz w:val="22"/>
          <w:szCs w:val="22"/>
        </w:rPr>
        <w:t>Procedimiento para la Determinación de Causales de Casos Fortuitos y Fuerza Mayor</w:t>
      </w:r>
    </w:p>
    <w:p w:rsidR="00A53318" w:rsidRPr="00AD4C3A" w:rsidRDefault="00A53318" w:rsidP="008C3FB7">
      <w:pPr>
        <w:pStyle w:val="Prrafodelista"/>
        <w:ind w:left="1068"/>
        <w:jc w:val="both"/>
        <w:rPr>
          <w:color w:val="000000" w:themeColor="text1"/>
          <w:sz w:val="22"/>
          <w:szCs w:val="22"/>
        </w:rPr>
      </w:pPr>
    </w:p>
    <w:p w:rsidR="00A53318" w:rsidRPr="00AD4C3A" w:rsidRDefault="00A53318" w:rsidP="008C3FB7">
      <w:pPr>
        <w:ind w:left="567"/>
        <w:jc w:val="both"/>
        <w:rPr>
          <w:sz w:val="22"/>
          <w:szCs w:val="22"/>
        </w:rPr>
      </w:pPr>
      <w:r w:rsidRPr="00AD4C3A">
        <w:rPr>
          <w:sz w:val="22"/>
          <w:szCs w:val="22"/>
        </w:rPr>
        <w:t>Dicho Procedimiento, emit</w:t>
      </w:r>
      <w:r w:rsidR="004A6F1A" w:rsidRPr="00AD4C3A">
        <w:rPr>
          <w:sz w:val="22"/>
          <w:szCs w:val="22"/>
        </w:rPr>
        <w:t>ido por la SIGET por medio del a</w:t>
      </w:r>
      <w:r w:rsidRPr="00AD4C3A">
        <w:rPr>
          <w:sz w:val="22"/>
          <w:szCs w:val="22"/>
        </w:rPr>
        <w:t>cuerdo No. 223-E-2003, contiene los criterios de evaluación que deben seguirse para determinar si es procedente aprobar las solicitudes de excepción por presunta ocurrencia de casos fortuitos o de fuerza mayor, indicando en su numeral 2.1., lo siguiente:</w:t>
      </w:r>
    </w:p>
    <w:p w:rsidR="00A53318" w:rsidRPr="00AD4C3A" w:rsidRDefault="00493139" w:rsidP="008C3FB7">
      <w:pPr>
        <w:ind w:left="567"/>
        <w:jc w:val="both"/>
        <w:rPr>
          <w:i/>
          <w:sz w:val="22"/>
          <w:szCs w:val="22"/>
        </w:rPr>
      </w:pPr>
      <w:r w:rsidRPr="00AD4C3A">
        <w:rPr>
          <w:i/>
          <w:sz w:val="22"/>
          <w:szCs w:val="22"/>
        </w:rPr>
        <w:t>“</w:t>
      </w:r>
      <w:r w:rsidR="00A53318" w:rsidRPr="00AD4C3A">
        <w:rPr>
          <w:i/>
          <w:sz w:val="22"/>
          <w:szCs w:val="22"/>
        </w:rPr>
        <w:t>(…)</w:t>
      </w:r>
    </w:p>
    <w:p w:rsidR="00A53318" w:rsidRPr="00AD4C3A" w:rsidRDefault="00A53318" w:rsidP="008C3FB7">
      <w:pPr>
        <w:ind w:left="567" w:firstLine="142"/>
        <w:jc w:val="both"/>
        <w:rPr>
          <w:i/>
          <w:sz w:val="22"/>
          <w:szCs w:val="22"/>
        </w:rPr>
      </w:pPr>
      <w:r w:rsidRPr="00AD4C3A">
        <w:rPr>
          <w:i/>
          <w:sz w:val="22"/>
          <w:szCs w:val="22"/>
        </w:rPr>
        <w:t>2.1</w:t>
      </w:r>
      <w:r w:rsidRPr="00AD4C3A">
        <w:rPr>
          <w:i/>
          <w:sz w:val="22"/>
          <w:szCs w:val="22"/>
        </w:rPr>
        <w:tab/>
        <w:t xml:space="preserve">Criterios Generales </w:t>
      </w:r>
    </w:p>
    <w:p w:rsidR="00A53318" w:rsidRPr="00AD4C3A" w:rsidRDefault="00A53318" w:rsidP="008C3FB7">
      <w:pPr>
        <w:tabs>
          <w:tab w:val="left" w:pos="284"/>
          <w:tab w:val="left" w:pos="851"/>
        </w:tabs>
        <w:ind w:left="567"/>
        <w:jc w:val="both"/>
        <w:rPr>
          <w:i/>
          <w:sz w:val="22"/>
          <w:szCs w:val="22"/>
        </w:rPr>
      </w:pPr>
    </w:p>
    <w:p w:rsidR="00A53318" w:rsidRPr="00AD4C3A" w:rsidRDefault="00A53318" w:rsidP="008C3FB7">
      <w:pPr>
        <w:tabs>
          <w:tab w:val="left" w:pos="284"/>
          <w:tab w:val="left" w:pos="851"/>
        </w:tabs>
        <w:ind w:left="567"/>
        <w:jc w:val="both"/>
        <w:rPr>
          <w:i/>
          <w:sz w:val="22"/>
          <w:szCs w:val="22"/>
        </w:rPr>
      </w:pPr>
      <w:r w:rsidRPr="00AD4C3A">
        <w:rPr>
          <w:i/>
          <w:sz w:val="22"/>
          <w:szCs w:val="22"/>
        </w:rPr>
        <w:t>1.</w:t>
      </w:r>
      <w:r w:rsidRPr="00AD4C3A">
        <w:rPr>
          <w:i/>
          <w:sz w:val="22"/>
          <w:szCs w:val="22"/>
        </w:rPr>
        <w:tab/>
        <w:t>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rsidR="00A53318" w:rsidRPr="00AD4C3A" w:rsidRDefault="00A53318" w:rsidP="008C3FB7">
      <w:pPr>
        <w:tabs>
          <w:tab w:val="left" w:pos="284"/>
        </w:tabs>
        <w:ind w:left="567" w:firstLine="284"/>
        <w:jc w:val="both"/>
        <w:rPr>
          <w:i/>
          <w:sz w:val="22"/>
          <w:szCs w:val="22"/>
        </w:rPr>
      </w:pPr>
    </w:p>
    <w:p w:rsidR="00A53318" w:rsidRPr="00AD4C3A" w:rsidRDefault="003A539E" w:rsidP="008C3FB7">
      <w:pPr>
        <w:tabs>
          <w:tab w:val="left" w:pos="284"/>
          <w:tab w:val="left" w:pos="851"/>
        </w:tabs>
        <w:ind w:left="567"/>
        <w:jc w:val="both"/>
        <w:rPr>
          <w:i/>
          <w:sz w:val="22"/>
          <w:szCs w:val="22"/>
        </w:rPr>
      </w:pPr>
      <w:r w:rsidRPr="00AD4C3A">
        <w:rPr>
          <w:i/>
          <w:sz w:val="22"/>
          <w:szCs w:val="22"/>
        </w:rPr>
        <w:t>2.</w:t>
      </w:r>
      <w:r w:rsidRPr="00AD4C3A">
        <w:rPr>
          <w:i/>
          <w:sz w:val="22"/>
          <w:szCs w:val="22"/>
        </w:rPr>
        <w:tab/>
        <w:t>La empresa distribuidora</w:t>
      </w:r>
      <w:r w:rsidR="00A53318" w:rsidRPr="00AD4C3A">
        <w:rPr>
          <w:i/>
          <w:sz w:val="22"/>
          <w:szCs w:val="22"/>
        </w:rPr>
        <w:t xml:space="preserve">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w:t>
      </w:r>
      <w:r w:rsidR="00A1472E" w:rsidRPr="00AD4C3A">
        <w:rPr>
          <w:i/>
          <w:sz w:val="22"/>
          <w:szCs w:val="22"/>
        </w:rPr>
        <w:t>dicha obligación</w:t>
      </w:r>
      <w:r w:rsidR="00A53318" w:rsidRPr="00AD4C3A">
        <w:rPr>
          <w:i/>
          <w:sz w:val="22"/>
          <w:szCs w:val="22"/>
        </w:rPr>
        <w:t xml:space="preserve"> del </w:t>
      </w:r>
      <w:proofErr w:type="spellStart"/>
      <w:r w:rsidR="00A53318" w:rsidRPr="00AD4C3A">
        <w:rPr>
          <w:i/>
          <w:sz w:val="22"/>
          <w:szCs w:val="22"/>
        </w:rPr>
        <w:t>suministrante</w:t>
      </w:r>
      <w:proofErr w:type="spellEnd"/>
      <w:r w:rsidR="00A53318" w:rsidRPr="00AD4C3A">
        <w:rPr>
          <w:i/>
          <w:sz w:val="22"/>
          <w:szCs w:val="22"/>
        </w:rPr>
        <w:t xml:space="preserve"> de pagar, sin distinción del lugar o ubicación de la falla.</w:t>
      </w:r>
    </w:p>
    <w:p w:rsidR="00A53318" w:rsidRPr="00AD4C3A" w:rsidRDefault="00A53318" w:rsidP="008C3FB7">
      <w:pPr>
        <w:tabs>
          <w:tab w:val="left" w:pos="284"/>
        </w:tabs>
        <w:ind w:left="709" w:firstLine="284"/>
        <w:jc w:val="both"/>
        <w:rPr>
          <w:i/>
          <w:sz w:val="22"/>
          <w:szCs w:val="22"/>
        </w:rPr>
      </w:pPr>
    </w:p>
    <w:p w:rsidR="00A53318" w:rsidRPr="00AD4C3A" w:rsidRDefault="00A53318" w:rsidP="008C3FB7">
      <w:pPr>
        <w:ind w:left="567" w:firstLine="142"/>
        <w:jc w:val="both"/>
        <w:rPr>
          <w:i/>
          <w:sz w:val="22"/>
          <w:szCs w:val="22"/>
        </w:rPr>
      </w:pPr>
      <w:r w:rsidRPr="00AD4C3A">
        <w:rPr>
          <w:i/>
          <w:sz w:val="22"/>
          <w:szCs w:val="22"/>
        </w:rPr>
        <w:t xml:space="preserve">3. </w:t>
      </w:r>
      <w:r w:rsidRPr="00AD4C3A">
        <w:rPr>
          <w:i/>
          <w:sz w:val="22"/>
          <w:szCs w:val="22"/>
          <w:u w:val="single"/>
        </w:rPr>
        <w:t>Imprevisibilidad</w:t>
      </w:r>
      <w:r w:rsidRPr="00AD4C3A">
        <w:rPr>
          <w:i/>
          <w:sz w:val="22"/>
          <w:szCs w:val="22"/>
        </w:rPr>
        <w:t>: El hecho debe ser imposible de prever, esta imposibilidad de prever debe ser apreciada objetivamente en relación a un deber normal de prever, cuestión que debe tomarse en cuenta en la realización de actividades en el sector eléctrico, ya que este rubro es ordinariamente riesgoso, porque es afectado por fallas en los sistemas. Es por ello, que el legislador consciente de la existencia de esas contingencias, contempló en el Artículo 63 inciso último de la Ley General de Electricidad que los distribuidores y transmisores deben incluir en sus respectivos contratos (distribución y transmisión) la compensación por fallas en sus sistemas respectivos. Asimismo en el Artículo 67 literal c) de la misma Ley, dentro del método para la determinación de los cargos por el uso de los sistemas de distribución, toma en cuenta los costos de operación y mantenimiento como los costos anuales de operación, considerando el valor esperado de las compensaciones por fallas correspondientes a una red de distribución dimensionada y operada eficientemente, es decir que en la misma Ley se evidencia la susceptibilidad de los sistemas eléctricos a dichas fallas y proveyó de mecanismos compensatorios que deben surtir efectos y respetarse.</w:t>
      </w:r>
    </w:p>
    <w:p w:rsidR="00A53318" w:rsidRPr="00AD4C3A" w:rsidRDefault="00A53318" w:rsidP="008C3FB7">
      <w:pPr>
        <w:ind w:left="567" w:firstLine="142"/>
        <w:jc w:val="both"/>
        <w:rPr>
          <w:i/>
          <w:sz w:val="22"/>
          <w:szCs w:val="22"/>
        </w:rPr>
      </w:pPr>
    </w:p>
    <w:p w:rsidR="00A53318" w:rsidRPr="00AD4C3A" w:rsidRDefault="00A53318" w:rsidP="008C3FB7">
      <w:pPr>
        <w:ind w:left="567"/>
        <w:jc w:val="both"/>
        <w:rPr>
          <w:i/>
          <w:sz w:val="22"/>
          <w:szCs w:val="22"/>
        </w:rPr>
      </w:pPr>
      <w:r w:rsidRPr="00AD4C3A">
        <w:rPr>
          <w:i/>
          <w:sz w:val="22"/>
          <w:szCs w:val="22"/>
        </w:rPr>
        <w:t xml:space="preserve">4. Hecho ajeno: consiste en que el hecho debe ser ajeno al presunto responsable, o exterior al vicio o riesgo de la cosa, el negocio de la electricidad es riesgoso </w:t>
      </w:r>
      <w:r w:rsidR="004A6F1A" w:rsidRPr="00AD4C3A">
        <w:rPr>
          <w:i/>
          <w:sz w:val="22"/>
          <w:szCs w:val="22"/>
        </w:rPr>
        <w:t>y,</w:t>
      </w:r>
      <w:r w:rsidRPr="00AD4C3A">
        <w:rPr>
          <w:i/>
          <w:sz w:val="22"/>
          <w:szCs w:val="22"/>
        </w:rPr>
        <w:t xml:space="preserve"> por lo tanto, la falla en los sistemas es un hecho que no es extraordinario en este tipo de actividades, por </w:t>
      </w:r>
      <w:r w:rsidR="004A6F1A" w:rsidRPr="00AD4C3A">
        <w:rPr>
          <w:i/>
          <w:sz w:val="22"/>
          <w:szCs w:val="22"/>
        </w:rPr>
        <w:t>tanto,</w:t>
      </w:r>
      <w:r w:rsidRPr="00AD4C3A">
        <w:rPr>
          <w:i/>
          <w:sz w:val="22"/>
          <w:szCs w:val="22"/>
        </w:rPr>
        <w:t xml:space="preserve"> no es un hecho ajeno al </w:t>
      </w:r>
      <w:r w:rsidR="004A6F1A" w:rsidRPr="00AD4C3A">
        <w:rPr>
          <w:i/>
          <w:sz w:val="22"/>
          <w:szCs w:val="22"/>
        </w:rPr>
        <w:t>riesgo,</w:t>
      </w:r>
      <w:r w:rsidRPr="00AD4C3A">
        <w:rPr>
          <w:i/>
          <w:sz w:val="22"/>
          <w:szCs w:val="22"/>
        </w:rPr>
        <w:t xml:space="preserve"> sino que naturalmente acompaña a los sistemas eléctricos. Razón por la cual, la Distribuidora se encuentra en la obligación de prever ese tipo de incidentes para poder resistirlo de determinada manera o bien afrontar la responsabilidad contraída ante sus usuarios cua</w:t>
      </w:r>
      <w:r w:rsidR="00493139" w:rsidRPr="00AD4C3A">
        <w:rPr>
          <w:i/>
          <w:sz w:val="22"/>
          <w:szCs w:val="22"/>
        </w:rPr>
        <w:t>ndo ocurra la contingencia. (…)</w:t>
      </w:r>
      <w:r w:rsidRPr="00AD4C3A">
        <w:rPr>
          <w:i/>
          <w:sz w:val="22"/>
          <w:szCs w:val="22"/>
        </w:rPr>
        <w:t>”</w:t>
      </w:r>
    </w:p>
    <w:p w:rsidR="00A53318" w:rsidRPr="00AD4C3A" w:rsidRDefault="00A53318" w:rsidP="008C3FB7">
      <w:pPr>
        <w:jc w:val="both"/>
        <w:rPr>
          <w:i/>
          <w:sz w:val="22"/>
          <w:szCs w:val="22"/>
        </w:rPr>
      </w:pPr>
    </w:p>
    <w:p w:rsidR="00A53318" w:rsidRPr="00AD4C3A" w:rsidRDefault="00A53318" w:rsidP="008C3FB7">
      <w:pPr>
        <w:ind w:left="567"/>
        <w:jc w:val="both"/>
        <w:rPr>
          <w:sz w:val="22"/>
          <w:szCs w:val="22"/>
        </w:rPr>
      </w:pPr>
      <w:r w:rsidRPr="00AD4C3A">
        <w:rPr>
          <w:sz w:val="22"/>
          <w:szCs w:val="22"/>
        </w:rPr>
        <w:t>El numeral “</w:t>
      </w:r>
      <w:r w:rsidRPr="00AD4C3A">
        <w:rPr>
          <w:i/>
          <w:sz w:val="22"/>
          <w:szCs w:val="22"/>
        </w:rPr>
        <w:t>2.2 Interrupciones por Causales de Caso Fortuito o Fuerza Mayor</w:t>
      </w:r>
      <w:r w:rsidRPr="00AD4C3A">
        <w:rPr>
          <w:sz w:val="22"/>
          <w:szCs w:val="22"/>
        </w:rPr>
        <w:t>” expresa:</w:t>
      </w:r>
    </w:p>
    <w:p w:rsidR="00A53318" w:rsidRPr="00AD4C3A" w:rsidRDefault="00A53318" w:rsidP="008C3FB7">
      <w:pPr>
        <w:tabs>
          <w:tab w:val="left" w:pos="567"/>
        </w:tabs>
        <w:jc w:val="both"/>
        <w:rPr>
          <w:sz w:val="22"/>
          <w:szCs w:val="22"/>
        </w:rPr>
      </w:pPr>
    </w:p>
    <w:p w:rsidR="00A53318" w:rsidRPr="00AD4C3A" w:rsidRDefault="00A53318" w:rsidP="008C3FB7">
      <w:pPr>
        <w:tabs>
          <w:tab w:val="left" w:pos="284"/>
          <w:tab w:val="left" w:pos="567"/>
        </w:tabs>
        <w:ind w:left="567"/>
        <w:jc w:val="both"/>
        <w:rPr>
          <w:i/>
          <w:sz w:val="22"/>
          <w:szCs w:val="22"/>
          <w:lang w:val="es-MX"/>
        </w:rPr>
      </w:pPr>
      <w:r w:rsidRPr="00AD4C3A">
        <w:rPr>
          <w:i/>
          <w:sz w:val="22"/>
          <w:szCs w:val="22"/>
          <w:lang w:val="es-MX"/>
        </w:rPr>
        <w:lastRenderedPageBreak/>
        <w:t>“(…)</w:t>
      </w:r>
      <w:r w:rsidRPr="00AD4C3A">
        <w:rPr>
          <w:sz w:val="22"/>
          <w:szCs w:val="22"/>
          <w:lang w:val="es-MX"/>
        </w:rPr>
        <w:t xml:space="preserve"> </w:t>
      </w:r>
      <w:r w:rsidRPr="00AD4C3A">
        <w:rPr>
          <w:i/>
          <w:sz w:val="22"/>
          <w:szCs w:val="22"/>
          <w:lang w:val="es-MX"/>
        </w:rPr>
        <w:t>Serán consideradas interrupciones originadas por causas de casos fortuito, aquellas causadas por hechos de la naturaleza, como las siguientes:</w:t>
      </w:r>
    </w:p>
    <w:p w:rsidR="00A53318" w:rsidRPr="00AD4C3A" w:rsidRDefault="00A53318" w:rsidP="008C3FB7">
      <w:pPr>
        <w:tabs>
          <w:tab w:val="left" w:pos="567"/>
        </w:tabs>
        <w:ind w:left="709"/>
        <w:jc w:val="both"/>
        <w:rPr>
          <w:i/>
          <w:sz w:val="22"/>
          <w:szCs w:val="22"/>
          <w:lang w:val="es-MX"/>
        </w:rPr>
      </w:pPr>
    </w:p>
    <w:p w:rsidR="00A53318" w:rsidRPr="00AD4C3A" w:rsidRDefault="00A53318" w:rsidP="008C3FB7">
      <w:pPr>
        <w:numPr>
          <w:ilvl w:val="1"/>
          <w:numId w:val="5"/>
        </w:numPr>
        <w:tabs>
          <w:tab w:val="left" w:pos="567"/>
        </w:tabs>
        <w:ind w:left="709" w:firstLine="0"/>
        <w:jc w:val="both"/>
        <w:rPr>
          <w:i/>
          <w:sz w:val="22"/>
          <w:szCs w:val="22"/>
          <w:lang w:val="es-MX"/>
        </w:rPr>
      </w:pPr>
      <w:r w:rsidRPr="00AD4C3A">
        <w:rPr>
          <w:bCs/>
          <w:i/>
          <w:sz w:val="22"/>
          <w:szCs w:val="22"/>
          <w:lang w:val="es-MX"/>
        </w:rPr>
        <w:t xml:space="preserve">Terremotos, establecidos por la entidad competente </w:t>
      </w:r>
      <w:r w:rsidRPr="00AD4C3A">
        <w:rPr>
          <w:bCs/>
          <w:i/>
          <w:sz w:val="22"/>
          <w:szCs w:val="22"/>
          <w:vertAlign w:val="superscript"/>
          <w:lang w:val="es-MX"/>
        </w:rPr>
        <w:t>1</w:t>
      </w:r>
      <w:r w:rsidRPr="00AD4C3A">
        <w:rPr>
          <w:bCs/>
          <w:i/>
          <w:sz w:val="22"/>
          <w:szCs w:val="22"/>
          <w:lang w:val="es-MX"/>
        </w:rPr>
        <w:t>.</w:t>
      </w:r>
    </w:p>
    <w:p w:rsidR="00A53318" w:rsidRPr="00AD4C3A" w:rsidRDefault="00A53318" w:rsidP="008C3FB7">
      <w:pPr>
        <w:numPr>
          <w:ilvl w:val="1"/>
          <w:numId w:val="5"/>
        </w:numPr>
        <w:tabs>
          <w:tab w:val="left" w:pos="567"/>
        </w:tabs>
        <w:ind w:left="709" w:firstLine="0"/>
        <w:jc w:val="both"/>
        <w:rPr>
          <w:i/>
          <w:sz w:val="22"/>
          <w:szCs w:val="22"/>
          <w:lang w:val="es-MX"/>
        </w:rPr>
      </w:pPr>
      <w:r w:rsidRPr="00AD4C3A">
        <w:rPr>
          <w:bCs/>
          <w:i/>
          <w:sz w:val="22"/>
          <w:szCs w:val="22"/>
          <w:lang w:val="es-MX"/>
        </w:rPr>
        <w:t xml:space="preserve">Huracanes, establecidos por la entidad competente </w:t>
      </w:r>
      <w:r w:rsidRPr="00AD4C3A">
        <w:rPr>
          <w:bCs/>
          <w:i/>
          <w:sz w:val="22"/>
          <w:szCs w:val="22"/>
          <w:vertAlign w:val="superscript"/>
          <w:lang w:val="es-MX"/>
        </w:rPr>
        <w:t>2</w:t>
      </w:r>
      <w:r w:rsidRPr="00AD4C3A">
        <w:rPr>
          <w:bCs/>
          <w:i/>
          <w:sz w:val="22"/>
          <w:szCs w:val="22"/>
          <w:lang w:val="es-MX"/>
        </w:rPr>
        <w:t>.</w:t>
      </w:r>
    </w:p>
    <w:p w:rsidR="00A53318" w:rsidRPr="00AD4C3A" w:rsidRDefault="00A53318" w:rsidP="008C3FB7">
      <w:pPr>
        <w:numPr>
          <w:ilvl w:val="1"/>
          <w:numId w:val="5"/>
        </w:numPr>
        <w:tabs>
          <w:tab w:val="left" w:pos="567"/>
        </w:tabs>
        <w:ind w:left="709" w:firstLine="0"/>
        <w:jc w:val="both"/>
        <w:rPr>
          <w:i/>
          <w:sz w:val="22"/>
          <w:szCs w:val="22"/>
          <w:lang w:val="es-MX"/>
        </w:rPr>
      </w:pPr>
      <w:r w:rsidRPr="00AD4C3A">
        <w:rPr>
          <w:bCs/>
          <w:i/>
          <w:sz w:val="22"/>
          <w:szCs w:val="22"/>
          <w:lang w:val="es-MX"/>
        </w:rPr>
        <w:t xml:space="preserve">Maremotos, establecidos por la entidad competente </w:t>
      </w:r>
      <w:r w:rsidRPr="00AD4C3A">
        <w:rPr>
          <w:bCs/>
          <w:i/>
          <w:sz w:val="22"/>
          <w:szCs w:val="22"/>
          <w:vertAlign w:val="superscript"/>
          <w:lang w:val="es-MX"/>
        </w:rPr>
        <w:t>3</w:t>
      </w:r>
      <w:r w:rsidRPr="00AD4C3A">
        <w:rPr>
          <w:bCs/>
          <w:i/>
          <w:sz w:val="22"/>
          <w:szCs w:val="22"/>
          <w:lang w:val="es-MX"/>
        </w:rPr>
        <w:t>.</w:t>
      </w:r>
    </w:p>
    <w:p w:rsidR="00A53318" w:rsidRPr="00AD4C3A" w:rsidRDefault="00A53318" w:rsidP="008C3FB7">
      <w:pPr>
        <w:tabs>
          <w:tab w:val="left" w:pos="567"/>
        </w:tabs>
        <w:ind w:left="709"/>
        <w:jc w:val="both"/>
        <w:rPr>
          <w:i/>
          <w:sz w:val="22"/>
          <w:szCs w:val="22"/>
          <w:lang w:val="es-MX"/>
        </w:rPr>
      </w:pPr>
    </w:p>
    <w:p w:rsidR="00A53318" w:rsidRPr="00AD4C3A" w:rsidRDefault="00A53318" w:rsidP="008C3FB7">
      <w:pPr>
        <w:tabs>
          <w:tab w:val="left" w:pos="284"/>
        </w:tabs>
        <w:ind w:left="708"/>
        <w:jc w:val="both"/>
        <w:rPr>
          <w:i/>
          <w:sz w:val="22"/>
          <w:szCs w:val="22"/>
          <w:lang w:val="es-MX"/>
        </w:rPr>
      </w:pPr>
      <w:r w:rsidRPr="00AD4C3A">
        <w:rPr>
          <w:i/>
          <w:sz w:val="22"/>
          <w:szCs w:val="22"/>
          <w:lang w:val="es-MX"/>
        </w:rPr>
        <w:t>Serán consideradas interrupciones originadas por causales de fuerza mayor las siguientes:</w:t>
      </w:r>
    </w:p>
    <w:p w:rsidR="00A53318" w:rsidRPr="00AD4C3A" w:rsidRDefault="00A53318" w:rsidP="008C3FB7">
      <w:pPr>
        <w:tabs>
          <w:tab w:val="left" w:pos="567"/>
        </w:tabs>
        <w:ind w:left="709"/>
        <w:jc w:val="both"/>
        <w:rPr>
          <w:i/>
          <w:sz w:val="22"/>
          <w:szCs w:val="22"/>
          <w:lang w:val="es-MX"/>
        </w:rPr>
      </w:pPr>
    </w:p>
    <w:p w:rsidR="00A53318" w:rsidRPr="00AD4C3A" w:rsidRDefault="00A53318" w:rsidP="008C3FB7">
      <w:pPr>
        <w:numPr>
          <w:ilvl w:val="1"/>
          <w:numId w:val="5"/>
        </w:numPr>
        <w:tabs>
          <w:tab w:val="left" w:pos="567"/>
        </w:tabs>
        <w:ind w:left="709" w:firstLine="0"/>
        <w:jc w:val="both"/>
        <w:rPr>
          <w:i/>
          <w:sz w:val="22"/>
          <w:szCs w:val="22"/>
          <w:lang w:val="es-MX"/>
        </w:rPr>
      </w:pPr>
      <w:r w:rsidRPr="00AD4C3A">
        <w:rPr>
          <w:bCs/>
          <w:i/>
          <w:sz w:val="22"/>
          <w:szCs w:val="22"/>
          <w:lang w:val="es-MX"/>
        </w:rPr>
        <w:t>Guerra.</w:t>
      </w:r>
    </w:p>
    <w:p w:rsidR="00A53318" w:rsidRPr="00AD4C3A" w:rsidRDefault="00A53318" w:rsidP="008C3FB7">
      <w:pPr>
        <w:tabs>
          <w:tab w:val="left" w:pos="567"/>
        </w:tabs>
        <w:ind w:left="1414" w:hanging="705"/>
        <w:jc w:val="both"/>
        <w:rPr>
          <w:bCs/>
          <w:i/>
          <w:sz w:val="22"/>
          <w:szCs w:val="22"/>
          <w:lang w:val="es-MX"/>
        </w:rPr>
      </w:pPr>
      <w:r w:rsidRPr="00AD4C3A">
        <w:rPr>
          <w:bCs/>
          <w:i/>
          <w:sz w:val="22"/>
          <w:szCs w:val="22"/>
          <w:lang w:val="es-MX"/>
        </w:rPr>
        <w:t>-</w:t>
      </w:r>
      <w:r w:rsidRPr="00AD4C3A">
        <w:rPr>
          <w:bCs/>
          <w:i/>
          <w:sz w:val="22"/>
          <w:szCs w:val="22"/>
          <w:lang w:val="es-MX"/>
        </w:rPr>
        <w:tab/>
        <w:t xml:space="preserve">Poste embestido por vehículo automotor en su primera y única vez. Las demás veces que ocurra dicha situación en la misma ubicación, SIGET deberá establecer si </w:t>
      </w:r>
      <w:r w:rsidRPr="00AD4C3A">
        <w:rPr>
          <w:bCs/>
          <w:i/>
          <w:sz w:val="22"/>
          <w:szCs w:val="22"/>
          <w:lang w:val="es-MX"/>
        </w:rPr>
        <w:tab/>
        <w:t>existieron causas de fuerza mayor tomando en cuenta el carácter imprevisible en el factor riesgo asociado con la ubicación del poste.</w:t>
      </w:r>
    </w:p>
    <w:p w:rsidR="00A53318" w:rsidRPr="00AD4C3A" w:rsidRDefault="00A53318" w:rsidP="008C3FB7">
      <w:pPr>
        <w:tabs>
          <w:tab w:val="left" w:pos="567"/>
        </w:tabs>
        <w:ind w:left="1414" w:hanging="705"/>
        <w:jc w:val="both"/>
        <w:rPr>
          <w:bCs/>
          <w:i/>
          <w:sz w:val="22"/>
          <w:szCs w:val="22"/>
          <w:lang w:val="es-MX"/>
        </w:rPr>
      </w:pPr>
      <w:r w:rsidRPr="00AD4C3A">
        <w:rPr>
          <w:bCs/>
          <w:i/>
          <w:sz w:val="22"/>
          <w:szCs w:val="22"/>
          <w:lang w:val="es-MX"/>
        </w:rPr>
        <w:t>-</w:t>
      </w:r>
      <w:r w:rsidRPr="00AD4C3A">
        <w:rPr>
          <w:bCs/>
          <w:i/>
          <w:sz w:val="22"/>
          <w:szCs w:val="22"/>
          <w:lang w:val="es-MX"/>
        </w:rPr>
        <w:tab/>
        <w:t>La remoción o reubicación de la infraestructura que conforma la red de distribució</w:t>
      </w:r>
      <w:r w:rsidR="003A539E" w:rsidRPr="00AD4C3A">
        <w:rPr>
          <w:bCs/>
          <w:i/>
          <w:sz w:val="22"/>
          <w:szCs w:val="22"/>
          <w:lang w:val="es-MX"/>
        </w:rPr>
        <w:t>n de la energía eléctrica, para</w:t>
      </w:r>
      <w:r w:rsidRPr="00AD4C3A">
        <w:rPr>
          <w:bCs/>
          <w:i/>
          <w:sz w:val="22"/>
          <w:szCs w:val="22"/>
          <w:lang w:val="es-MX"/>
        </w:rPr>
        <w:t xml:space="preserve"> la construcción de pasarelas de uso público en municipios del país, con la finalidad de permitir a los peatones atravesar las carreteras y avenidas ubicadas en su jurisdicción, en un tiempo eficiente para realizar las obras.</w:t>
      </w:r>
    </w:p>
    <w:p w:rsidR="00A53318" w:rsidRPr="00AD4C3A" w:rsidRDefault="00A53318" w:rsidP="008C3FB7">
      <w:pPr>
        <w:tabs>
          <w:tab w:val="left" w:pos="567"/>
        </w:tabs>
        <w:ind w:left="709"/>
        <w:jc w:val="both"/>
        <w:rPr>
          <w:i/>
          <w:sz w:val="22"/>
          <w:szCs w:val="22"/>
          <w:lang w:val="es-MX"/>
        </w:rPr>
      </w:pPr>
    </w:p>
    <w:p w:rsidR="00A53318" w:rsidRPr="00AD4C3A" w:rsidRDefault="00A53318" w:rsidP="008C3FB7">
      <w:pPr>
        <w:tabs>
          <w:tab w:val="left" w:pos="567"/>
        </w:tabs>
        <w:ind w:left="567"/>
        <w:jc w:val="both"/>
        <w:rPr>
          <w:i/>
          <w:sz w:val="22"/>
          <w:szCs w:val="22"/>
          <w:lang w:val="es-MX"/>
        </w:rPr>
      </w:pPr>
      <w:r w:rsidRPr="00AD4C3A">
        <w:rPr>
          <w:i/>
          <w:sz w:val="22"/>
          <w:szCs w:val="22"/>
          <w:lang w:val="es-MX"/>
        </w:rPr>
        <w:t xml:space="preserve">Se consideran </w:t>
      </w:r>
      <w:r w:rsidR="00546782" w:rsidRPr="00AD4C3A">
        <w:rPr>
          <w:i/>
          <w:sz w:val="22"/>
          <w:szCs w:val="22"/>
          <w:lang w:val="es-MX"/>
        </w:rPr>
        <w:t>constitutivos</w:t>
      </w:r>
      <w:r w:rsidRPr="00AD4C3A">
        <w:rPr>
          <w:i/>
          <w:sz w:val="22"/>
          <w:szCs w:val="22"/>
          <w:lang w:val="es-MX"/>
        </w:rPr>
        <w:t xml:space="preserve"> de casos fortuitos o de fuerza mayor todos aquellos acontecimientos que compartan similitud con los enunciados y que se acoplen a los criterios generales y legales expuestos en este procedimiento. (…)</w:t>
      </w:r>
    </w:p>
    <w:p w:rsidR="00A53318" w:rsidRPr="00AD4C3A" w:rsidRDefault="00A53318" w:rsidP="008C3FB7">
      <w:pPr>
        <w:ind w:firstLine="708"/>
        <w:jc w:val="both"/>
        <w:rPr>
          <w:i/>
          <w:sz w:val="22"/>
          <w:szCs w:val="22"/>
          <w:lang w:val="es-MX"/>
        </w:rPr>
      </w:pPr>
      <w:r w:rsidRPr="00AD4C3A">
        <w:rPr>
          <w:i/>
          <w:sz w:val="22"/>
          <w:szCs w:val="22"/>
          <w:lang w:val="es-MX"/>
        </w:rPr>
        <w:t>________</w:t>
      </w:r>
    </w:p>
    <w:p w:rsidR="00A53318" w:rsidRPr="00AD4C3A" w:rsidRDefault="00A53318" w:rsidP="008C3FB7">
      <w:pPr>
        <w:ind w:firstLine="708"/>
        <w:jc w:val="both"/>
        <w:rPr>
          <w:i/>
          <w:sz w:val="22"/>
          <w:szCs w:val="22"/>
          <w:lang w:val="es-MX"/>
        </w:rPr>
      </w:pPr>
      <w:r w:rsidRPr="00AD4C3A">
        <w:rPr>
          <w:i/>
          <w:sz w:val="22"/>
          <w:szCs w:val="22"/>
          <w:vertAlign w:val="superscript"/>
          <w:lang w:val="es-MX"/>
        </w:rPr>
        <w:t>1</w:t>
      </w:r>
      <w:r w:rsidRPr="00AD4C3A">
        <w:rPr>
          <w:i/>
          <w:sz w:val="22"/>
          <w:szCs w:val="22"/>
          <w:lang w:val="es-MX"/>
        </w:rPr>
        <w:t xml:space="preserve"> Servicio Nacional de Estudios Territoriales, SNET</w:t>
      </w:r>
    </w:p>
    <w:p w:rsidR="00A53318" w:rsidRPr="00AD4C3A" w:rsidRDefault="00A53318" w:rsidP="008C3FB7">
      <w:pPr>
        <w:ind w:firstLine="708"/>
        <w:jc w:val="both"/>
        <w:rPr>
          <w:i/>
          <w:sz w:val="22"/>
          <w:szCs w:val="22"/>
          <w:lang w:val="es-MX"/>
        </w:rPr>
      </w:pPr>
      <w:r w:rsidRPr="00AD4C3A">
        <w:rPr>
          <w:i/>
          <w:sz w:val="22"/>
          <w:szCs w:val="22"/>
          <w:vertAlign w:val="superscript"/>
          <w:lang w:val="es-MX"/>
        </w:rPr>
        <w:t>2</w:t>
      </w:r>
      <w:r w:rsidRPr="00AD4C3A">
        <w:rPr>
          <w:i/>
          <w:sz w:val="22"/>
          <w:szCs w:val="22"/>
          <w:lang w:val="es-MX"/>
        </w:rPr>
        <w:t xml:space="preserve"> Servicio Nacional de Estudios Territoriales, SNET</w:t>
      </w:r>
    </w:p>
    <w:p w:rsidR="00A53318" w:rsidRPr="00AD4C3A" w:rsidRDefault="00A53318" w:rsidP="008C3FB7">
      <w:pPr>
        <w:ind w:firstLine="708"/>
        <w:jc w:val="both"/>
        <w:rPr>
          <w:i/>
          <w:sz w:val="22"/>
          <w:szCs w:val="22"/>
          <w:lang w:val="es-MX"/>
        </w:rPr>
      </w:pPr>
      <w:r w:rsidRPr="00AD4C3A">
        <w:rPr>
          <w:i/>
          <w:sz w:val="22"/>
          <w:szCs w:val="22"/>
          <w:vertAlign w:val="superscript"/>
          <w:lang w:val="es-MX"/>
        </w:rPr>
        <w:t>3</w:t>
      </w:r>
      <w:r w:rsidRPr="00AD4C3A">
        <w:rPr>
          <w:i/>
          <w:sz w:val="22"/>
          <w:szCs w:val="22"/>
          <w:lang w:val="es-MX"/>
        </w:rPr>
        <w:t xml:space="preserve"> Servicio Nacional de Estudios Territoriales, SNET</w:t>
      </w:r>
      <w:r w:rsidR="00493139" w:rsidRPr="00AD4C3A">
        <w:rPr>
          <w:i/>
          <w:sz w:val="22"/>
          <w:szCs w:val="22"/>
          <w:lang w:val="es-MX"/>
        </w:rPr>
        <w:t xml:space="preserve"> (…)</w:t>
      </w:r>
      <w:r w:rsidRPr="00AD4C3A">
        <w:rPr>
          <w:i/>
          <w:sz w:val="22"/>
          <w:szCs w:val="22"/>
          <w:lang w:val="es-MX"/>
        </w:rPr>
        <w:t>”</w:t>
      </w:r>
    </w:p>
    <w:p w:rsidR="00A53318" w:rsidRPr="00AD4C3A" w:rsidRDefault="00A53318" w:rsidP="008C3FB7">
      <w:pPr>
        <w:jc w:val="both"/>
        <w:rPr>
          <w:i/>
          <w:sz w:val="22"/>
          <w:szCs w:val="22"/>
          <w:lang w:val="es-MX"/>
        </w:rPr>
      </w:pPr>
    </w:p>
    <w:p w:rsidR="00A53318" w:rsidRPr="00AD4C3A" w:rsidRDefault="003A539E" w:rsidP="008C3FB7">
      <w:pPr>
        <w:ind w:left="567"/>
        <w:jc w:val="both"/>
        <w:rPr>
          <w:i/>
          <w:sz w:val="22"/>
          <w:szCs w:val="22"/>
        </w:rPr>
      </w:pPr>
      <w:r w:rsidRPr="00AD4C3A">
        <w:rPr>
          <w:sz w:val="22"/>
          <w:szCs w:val="22"/>
        </w:rPr>
        <w:t>Asimismo,</w:t>
      </w:r>
      <w:r w:rsidR="00A53318" w:rsidRPr="00AD4C3A">
        <w:rPr>
          <w:sz w:val="22"/>
          <w:szCs w:val="22"/>
        </w:rPr>
        <w:t xml:space="preserve"> el numeral 2.3 Justificaciones por Causales de Caso Fortuito o de Fuerza Mayor en la Gestión Comercial,</w:t>
      </w:r>
      <w:r w:rsidR="00A53318" w:rsidRPr="00AD4C3A">
        <w:rPr>
          <w:i/>
          <w:sz w:val="22"/>
          <w:szCs w:val="22"/>
        </w:rPr>
        <w:t xml:space="preserve"> </w:t>
      </w:r>
      <w:r w:rsidR="00A53318" w:rsidRPr="00AD4C3A">
        <w:rPr>
          <w:sz w:val="22"/>
          <w:szCs w:val="22"/>
        </w:rPr>
        <w:t>estipula:</w:t>
      </w:r>
      <w:r w:rsidR="00493139" w:rsidRPr="00AD4C3A">
        <w:rPr>
          <w:sz w:val="22"/>
          <w:szCs w:val="22"/>
        </w:rPr>
        <w:t xml:space="preserve"> </w:t>
      </w:r>
      <w:r w:rsidR="00493139" w:rsidRPr="00AD4C3A">
        <w:rPr>
          <w:i/>
          <w:sz w:val="22"/>
          <w:szCs w:val="22"/>
        </w:rPr>
        <w:t>“</w:t>
      </w:r>
      <w:r w:rsidR="00A53318" w:rsidRPr="00AD4C3A">
        <w:rPr>
          <w:i/>
          <w:sz w:val="22"/>
          <w:szCs w:val="22"/>
        </w:rPr>
        <w:t>Serán consideradas justificaciones originadas por causa de casos fortuito o de fuerza mayor, las establecidas en la sección 2.2.</w:t>
      </w:r>
      <w:r w:rsidR="00493139" w:rsidRPr="00AD4C3A">
        <w:rPr>
          <w:i/>
          <w:sz w:val="22"/>
          <w:szCs w:val="22"/>
        </w:rPr>
        <w:t>”</w:t>
      </w:r>
    </w:p>
    <w:p w:rsidR="00A53318" w:rsidRPr="00AD4C3A" w:rsidRDefault="00A53318" w:rsidP="008C3FB7">
      <w:pPr>
        <w:ind w:left="567"/>
        <w:jc w:val="both"/>
        <w:rPr>
          <w:sz w:val="22"/>
          <w:szCs w:val="22"/>
        </w:rPr>
      </w:pPr>
    </w:p>
    <w:p w:rsidR="00A53318" w:rsidRPr="00AD4C3A" w:rsidRDefault="00A53318" w:rsidP="008C3FB7">
      <w:pPr>
        <w:ind w:left="567"/>
        <w:jc w:val="both"/>
        <w:rPr>
          <w:sz w:val="22"/>
          <w:szCs w:val="22"/>
        </w:rPr>
      </w:pPr>
      <w:r w:rsidRPr="00AD4C3A">
        <w:rPr>
          <w:sz w:val="22"/>
          <w:szCs w:val="22"/>
        </w:rPr>
        <w:t xml:space="preserve">En el numeral 2.5., denominado Solicitud de Excepción de Casos Fortuitos o Fuerza Mayor, se especificó que en caso de presentarse una interrupción del servicio de energía eléctrica o un incumplimiento a la gestión comercial originado por un evento constitutivo de caso fortuito o fuerza mayor, la distribuidora </w:t>
      </w:r>
      <w:r w:rsidR="006375E2" w:rsidRPr="00AD4C3A">
        <w:rPr>
          <w:sz w:val="22"/>
          <w:szCs w:val="22"/>
        </w:rPr>
        <w:t>deberá</w:t>
      </w:r>
      <w:r w:rsidRPr="00AD4C3A">
        <w:rPr>
          <w:sz w:val="22"/>
          <w:szCs w:val="22"/>
        </w:rPr>
        <w:t xml:space="preserve"> presentar a la SIGET la solicitud de excepción por lo mismo. </w:t>
      </w:r>
    </w:p>
    <w:p w:rsidR="00A53318" w:rsidRPr="00AD4C3A" w:rsidRDefault="00A53318" w:rsidP="008C3FB7">
      <w:pPr>
        <w:ind w:left="567"/>
        <w:jc w:val="both"/>
        <w:rPr>
          <w:sz w:val="22"/>
          <w:szCs w:val="22"/>
        </w:rPr>
      </w:pPr>
    </w:p>
    <w:p w:rsidR="00A53318" w:rsidRPr="00AD4C3A" w:rsidRDefault="00A53318" w:rsidP="008C3FB7">
      <w:pPr>
        <w:ind w:left="567"/>
        <w:jc w:val="both"/>
        <w:rPr>
          <w:sz w:val="22"/>
          <w:szCs w:val="22"/>
        </w:rPr>
      </w:pPr>
      <w:r w:rsidRPr="00AD4C3A">
        <w:rPr>
          <w:sz w:val="22"/>
          <w:szCs w:val="22"/>
        </w:rPr>
        <w:t xml:space="preserve">El último día hábil de cada mes la distribuidora </w:t>
      </w:r>
      <w:r w:rsidR="006375E2" w:rsidRPr="00AD4C3A">
        <w:rPr>
          <w:sz w:val="22"/>
          <w:szCs w:val="22"/>
        </w:rPr>
        <w:t>deberá</w:t>
      </w:r>
      <w:r w:rsidRPr="00AD4C3A">
        <w:rPr>
          <w:sz w:val="22"/>
          <w:szCs w:val="22"/>
        </w:rPr>
        <w:t xml:space="preserve"> presentar a la SIGET, una solicitud de excepción de Causales de Caso Fortuito o Fuerza mayor por cada caso de interrupción del servicio de energía eléctrica o un incumplimiento a la gestión comercial, que consideren que haya sido causado por Caso Fortuito o Fuerza Mayor. </w:t>
      </w:r>
    </w:p>
    <w:p w:rsidR="00A53318" w:rsidRPr="00AD4C3A" w:rsidRDefault="00A53318" w:rsidP="008C3FB7">
      <w:pPr>
        <w:jc w:val="both"/>
        <w:rPr>
          <w:sz w:val="22"/>
          <w:szCs w:val="22"/>
        </w:rPr>
      </w:pPr>
    </w:p>
    <w:p w:rsidR="00A53318" w:rsidRPr="00AD4C3A" w:rsidRDefault="00A53318" w:rsidP="008C3FB7">
      <w:pPr>
        <w:pStyle w:val="Prrafodelista"/>
        <w:numPr>
          <w:ilvl w:val="0"/>
          <w:numId w:val="9"/>
        </w:numPr>
        <w:tabs>
          <w:tab w:val="left" w:pos="993"/>
        </w:tabs>
        <w:ind w:hanging="1004"/>
        <w:jc w:val="both"/>
        <w:rPr>
          <w:sz w:val="22"/>
          <w:szCs w:val="22"/>
        </w:rPr>
      </w:pPr>
      <w:r w:rsidRPr="00AD4C3A">
        <w:rPr>
          <w:sz w:val="22"/>
          <w:szCs w:val="22"/>
        </w:rPr>
        <w:t>Normas de Calidad del Servicio de los Sistemas de Distribución</w:t>
      </w:r>
    </w:p>
    <w:p w:rsidR="00A53318" w:rsidRPr="00AD4C3A" w:rsidRDefault="00A53318" w:rsidP="008C3FB7">
      <w:pPr>
        <w:pStyle w:val="Prrafodelista"/>
        <w:tabs>
          <w:tab w:val="left" w:pos="993"/>
        </w:tabs>
        <w:ind w:left="426"/>
        <w:jc w:val="both"/>
        <w:rPr>
          <w:sz w:val="22"/>
          <w:szCs w:val="22"/>
        </w:rPr>
      </w:pPr>
    </w:p>
    <w:p w:rsidR="005D3C2C" w:rsidRPr="00AD4C3A" w:rsidRDefault="005D3C2C" w:rsidP="005D3C2C">
      <w:pPr>
        <w:tabs>
          <w:tab w:val="left" w:pos="993"/>
        </w:tabs>
        <w:ind w:left="567"/>
        <w:jc w:val="both"/>
        <w:rPr>
          <w:sz w:val="22"/>
          <w:szCs w:val="22"/>
        </w:rPr>
      </w:pPr>
      <w:r w:rsidRPr="00AD4C3A">
        <w:rPr>
          <w:sz w:val="22"/>
          <w:szCs w:val="22"/>
        </w:rPr>
        <w:t>El artículo 8 de las Normas de Calidad del Servicio de los Sistemas de Distribución, determina que la distribuidora dentro de su zona de servicio, está obligado, entre otras cosas, a:</w:t>
      </w:r>
    </w:p>
    <w:p w:rsidR="00196221" w:rsidRPr="00AD4C3A" w:rsidRDefault="00196221" w:rsidP="005D3C2C">
      <w:pPr>
        <w:tabs>
          <w:tab w:val="left" w:pos="993"/>
        </w:tabs>
        <w:ind w:left="567"/>
        <w:jc w:val="both"/>
        <w:rPr>
          <w:sz w:val="22"/>
          <w:szCs w:val="22"/>
        </w:rPr>
      </w:pPr>
    </w:p>
    <w:p w:rsidR="005D3C2C" w:rsidRPr="00AD4C3A" w:rsidRDefault="005D3C2C" w:rsidP="005D3C2C">
      <w:pPr>
        <w:tabs>
          <w:tab w:val="left" w:pos="993"/>
        </w:tabs>
        <w:ind w:left="567"/>
        <w:jc w:val="both"/>
        <w:rPr>
          <w:sz w:val="22"/>
          <w:szCs w:val="22"/>
        </w:rPr>
      </w:pPr>
      <w:r w:rsidRPr="00AD4C3A">
        <w:rPr>
          <w:sz w:val="22"/>
          <w:szCs w:val="22"/>
        </w:rPr>
        <w:t>a) Prestar a sus usuarios, un servicio de energía eléctrica que cumpla con los índices o indicadores de calidad exigidos en estas Normas;</w:t>
      </w:r>
    </w:p>
    <w:p w:rsidR="005D3C2C" w:rsidRPr="00AD4C3A" w:rsidRDefault="005D3C2C" w:rsidP="005D3C2C">
      <w:pPr>
        <w:tabs>
          <w:tab w:val="left" w:pos="993"/>
        </w:tabs>
        <w:ind w:left="567"/>
        <w:jc w:val="both"/>
        <w:rPr>
          <w:sz w:val="22"/>
          <w:szCs w:val="22"/>
        </w:rPr>
      </w:pPr>
    </w:p>
    <w:p w:rsidR="005D3C2C" w:rsidRPr="00AD4C3A" w:rsidRDefault="005D3C2C" w:rsidP="005D3C2C">
      <w:pPr>
        <w:tabs>
          <w:tab w:val="left" w:pos="993"/>
        </w:tabs>
        <w:ind w:left="567"/>
        <w:jc w:val="both"/>
        <w:rPr>
          <w:sz w:val="22"/>
          <w:szCs w:val="22"/>
        </w:rPr>
      </w:pPr>
      <w:r w:rsidRPr="00AD4C3A">
        <w:rPr>
          <w:sz w:val="22"/>
          <w:szCs w:val="22"/>
        </w:rPr>
        <w:t>b) Cumplir en lo que le corresponde con lo consignado en estas Normas y procedimientos aprobados por SIGET.</w:t>
      </w:r>
    </w:p>
    <w:p w:rsidR="005D3C2C" w:rsidRPr="00AD4C3A" w:rsidRDefault="005D3C2C" w:rsidP="005D3C2C">
      <w:pPr>
        <w:tabs>
          <w:tab w:val="left" w:pos="993"/>
        </w:tabs>
        <w:ind w:left="567"/>
        <w:jc w:val="both"/>
        <w:rPr>
          <w:sz w:val="22"/>
          <w:szCs w:val="22"/>
        </w:rPr>
      </w:pPr>
    </w:p>
    <w:p w:rsidR="00A53318" w:rsidRPr="00AD4C3A" w:rsidRDefault="00A53318" w:rsidP="008C3FB7">
      <w:pPr>
        <w:tabs>
          <w:tab w:val="left" w:pos="993"/>
        </w:tabs>
        <w:ind w:left="567"/>
        <w:jc w:val="both"/>
        <w:rPr>
          <w:sz w:val="22"/>
          <w:szCs w:val="22"/>
        </w:rPr>
      </w:pPr>
      <w:r w:rsidRPr="00AD4C3A">
        <w:rPr>
          <w:sz w:val="22"/>
          <w:szCs w:val="22"/>
        </w:rPr>
        <w:t>Dichas Normas tienen</w:t>
      </w:r>
      <w:r w:rsidRPr="00AD4C3A">
        <w:rPr>
          <w:b/>
          <w:sz w:val="22"/>
          <w:szCs w:val="22"/>
        </w:rPr>
        <w:t xml:space="preserve"> </w:t>
      </w:r>
      <w:r w:rsidRPr="00AD4C3A">
        <w:rPr>
          <w:sz w:val="22"/>
          <w:szCs w:val="22"/>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w:t>
      </w:r>
    </w:p>
    <w:p w:rsidR="00A53318" w:rsidRPr="00AD4C3A" w:rsidRDefault="00A53318" w:rsidP="008C3FB7">
      <w:pPr>
        <w:tabs>
          <w:tab w:val="left" w:pos="993"/>
        </w:tabs>
        <w:ind w:left="284"/>
        <w:jc w:val="both"/>
        <w:rPr>
          <w:sz w:val="22"/>
          <w:szCs w:val="22"/>
        </w:rPr>
      </w:pPr>
    </w:p>
    <w:p w:rsidR="00A53318" w:rsidRPr="00AD4C3A" w:rsidRDefault="00A53318" w:rsidP="008C3FB7">
      <w:pPr>
        <w:numPr>
          <w:ilvl w:val="0"/>
          <w:numId w:val="6"/>
        </w:numPr>
        <w:tabs>
          <w:tab w:val="clear" w:pos="900"/>
          <w:tab w:val="left" w:pos="851"/>
        </w:tabs>
        <w:ind w:left="1134" w:hanging="425"/>
        <w:jc w:val="both"/>
        <w:rPr>
          <w:sz w:val="22"/>
          <w:szCs w:val="22"/>
        </w:rPr>
      </w:pPr>
      <w:r w:rsidRPr="00AD4C3A">
        <w:rPr>
          <w:sz w:val="22"/>
          <w:szCs w:val="22"/>
        </w:rPr>
        <w:t>La calidad del suministro o servicio técnico prestado, que está relacionado principalmente con las interrupciones del servicio.</w:t>
      </w:r>
    </w:p>
    <w:p w:rsidR="00A53318" w:rsidRPr="00AD4C3A" w:rsidRDefault="00A53318" w:rsidP="008C3FB7">
      <w:pPr>
        <w:ind w:left="851"/>
        <w:jc w:val="both"/>
        <w:rPr>
          <w:sz w:val="22"/>
          <w:szCs w:val="22"/>
        </w:rPr>
      </w:pPr>
    </w:p>
    <w:p w:rsidR="00A53318" w:rsidRPr="00AD4C3A" w:rsidRDefault="00A53318" w:rsidP="008C3FB7">
      <w:pPr>
        <w:numPr>
          <w:ilvl w:val="0"/>
          <w:numId w:val="6"/>
        </w:numPr>
        <w:tabs>
          <w:tab w:val="clear" w:pos="900"/>
          <w:tab w:val="left" w:pos="1134"/>
        </w:tabs>
        <w:ind w:left="709" w:firstLine="0"/>
        <w:jc w:val="both"/>
        <w:rPr>
          <w:sz w:val="22"/>
          <w:szCs w:val="22"/>
        </w:rPr>
      </w:pPr>
      <w:r w:rsidRPr="00AD4C3A">
        <w:rPr>
          <w:sz w:val="22"/>
          <w:szCs w:val="22"/>
        </w:rPr>
        <w:t>La calidad del producto técnico suministrado, que implica los elementos siguientes:</w:t>
      </w:r>
    </w:p>
    <w:p w:rsidR="00A53318" w:rsidRPr="00AD4C3A" w:rsidRDefault="00A53318" w:rsidP="008C3FB7">
      <w:pPr>
        <w:jc w:val="both"/>
        <w:rPr>
          <w:sz w:val="22"/>
          <w:szCs w:val="22"/>
        </w:rPr>
      </w:pPr>
    </w:p>
    <w:p w:rsidR="00A53318" w:rsidRPr="00AD4C3A" w:rsidRDefault="00A53318" w:rsidP="008C3FB7">
      <w:pPr>
        <w:numPr>
          <w:ilvl w:val="0"/>
          <w:numId w:val="7"/>
        </w:numPr>
        <w:ind w:firstLine="1058"/>
        <w:jc w:val="both"/>
        <w:rPr>
          <w:sz w:val="22"/>
          <w:szCs w:val="22"/>
        </w:rPr>
      </w:pPr>
      <w:r w:rsidRPr="00AD4C3A">
        <w:rPr>
          <w:sz w:val="22"/>
          <w:szCs w:val="22"/>
        </w:rPr>
        <w:t>Niveles de Tensión.</w:t>
      </w:r>
    </w:p>
    <w:p w:rsidR="00A53318" w:rsidRPr="00AD4C3A" w:rsidRDefault="00A53318" w:rsidP="008C3FB7">
      <w:pPr>
        <w:numPr>
          <w:ilvl w:val="0"/>
          <w:numId w:val="7"/>
        </w:numPr>
        <w:ind w:firstLine="1058"/>
        <w:jc w:val="both"/>
        <w:rPr>
          <w:sz w:val="22"/>
          <w:szCs w:val="22"/>
        </w:rPr>
      </w:pPr>
      <w:r w:rsidRPr="00AD4C3A">
        <w:rPr>
          <w:sz w:val="22"/>
          <w:szCs w:val="22"/>
        </w:rPr>
        <w:t>Perturbaciones en la onda de voltaje (</w:t>
      </w:r>
      <w:proofErr w:type="spellStart"/>
      <w:r w:rsidRPr="00AD4C3A">
        <w:rPr>
          <w:sz w:val="22"/>
          <w:szCs w:val="22"/>
        </w:rPr>
        <w:t>Flicker</w:t>
      </w:r>
      <w:proofErr w:type="spellEnd"/>
      <w:r w:rsidRPr="00AD4C3A">
        <w:rPr>
          <w:sz w:val="22"/>
          <w:szCs w:val="22"/>
        </w:rPr>
        <w:t xml:space="preserve"> y tensiones armónicas).</w:t>
      </w:r>
    </w:p>
    <w:p w:rsidR="00A53318" w:rsidRPr="00AD4C3A" w:rsidRDefault="00A53318" w:rsidP="008C3FB7">
      <w:pPr>
        <w:pStyle w:val="Prrafodelista"/>
        <w:numPr>
          <w:ilvl w:val="0"/>
          <w:numId w:val="7"/>
        </w:numPr>
        <w:tabs>
          <w:tab w:val="left" w:pos="1134"/>
        </w:tabs>
        <w:ind w:firstLine="1058"/>
        <w:jc w:val="both"/>
        <w:rPr>
          <w:sz w:val="22"/>
          <w:szCs w:val="22"/>
        </w:rPr>
      </w:pPr>
      <w:r w:rsidRPr="00AD4C3A">
        <w:rPr>
          <w:sz w:val="22"/>
          <w:szCs w:val="22"/>
        </w:rPr>
        <w:t>Incidencia del usuario en la calidad.</w:t>
      </w:r>
    </w:p>
    <w:p w:rsidR="00A53318" w:rsidRPr="00AD4C3A" w:rsidRDefault="00A53318" w:rsidP="008C3FB7">
      <w:pPr>
        <w:ind w:left="1800"/>
        <w:jc w:val="both"/>
        <w:rPr>
          <w:sz w:val="22"/>
          <w:szCs w:val="22"/>
        </w:rPr>
      </w:pPr>
    </w:p>
    <w:p w:rsidR="00A53318" w:rsidRPr="00AD4C3A" w:rsidRDefault="00A53318" w:rsidP="008C3FB7">
      <w:pPr>
        <w:numPr>
          <w:ilvl w:val="0"/>
          <w:numId w:val="6"/>
        </w:numPr>
        <w:tabs>
          <w:tab w:val="clear" w:pos="900"/>
        </w:tabs>
        <w:ind w:left="1134" w:hanging="425"/>
        <w:jc w:val="both"/>
        <w:rPr>
          <w:sz w:val="22"/>
          <w:szCs w:val="22"/>
        </w:rPr>
      </w:pPr>
      <w:r w:rsidRPr="00AD4C3A">
        <w:rPr>
          <w:sz w:val="22"/>
          <w:szCs w:val="22"/>
        </w:rPr>
        <w:t>La calidad del servicio comercial que está relacionado con los elementos siguientes:</w:t>
      </w:r>
    </w:p>
    <w:p w:rsidR="00A53318" w:rsidRPr="00AD4C3A" w:rsidRDefault="00A53318" w:rsidP="008C3FB7">
      <w:pPr>
        <w:tabs>
          <w:tab w:val="num" w:pos="1068"/>
        </w:tabs>
        <w:ind w:left="1066"/>
        <w:jc w:val="both"/>
        <w:rPr>
          <w:sz w:val="22"/>
          <w:szCs w:val="22"/>
        </w:rPr>
      </w:pPr>
    </w:p>
    <w:p w:rsidR="00A53318" w:rsidRPr="00AD4C3A" w:rsidRDefault="00A53318" w:rsidP="008C3FB7">
      <w:pPr>
        <w:numPr>
          <w:ilvl w:val="0"/>
          <w:numId w:val="8"/>
        </w:numPr>
        <w:tabs>
          <w:tab w:val="clear" w:pos="1800"/>
        </w:tabs>
        <w:ind w:hanging="382"/>
        <w:jc w:val="both"/>
        <w:rPr>
          <w:sz w:val="22"/>
          <w:szCs w:val="22"/>
        </w:rPr>
      </w:pPr>
      <w:r w:rsidRPr="00AD4C3A">
        <w:rPr>
          <w:sz w:val="22"/>
          <w:szCs w:val="22"/>
        </w:rPr>
        <w:t>La atención al usuario.</w:t>
      </w:r>
    </w:p>
    <w:p w:rsidR="00A53318" w:rsidRPr="00AD4C3A" w:rsidRDefault="00A53318" w:rsidP="008C3FB7">
      <w:pPr>
        <w:numPr>
          <w:ilvl w:val="0"/>
          <w:numId w:val="8"/>
        </w:numPr>
        <w:tabs>
          <w:tab w:val="clear" w:pos="1800"/>
        </w:tabs>
        <w:ind w:hanging="382"/>
        <w:jc w:val="both"/>
        <w:rPr>
          <w:sz w:val="22"/>
          <w:szCs w:val="22"/>
        </w:rPr>
      </w:pPr>
      <w:r w:rsidRPr="00AD4C3A">
        <w:rPr>
          <w:sz w:val="22"/>
          <w:szCs w:val="22"/>
        </w:rPr>
        <w:t>Los medios de atención al usuario.</w:t>
      </w:r>
    </w:p>
    <w:p w:rsidR="00A53318" w:rsidRPr="00AD4C3A" w:rsidRDefault="00A53318" w:rsidP="008C3FB7">
      <w:pPr>
        <w:numPr>
          <w:ilvl w:val="0"/>
          <w:numId w:val="8"/>
        </w:numPr>
        <w:tabs>
          <w:tab w:val="clear" w:pos="1800"/>
          <w:tab w:val="left" w:pos="993"/>
          <w:tab w:val="left" w:pos="1134"/>
          <w:tab w:val="left" w:pos="1843"/>
        </w:tabs>
        <w:ind w:left="993" w:firstLine="425"/>
        <w:jc w:val="both"/>
        <w:rPr>
          <w:sz w:val="22"/>
          <w:szCs w:val="22"/>
        </w:rPr>
      </w:pPr>
      <w:r w:rsidRPr="00AD4C3A">
        <w:rPr>
          <w:sz w:val="22"/>
          <w:szCs w:val="22"/>
        </w:rPr>
        <w:t>La precisión de los elementos de medición.</w:t>
      </w:r>
    </w:p>
    <w:p w:rsidR="00A53318" w:rsidRPr="00AD4C3A" w:rsidRDefault="00A53318" w:rsidP="008C3FB7">
      <w:pPr>
        <w:jc w:val="both"/>
        <w:rPr>
          <w:sz w:val="22"/>
          <w:szCs w:val="22"/>
        </w:rPr>
      </w:pPr>
    </w:p>
    <w:p w:rsidR="00A53318" w:rsidRPr="00AD4C3A" w:rsidRDefault="00A53318" w:rsidP="008C3FB7">
      <w:pPr>
        <w:tabs>
          <w:tab w:val="left" w:pos="284"/>
        </w:tabs>
        <w:ind w:left="567"/>
        <w:jc w:val="both"/>
        <w:rPr>
          <w:sz w:val="22"/>
          <w:szCs w:val="22"/>
        </w:rPr>
      </w:pPr>
      <w:r w:rsidRPr="00AD4C3A">
        <w:rPr>
          <w:sz w:val="22"/>
          <w:szCs w:val="22"/>
        </w:rPr>
        <w:t xml:space="preserve">Asimismo, el </w:t>
      </w:r>
      <w:r w:rsidR="006A1BB2" w:rsidRPr="00AD4C3A">
        <w:rPr>
          <w:sz w:val="22"/>
          <w:szCs w:val="22"/>
        </w:rPr>
        <w:t>Capítulo</w:t>
      </w:r>
      <w:r w:rsidRPr="00AD4C3A">
        <w:rPr>
          <w:sz w:val="22"/>
          <w:szCs w:val="22"/>
        </w:rPr>
        <w:t xml:space="preserve"> III. </w:t>
      </w:r>
      <w:r w:rsidR="004A6F1A" w:rsidRPr="00AD4C3A">
        <w:rPr>
          <w:sz w:val="22"/>
          <w:szCs w:val="22"/>
        </w:rPr>
        <w:t>Niveles de Calidad Comercial Garantizados a Cada Cliente,</w:t>
      </w:r>
      <w:r w:rsidRPr="00AD4C3A">
        <w:rPr>
          <w:sz w:val="22"/>
          <w:szCs w:val="22"/>
        </w:rPr>
        <w:t xml:space="preserve"> establece en el artículo 73, los índices de Calidad del Servicio Comercial Garantizados a cada usuario, definiendo sobre las estimaciones en la facturación lo siguiente:</w:t>
      </w:r>
    </w:p>
    <w:p w:rsidR="00A53318" w:rsidRPr="00AD4C3A" w:rsidRDefault="00A53318" w:rsidP="008C3FB7">
      <w:pPr>
        <w:tabs>
          <w:tab w:val="left" w:pos="284"/>
        </w:tabs>
        <w:jc w:val="both"/>
        <w:rPr>
          <w:sz w:val="22"/>
          <w:szCs w:val="22"/>
        </w:rPr>
      </w:pPr>
    </w:p>
    <w:p w:rsidR="00A53318" w:rsidRPr="00AD4C3A" w:rsidRDefault="00A53318" w:rsidP="008C3FB7">
      <w:pPr>
        <w:tabs>
          <w:tab w:val="left" w:pos="284"/>
        </w:tabs>
        <w:ind w:left="567"/>
        <w:jc w:val="both"/>
        <w:rPr>
          <w:i/>
          <w:sz w:val="22"/>
          <w:szCs w:val="22"/>
        </w:rPr>
      </w:pPr>
      <w:r w:rsidRPr="00AD4C3A">
        <w:rPr>
          <w:i/>
          <w:sz w:val="22"/>
          <w:szCs w:val="22"/>
        </w:rPr>
        <w:t xml:space="preserve">“”””c) Estimaciones en la Facturación (CFFE) Sin perjuicio de la obligación del distribuidor de facturar a sus usuarios finales en función de lecturas reales de sus medidores, se establecen los siguientes límites máximos a aquellos casos en los que el distribuidor tenga que estimar la facturación de un usuario final, debido a errores en la lectura o por no haber tomado la lectura del medidor por situaciones de probado caso fortuito o fuerza mayor. Los límites indicados determinan la cantidad de facturaciones no reales que el distribuidor debe emitir por esas causales a un mismo usuario final, durante un año calendario. </w:t>
      </w:r>
    </w:p>
    <w:p w:rsidR="00A53318" w:rsidRPr="00AD4C3A" w:rsidRDefault="00A53318" w:rsidP="008C3FB7">
      <w:pPr>
        <w:tabs>
          <w:tab w:val="left" w:pos="284"/>
        </w:tabs>
        <w:ind w:left="567"/>
        <w:jc w:val="both"/>
        <w:rPr>
          <w:i/>
          <w:sz w:val="22"/>
          <w:szCs w:val="22"/>
        </w:rPr>
      </w:pPr>
    </w:p>
    <w:p w:rsidR="00A53318" w:rsidRPr="00AD4C3A" w:rsidRDefault="00A53318" w:rsidP="008C3FB7">
      <w:pPr>
        <w:ind w:left="284"/>
        <w:jc w:val="both"/>
        <w:rPr>
          <w:i/>
          <w:sz w:val="22"/>
          <w:szCs w:val="22"/>
        </w:rPr>
      </w:pPr>
    </w:p>
    <w:tbl>
      <w:tblPr>
        <w:tblStyle w:val="Tablaconcuadrcula"/>
        <w:tblW w:w="8364" w:type="dxa"/>
        <w:tblInd w:w="675" w:type="dxa"/>
        <w:tblLook w:val="04A0" w:firstRow="1" w:lastRow="0" w:firstColumn="1" w:lastColumn="0" w:noHBand="0" w:noVBand="1"/>
      </w:tblPr>
      <w:tblGrid>
        <w:gridCol w:w="4315"/>
        <w:gridCol w:w="4049"/>
      </w:tblGrid>
      <w:tr w:rsidR="00A53318" w:rsidRPr="00AD4C3A" w:rsidTr="00C12836">
        <w:tc>
          <w:tcPr>
            <w:tcW w:w="4315" w:type="dxa"/>
          </w:tcPr>
          <w:p w:rsidR="00A53318" w:rsidRPr="00AD4C3A" w:rsidRDefault="00A53318" w:rsidP="008C3FB7">
            <w:pPr>
              <w:ind w:left="284"/>
              <w:jc w:val="both"/>
              <w:rPr>
                <w:i/>
                <w:sz w:val="22"/>
                <w:szCs w:val="22"/>
              </w:rPr>
            </w:pPr>
            <w:r w:rsidRPr="00AD4C3A">
              <w:rPr>
                <w:i/>
                <w:sz w:val="22"/>
                <w:szCs w:val="22"/>
              </w:rPr>
              <w:t>Etapas de Implementación Régimen</w:t>
            </w:r>
          </w:p>
        </w:tc>
        <w:tc>
          <w:tcPr>
            <w:tcW w:w="4049" w:type="dxa"/>
          </w:tcPr>
          <w:p w:rsidR="00A53318" w:rsidRPr="00AD4C3A" w:rsidRDefault="00A53318" w:rsidP="008C3FB7">
            <w:pPr>
              <w:ind w:left="284"/>
              <w:jc w:val="both"/>
              <w:rPr>
                <w:i/>
                <w:sz w:val="22"/>
                <w:szCs w:val="22"/>
              </w:rPr>
            </w:pPr>
            <w:r w:rsidRPr="00AD4C3A">
              <w:rPr>
                <w:i/>
                <w:sz w:val="22"/>
                <w:szCs w:val="22"/>
              </w:rPr>
              <w:t>Etapas de Implementación Régimen</w:t>
            </w:r>
          </w:p>
        </w:tc>
      </w:tr>
      <w:tr w:rsidR="00A53318" w:rsidRPr="00AD4C3A" w:rsidTr="00C12836">
        <w:tc>
          <w:tcPr>
            <w:tcW w:w="4315" w:type="dxa"/>
          </w:tcPr>
          <w:p w:rsidR="00A53318" w:rsidRPr="00AD4C3A" w:rsidRDefault="00A53318" w:rsidP="008C3FB7">
            <w:pPr>
              <w:ind w:left="284"/>
              <w:jc w:val="both"/>
              <w:rPr>
                <w:i/>
                <w:sz w:val="22"/>
                <w:szCs w:val="22"/>
              </w:rPr>
            </w:pPr>
            <w:r w:rsidRPr="00AD4C3A">
              <w:rPr>
                <w:i/>
                <w:sz w:val="22"/>
                <w:szCs w:val="22"/>
              </w:rPr>
              <w:t>AREA GEOGRAFICA LÍMITE ADMISIBLE</w:t>
            </w:r>
          </w:p>
        </w:tc>
        <w:tc>
          <w:tcPr>
            <w:tcW w:w="4049" w:type="dxa"/>
          </w:tcPr>
          <w:p w:rsidR="00A53318" w:rsidRPr="00AD4C3A" w:rsidRDefault="00A53318" w:rsidP="008C3FB7">
            <w:pPr>
              <w:ind w:left="284"/>
              <w:jc w:val="both"/>
              <w:rPr>
                <w:i/>
                <w:sz w:val="22"/>
                <w:szCs w:val="22"/>
              </w:rPr>
            </w:pPr>
            <w:r w:rsidRPr="00AD4C3A">
              <w:rPr>
                <w:i/>
                <w:sz w:val="22"/>
                <w:szCs w:val="22"/>
              </w:rPr>
              <w:t>AREA GEOGRAFICA LÍMITE ADMISIBLE</w:t>
            </w:r>
          </w:p>
        </w:tc>
      </w:tr>
      <w:tr w:rsidR="00A53318" w:rsidRPr="00AD4C3A" w:rsidTr="00C12836">
        <w:tc>
          <w:tcPr>
            <w:tcW w:w="4315" w:type="dxa"/>
          </w:tcPr>
          <w:p w:rsidR="00A53318" w:rsidRPr="00AD4C3A" w:rsidRDefault="00A53318" w:rsidP="008C3FB7">
            <w:pPr>
              <w:ind w:left="284"/>
              <w:jc w:val="both"/>
              <w:rPr>
                <w:i/>
                <w:sz w:val="22"/>
                <w:szCs w:val="22"/>
              </w:rPr>
            </w:pPr>
            <w:r w:rsidRPr="00AD4C3A">
              <w:rPr>
                <w:i/>
                <w:sz w:val="22"/>
                <w:szCs w:val="22"/>
              </w:rPr>
              <w:t>Densidad Demográfica Alta 2 facturas</w:t>
            </w:r>
          </w:p>
        </w:tc>
        <w:tc>
          <w:tcPr>
            <w:tcW w:w="4049" w:type="dxa"/>
          </w:tcPr>
          <w:p w:rsidR="00A53318" w:rsidRPr="00AD4C3A" w:rsidRDefault="00A53318" w:rsidP="008C3FB7">
            <w:pPr>
              <w:ind w:left="284"/>
              <w:jc w:val="both"/>
              <w:rPr>
                <w:i/>
                <w:sz w:val="22"/>
                <w:szCs w:val="22"/>
              </w:rPr>
            </w:pPr>
            <w:r w:rsidRPr="00AD4C3A">
              <w:rPr>
                <w:i/>
                <w:sz w:val="22"/>
                <w:szCs w:val="22"/>
              </w:rPr>
              <w:t>Densidad Demográfica Alta 2 facturas</w:t>
            </w:r>
          </w:p>
        </w:tc>
      </w:tr>
      <w:tr w:rsidR="00A53318" w:rsidRPr="00AD4C3A" w:rsidTr="00C12836">
        <w:tc>
          <w:tcPr>
            <w:tcW w:w="4315" w:type="dxa"/>
          </w:tcPr>
          <w:p w:rsidR="00A53318" w:rsidRPr="00AD4C3A" w:rsidRDefault="00A53318" w:rsidP="008C3FB7">
            <w:pPr>
              <w:ind w:left="284"/>
              <w:jc w:val="both"/>
              <w:rPr>
                <w:i/>
                <w:sz w:val="22"/>
                <w:szCs w:val="22"/>
              </w:rPr>
            </w:pPr>
            <w:r w:rsidRPr="00AD4C3A">
              <w:rPr>
                <w:i/>
                <w:sz w:val="22"/>
                <w:szCs w:val="22"/>
              </w:rPr>
              <w:t>Densidad Demográfica Media 3 facturas</w:t>
            </w:r>
          </w:p>
        </w:tc>
        <w:tc>
          <w:tcPr>
            <w:tcW w:w="4049" w:type="dxa"/>
          </w:tcPr>
          <w:p w:rsidR="00A53318" w:rsidRPr="00AD4C3A" w:rsidRDefault="00A53318" w:rsidP="008C3FB7">
            <w:pPr>
              <w:ind w:left="284"/>
              <w:jc w:val="both"/>
              <w:rPr>
                <w:i/>
                <w:sz w:val="22"/>
                <w:szCs w:val="22"/>
              </w:rPr>
            </w:pPr>
            <w:r w:rsidRPr="00AD4C3A">
              <w:rPr>
                <w:i/>
                <w:sz w:val="22"/>
                <w:szCs w:val="22"/>
              </w:rPr>
              <w:t>Densidad Demográfica Media 3 facturas</w:t>
            </w:r>
          </w:p>
        </w:tc>
      </w:tr>
      <w:tr w:rsidR="00A53318" w:rsidRPr="00AD4C3A" w:rsidTr="00C12836">
        <w:tc>
          <w:tcPr>
            <w:tcW w:w="4315" w:type="dxa"/>
          </w:tcPr>
          <w:p w:rsidR="00A53318" w:rsidRPr="00AD4C3A" w:rsidRDefault="00A53318" w:rsidP="008C3FB7">
            <w:pPr>
              <w:ind w:left="284"/>
              <w:jc w:val="both"/>
              <w:rPr>
                <w:i/>
                <w:sz w:val="22"/>
                <w:szCs w:val="22"/>
              </w:rPr>
            </w:pPr>
            <w:r w:rsidRPr="00AD4C3A">
              <w:rPr>
                <w:i/>
                <w:sz w:val="22"/>
                <w:szCs w:val="22"/>
              </w:rPr>
              <w:t>Densidad Demográfica Baja 3 facturas</w:t>
            </w:r>
          </w:p>
        </w:tc>
        <w:tc>
          <w:tcPr>
            <w:tcW w:w="4049" w:type="dxa"/>
          </w:tcPr>
          <w:p w:rsidR="00A53318" w:rsidRPr="00AD4C3A" w:rsidRDefault="00A53318" w:rsidP="008C3FB7">
            <w:pPr>
              <w:ind w:left="284"/>
              <w:jc w:val="both"/>
              <w:rPr>
                <w:i/>
                <w:sz w:val="22"/>
                <w:szCs w:val="22"/>
              </w:rPr>
            </w:pPr>
            <w:r w:rsidRPr="00AD4C3A">
              <w:rPr>
                <w:i/>
                <w:sz w:val="22"/>
                <w:szCs w:val="22"/>
              </w:rPr>
              <w:t>Densidad Demográfica Baja 3 facturas</w:t>
            </w:r>
          </w:p>
        </w:tc>
      </w:tr>
    </w:tbl>
    <w:p w:rsidR="00A53318" w:rsidRPr="00AD4C3A" w:rsidRDefault="00A53318" w:rsidP="008C3FB7">
      <w:pPr>
        <w:ind w:left="284"/>
        <w:jc w:val="both"/>
        <w:rPr>
          <w:i/>
          <w:sz w:val="22"/>
          <w:szCs w:val="22"/>
        </w:rPr>
      </w:pPr>
    </w:p>
    <w:p w:rsidR="00A53318" w:rsidRPr="00AD4C3A" w:rsidRDefault="00A53318" w:rsidP="008C3FB7">
      <w:pPr>
        <w:ind w:firstLine="708"/>
        <w:jc w:val="both"/>
        <w:rPr>
          <w:i/>
          <w:sz w:val="22"/>
          <w:szCs w:val="22"/>
        </w:rPr>
      </w:pPr>
      <w:r w:rsidRPr="00AD4C3A">
        <w:rPr>
          <w:i/>
          <w:sz w:val="22"/>
          <w:szCs w:val="22"/>
        </w:rPr>
        <w:t>(…)”””</w:t>
      </w:r>
    </w:p>
    <w:p w:rsidR="00A53318" w:rsidRPr="00AD4C3A" w:rsidRDefault="00A53318" w:rsidP="008C3FB7">
      <w:pPr>
        <w:jc w:val="both"/>
        <w:rPr>
          <w:i/>
          <w:sz w:val="22"/>
          <w:szCs w:val="22"/>
        </w:rPr>
      </w:pPr>
    </w:p>
    <w:p w:rsidR="00A53318" w:rsidRPr="00AD4C3A" w:rsidRDefault="00A53318" w:rsidP="008C3FB7">
      <w:pPr>
        <w:ind w:left="567"/>
        <w:jc w:val="both"/>
        <w:rPr>
          <w:i/>
          <w:sz w:val="22"/>
          <w:szCs w:val="22"/>
        </w:rPr>
      </w:pPr>
      <w:r w:rsidRPr="00AD4C3A">
        <w:rPr>
          <w:sz w:val="22"/>
          <w:szCs w:val="22"/>
        </w:rPr>
        <w:lastRenderedPageBreak/>
        <w:t>Por su parte,</w:t>
      </w:r>
      <w:r w:rsidR="004A6F1A" w:rsidRPr="00AD4C3A">
        <w:rPr>
          <w:sz w:val="22"/>
          <w:szCs w:val="22"/>
        </w:rPr>
        <w:t xml:space="preserve"> el artículo 80.c. denominado C</w:t>
      </w:r>
      <w:r w:rsidRPr="00AD4C3A">
        <w:rPr>
          <w:sz w:val="22"/>
          <w:szCs w:val="22"/>
        </w:rPr>
        <w:t xml:space="preserve">ompensación por Incumplimiento a los Niveles de la Calidad de Servicio Comercial Garantizado a Cada Cliente, establece que </w:t>
      </w:r>
      <w:r w:rsidRPr="00AD4C3A">
        <w:rPr>
          <w:i/>
          <w:sz w:val="22"/>
          <w:szCs w:val="22"/>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rsidR="00196221" w:rsidRPr="00AD4C3A" w:rsidRDefault="00196221" w:rsidP="008C3FB7">
      <w:pPr>
        <w:ind w:left="567"/>
        <w:jc w:val="both"/>
        <w:rPr>
          <w:i/>
          <w:sz w:val="22"/>
          <w:szCs w:val="22"/>
        </w:rPr>
      </w:pPr>
    </w:p>
    <w:p w:rsidR="00196221" w:rsidRPr="00AD4C3A" w:rsidRDefault="00196221" w:rsidP="009C582D">
      <w:pPr>
        <w:ind w:left="567"/>
        <w:jc w:val="both"/>
        <w:rPr>
          <w:i/>
          <w:sz w:val="22"/>
          <w:szCs w:val="22"/>
        </w:rPr>
      </w:pPr>
      <w:r w:rsidRPr="00AD4C3A">
        <w:rPr>
          <w:sz w:val="22"/>
          <w:szCs w:val="22"/>
        </w:rPr>
        <w:t xml:space="preserve">Además, el artículo </w:t>
      </w:r>
      <w:r w:rsidRPr="00AD4C3A">
        <w:rPr>
          <w:rFonts w:eastAsiaTheme="minorHAnsi"/>
          <w:sz w:val="22"/>
          <w:szCs w:val="22"/>
          <w:lang w:val="es-SV" w:eastAsia="en-US"/>
        </w:rPr>
        <w:t>80.e.</w:t>
      </w:r>
      <w:r w:rsidR="009C582D" w:rsidRPr="00AD4C3A">
        <w:rPr>
          <w:rFonts w:eastAsiaTheme="minorHAnsi"/>
          <w:sz w:val="22"/>
          <w:szCs w:val="22"/>
          <w:lang w:val="es-SV" w:eastAsia="en-US"/>
        </w:rPr>
        <w:t xml:space="preserve"> se define que </w:t>
      </w:r>
      <w:r w:rsidR="009C582D" w:rsidRPr="00AD4C3A">
        <w:rPr>
          <w:rFonts w:eastAsiaTheme="minorHAnsi"/>
          <w:i/>
          <w:sz w:val="22"/>
          <w:szCs w:val="22"/>
          <w:lang w:val="es-SV" w:eastAsia="en-US"/>
        </w:rPr>
        <w:t>“L</w:t>
      </w:r>
      <w:r w:rsidRPr="00AD4C3A">
        <w:rPr>
          <w:rFonts w:eastAsiaTheme="minorHAnsi"/>
          <w:i/>
          <w:sz w:val="22"/>
          <w:szCs w:val="22"/>
          <w:lang w:val="es-SV" w:eastAsia="en-US"/>
        </w:rPr>
        <w:t>a empresa distribuidora deberá procesar durante los primeros quince (15) días calendario</w:t>
      </w:r>
      <w:r w:rsidR="009C582D" w:rsidRPr="00AD4C3A">
        <w:rPr>
          <w:rFonts w:eastAsiaTheme="minorHAnsi"/>
          <w:i/>
          <w:sz w:val="22"/>
          <w:szCs w:val="22"/>
          <w:lang w:val="es-SV" w:eastAsia="en-US"/>
        </w:rPr>
        <w:t xml:space="preserve"> </w:t>
      </w:r>
      <w:r w:rsidRPr="00AD4C3A">
        <w:rPr>
          <w:rFonts w:eastAsiaTheme="minorHAnsi"/>
          <w:i/>
          <w:sz w:val="22"/>
          <w:szCs w:val="22"/>
          <w:lang w:val="es-SV" w:eastAsia="en-US"/>
        </w:rPr>
        <w:t>del mes, las reducciones tarifarias correspondientes al mes anterior, debidas a incumplimientos en los</w:t>
      </w:r>
      <w:r w:rsidR="009C582D" w:rsidRPr="00AD4C3A">
        <w:rPr>
          <w:rFonts w:eastAsiaTheme="minorHAnsi"/>
          <w:i/>
          <w:sz w:val="22"/>
          <w:szCs w:val="22"/>
          <w:lang w:val="es-SV" w:eastAsia="en-US"/>
        </w:rPr>
        <w:t xml:space="preserve"> </w:t>
      </w:r>
      <w:r w:rsidRPr="00AD4C3A">
        <w:rPr>
          <w:rFonts w:eastAsiaTheme="minorHAnsi"/>
          <w:i/>
          <w:sz w:val="22"/>
          <w:szCs w:val="22"/>
          <w:lang w:val="es-SV" w:eastAsia="en-US"/>
        </w:rPr>
        <w:t>Niveles de la Calidad de Servicio Comercial Garantizados a Cada Cliente, como ha sido establecido</w:t>
      </w:r>
      <w:r w:rsidR="009C582D" w:rsidRPr="00AD4C3A">
        <w:rPr>
          <w:rFonts w:eastAsiaTheme="minorHAnsi"/>
          <w:i/>
          <w:sz w:val="22"/>
          <w:szCs w:val="22"/>
          <w:lang w:val="es-SV" w:eastAsia="en-US"/>
        </w:rPr>
        <w:t xml:space="preserve"> </w:t>
      </w:r>
      <w:r w:rsidRPr="00AD4C3A">
        <w:rPr>
          <w:rFonts w:eastAsiaTheme="minorHAnsi"/>
          <w:i/>
          <w:sz w:val="22"/>
          <w:szCs w:val="22"/>
          <w:lang w:val="es-SV" w:eastAsia="en-US"/>
        </w:rPr>
        <w:t>en los artículos precedentes. La reducción tarifaria se aplicará en forma individual a cada usuario, la</w:t>
      </w:r>
      <w:r w:rsidR="009C582D" w:rsidRPr="00AD4C3A">
        <w:rPr>
          <w:rFonts w:eastAsiaTheme="minorHAnsi"/>
          <w:i/>
          <w:sz w:val="22"/>
          <w:szCs w:val="22"/>
          <w:lang w:val="es-SV" w:eastAsia="en-US"/>
        </w:rPr>
        <w:t xml:space="preserve"> </w:t>
      </w:r>
      <w:r w:rsidRPr="00AD4C3A">
        <w:rPr>
          <w:rFonts w:eastAsiaTheme="minorHAnsi"/>
          <w:i/>
          <w:sz w:val="22"/>
          <w:szCs w:val="22"/>
          <w:lang w:val="es-SV" w:eastAsia="en-US"/>
        </w:rPr>
        <w:t>cual se reconocerá en un crédito único, en el siguiente ciclo de facturación, posterior al mes de cálculo</w:t>
      </w:r>
      <w:r w:rsidR="009C582D" w:rsidRPr="00AD4C3A">
        <w:rPr>
          <w:rFonts w:eastAsiaTheme="minorHAnsi"/>
          <w:i/>
          <w:sz w:val="22"/>
          <w:szCs w:val="22"/>
          <w:lang w:val="es-SV" w:eastAsia="en-US"/>
        </w:rPr>
        <w:t xml:space="preserve"> </w:t>
      </w:r>
      <w:r w:rsidRPr="00AD4C3A">
        <w:rPr>
          <w:rFonts w:eastAsiaTheme="minorHAnsi"/>
          <w:i/>
          <w:sz w:val="22"/>
          <w:szCs w:val="22"/>
          <w:lang w:val="es-SV" w:eastAsia="en-US"/>
        </w:rPr>
        <w:t>del monto a compensar; en aquellos casos en que el monto a compensar supere el valor total de la</w:t>
      </w:r>
      <w:r w:rsidR="009C582D" w:rsidRPr="00AD4C3A">
        <w:rPr>
          <w:rFonts w:eastAsiaTheme="minorHAnsi"/>
          <w:i/>
          <w:sz w:val="22"/>
          <w:szCs w:val="22"/>
          <w:lang w:val="es-SV" w:eastAsia="en-US"/>
        </w:rPr>
        <w:t xml:space="preserve"> </w:t>
      </w:r>
      <w:r w:rsidRPr="00AD4C3A">
        <w:rPr>
          <w:rFonts w:eastAsiaTheme="minorHAnsi"/>
          <w:i/>
          <w:sz w:val="22"/>
          <w:szCs w:val="22"/>
          <w:lang w:val="es-SV" w:eastAsia="en-US"/>
        </w:rPr>
        <w:t>factura, el complemento de la compensación se aplicará en el siguiente ciclo de facturación.</w:t>
      </w:r>
      <w:r w:rsidR="009C582D" w:rsidRPr="00AD4C3A">
        <w:rPr>
          <w:rFonts w:eastAsiaTheme="minorHAnsi"/>
          <w:i/>
          <w:sz w:val="22"/>
          <w:szCs w:val="22"/>
          <w:lang w:val="es-SV" w:eastAsia="en-US"/>
        </w:rPr>
        <w:t>”.</w:t>
      </w:r>
    </w:p>
    <w:p w:rsidR="00A53318" w:rsidRPr="00AD4C3A" w:rsidRDefault="00A53318" w:rsidP="008C3FB7">
      <w:pPr>
        <w:ind w:left="709"/>
        <w:jc w:val="both"/>
        <w:rPr>
          <w:i/>
          <w:sz w:val="22"/>
          <w:szCs w:val="22"/>
        </w:rPr>
      </w:pPr>
    </w:p>
    <w:p w:rsidR="00A53318" w:rsidRPr="00AD4C3A" w:rsidRDefault="00A53318" w:rsidP="008C3FB7">
      <w:pPr>
        <w:pStyle w:val="Prrafodelista"/>
        <w:numPr>
          <w:ilvl w:val="0"/>
          <w:numId w:val="9"/>
        </w:numPr>
        <w:tabs>
          <w:tab w:val="left" w:pos="567"/>
        </w:tabs>
        <w:ind w:left="993" w:hanging="426"/>
        <w:jc w:val="both"/>
        <w:rPr>
          <w:sz w:val="22"/>
          <w:szCs w:val="22"/>
        </w:rPr>
      </w:pPr>
      <w:r w:rsidRPr="00AD4C3A">
        <w:rPr>
          <w:sz w:val="22"/>
          <w:szCs w:val="22"/>
          <w:lang w:val="es-ES_tradnl"/>
        </w:rPr>
        <w:t xml:space="preserve">Anexo A de la Metodología Para el Control de la Calidad del Servicio Comercial de las Normas de </w:t>
      </w:r>
      <w:r w:rsidRPr="00AD4C3A">
        <w:rPr>
          <w:sz w:val="22"/>
          <w:szCs w:val="22"/>
        </w:rPr>
        <w:t>Calidad del Servicio de los Sistemas de Distribución</w:t>
      </w:r>
    </w:p>
    <w:p w:rsidR="00A53318" w:rsidRPr="00AD4C3A" w:rsidRDefault="00A53318" w:rsidP="008C3FB7">
      <w:pPr>
        <w:pStyle w:val="Prrafodelista"/>
        <w:tabs>
          <w:tab w:val="left" w:pos="993"/>
        </w:tabs>
        <w:ind w:left="426"/>
        <w:jc w:val="both"/>
        <w:rPr>
          <w:sz w:val="22"/>
          <w:szCs w:val="22"/>
        </w:rPr>
      </w:pPr>
    </w:p>
    <w:p w:rsidR="00A53318" w:rsidRPr="00AD4C3A" w:rsidRDefault="00A53318" w:rsidP="008C3FB7">
      <w:pPr>
        <w:pStyle w:val="Ttulo2"/>
        <w:spacing w:before="0" w:line="240" w:lineRule="auto"/>
        <w:ind w:left="284" w:firstLine="424"/>
        <w:jc w:val="both"/>
        <w:rPr>
          <w:rFonts w:ascii="Times New Roman" w:hAnsi="Times New Roman" w:cs="Times New Roman"/>
          <w:b w:val="0"/>
          <w:i/>
          <w:color w:val="auto"/>
          <w:sz w:val="22"/>
          <w:szCs w:val="22"/>
          <w:lang w:val="es-ES_tradnl"/>
        </w:rPr>
      </w:pPr>
      <w:bookmarkStart w:id="0" w:name="_Toc4578287"/>
      <w:bookmarkStart w:id="1" w:name="_Toc94085153"/>
      <w:bookmarkStart w:id="2" w:name="_Toc94085156"/>
      <w:bookmarkStart w:id="3" w:name="_Toc4578288"/>
      <w:bookmarkStart w:id="4" w:name="_Toc94085163"/>
      <w:r w:rsidRPr="00AD4C3A">
        <w:rPr>
          <w:rFonts w:ascii="Times New Roman" w:hAnsi="Times New Roman" w:cs="Times New Roman"/>
          <w:b w:val="0"/>
          <w:i/>
          <w:color w:val="auto"/>
          <w:sz w:val="22"/>
          <w:szCs w:val="22"/>
          <w:lang w:val="es-ES_tradnl"/>
        </w:rPr>
        <w:t>“(…)  3.2 Niveles de Calidad Comercial Garantizados a Cada Usuario</w:t>
      </w:r>
      <w:bookmarkEnd w:id="0"/>
      <w:bookmarkEnd w:id="1"/>
    </w:p>
    <w:p w:rsidR="00A53318" w:rsidRPr="00AD4C3A" w:rsidRDefault="00A53318" w:rsidP="008C3FB7">
      <w:pPr>
        <w:ind w:left="284"/>
        <w:jc w:val="both"/>
        <w:rPr>
          <w:i/>
          <w:sz w:val="22"/>
          <w:szCs w:val="22"/>
          <w:lang w:val="es-ES_tradnl"/>
        </w:rPr>
      </w:pPr>
    </w:p>
    <w:p w:rsidR="00A53318" w:rsidRPr="00AD4C3A" w:rsidRDefault="00A53318" w:rsidP="008C3FB7">
      <w:pPr>
        <w:ind w:left="567"/>
        <w:jc w:val="both"/>
        <w:rPr>
          <w:i/>
          <w:sz w:val="22"/>
          <w:szCs w:val="22"/>
          <w:lang w:val="es-ES_tradnl"/>
        </w:rPr>
      </w:pPr>
      <w:r w:rsidRPr="00AD4C3A">
        <w:rPr>
          <w:i/>
          <w:sz w:val="22"/>
          <w:szCs w:val="22"/>
          <w:lang w:val="es-ES_tradnl"/>
        </w:rPr>
        <w:t>Se considera como índices de Calidad del Servicio Comercial Garantizados a Cada Cliente, a los tiempos de respuesta asociados a: (…)</w:t>
      </w:r>
    </w:p>
    <w:p w:rsidR="00A53318" w:rsidRPr="00AD4C3A" w:rsidRDefault="00A53318" w:rsidP="008C3FB7">
      <w:pPr>
        <w:ind w:left="284"/>
        <w:jc w:val="both"/>
        <w:rPr>
          <w:i/>
          <w:sz w:val="22"/>
          <w:szCs w:val="22"/>
          <w:lang w:val="es-ES_tradnl"/>
        </w:rPr>
      </w:pPr>
    </w:p>
    <w:p w:rsidR="00A53318" w:rsidRPr="00AD4C3A" w:rsidRDefault="00A53318" w:rsidP="008C3FB7">
      <w:pPr>
        <w:pStyle w:val="Ttulo4"/>
        <w:spacing w:before="0" w:line="240" w:lineRule="auto"/>
        <w:ind w:left="284" w:firstLine="283"/>
        <w:jc w:val="both"/>
        <w:rPr>
          <w:rFonts w:ascii="Times New Roman" w:hAnsi="Times New Roman" w:cs="Times New Roman"/>
          <w:b w:val="0"/>
          <w:caps/>
          <w:color w:val="auto"/>
          <w:lang w:val="es-ES_tradnl"/>
        </w:rPr>
      </w:pPr>
      <w:r w:rsidRPr="00AD4C3A">
        <w:rPr>
          <w:rFonts w:ascii="Times New Roman" w:hAnsi="Times New Roman" w:cs="Times New Roman"/>
          <w:b w:val="0"/>
          <w:caps/>
          <w:color w:val="auto"/>
          <w:lang w:val="es-ES_tradnl"/>
        </w:rPr>
        <w:t>C. Estimaciones en la Facturación (CFFE)</w:t>
      </w:r>
      <w:bookmarkEnd w:id="2"/>
    </w:p>
    <w:p w:rsidR="00A53318" w:rsidRPr="00AD4C3A" w:rsidRDefault="00A53318" w:rsidP="008C3FB7">
      <w:pPr>
        <w:ind w:left="284"/>
        <w:jc w:val="both"/>
        <w:rPr>
          <w:sz w:val="22"/>
          <w:szCs w:val="22"/>
          <w:lang w:val="es-ES_tradnl"/>
        </w:rPr>
      </w:pPr>
    </w:p>
    <w:p w:rsidR="00A53318" w:rsidRPr="00AD4C3A" w:rsidRDefault="00A53318" w:rsidP="008C3FB7">
      <w:pPr>
        <w:ind w:left="567"/>
        <w:jc w:val="both"/>
        <w:rPr>
          <w:i/>
          <w:sz w:val="22"/>
          <w:szCs w:val="22"/>
          <w:lang w:val="es-ES_tradnl"/>
        </w:rPr>
      </w:pPr>
      <w:r w:rsidRPr="00AD4C3A">
        <w:rPr>
          <w:i/>
          <w:sz w:val="22"/>
          <w:szCs w:val="22"/>
          <w:lang w:val="es-ES_tradnl"/>
        </w:rPr>
        <w:t>Sin perjuicio de la obligación de la distribuidora de facturar a sus usuarios finales en función de lecturas reales de sus medidores, se establecen diferentes límites de acuerdo al área geográfica en la que habita el usuario  (Densidad Demográfica Alta, Media y Baja) a aquellos casos en los que la distribuidora tenga que estimar la facturación de un usuario final, debido a errores en la lectura o por no haber tomado la lectura del medidor por situaciones adjudicables a fuerza mayor o caso fortuito. Los límites indicados determinan la cantidad de facturaciones no reales que la distribuidora podrá emitir por esas causales a un mismo usuario final, durante un año calendario. (…)</w:t>
      </w:r>
    </w:p>
    <w:p w:rsidR="00A53318" w:rsidRPr="00AD4C3A" w:rsidRDefault="00A53318" w:rsidP="008C3FB7">
      <w:pPr>
        <w:pStyle w:val="Ttulo2"/>
        <w:spacing w:before="0" w:line="240" w:lineRule="auto"/>
        <w:ind w:left="567" w:firstLine="141"/>
        <w:jc w:val="both"/>
        <w:rPr>
          <w:rFonts w:ascii="Times New Roman" w:hAnsi="Times New Roman" w:cs="Times New Roman"/>
          <w:b w:val="0"/>
          <w:i/>
          <w:color w:val="auto"/>
          <w:sz w:val="22"/>
          <w:szCs w:val="22"/>
          <w:lang w:val="es-ES_tradnl"/>
        </w:rPr>
      </w:pPr>
    </w:p>
    <w:p w:rsidR="00A53318" w:rsidRPr="00AD4C3A" w:rsidRDefault="00A53318" w:rsidP="008C3FB7">
      <w:pPr>
        <w:pStyle w:val="Ttulo2"/>
        <w:spacing w:before="0" w:line="240" w:lineRule="auto"/>
        <w:ind w:left="567"/>
        <w:jc w:val="both"/>
        <w:rPr>
          <w:rFonts w:ascii="Times New Roman" w:hAnsi="Times New Roman" w:cs="Times New Roman"/>
          <w:b w:val="0"/>
          <w:i/>
          <w:color w:val="auto"/>
          <w:sz w:val="22"/>
          <w:szCs w:val="22"/>
          <w:lang w:val="es-ES_tradnl"/>
        </w:rPr>
      </w:pPr>
      <w:r w:rsidRPr="00AD4C3A">
        <w:rPr>
          <w:rFonts w:ascii="Times New Roman" w:hAnsi="Times New Roman" w:cs="Times New Roman"/>
          <w:b w:val="0"/>
          <w:i/>
          <w:color w:val="auto"/>
          <w:sz w:val="22"/>
          <w:szCs w:val="22"/>
          <w:lang w:val="es-ES_tradnl"/>
        </w:rPr>
        <w:t>3.3 Incumplimientos por Causales de Fuerza Mayor, caso Fortuito o no Imputables al Accionar de la Distribuidora</w:t>
      </w:r>
      <w:bookmarkEnd w:id="3"/>
      <w:bookmarkEnd w:id="4"/>
    </w:p>
    <w:p w:rsidR="00A53318" w:rsidRPr="00AD4C3A" w:rsidRDefault="00A53318" w:rsidP="008C3FB7">
      <w:pPr>
        <w:ind w:left="567" w:firstLine="141"/>
        <w:jc w:val="both"/>
        <w:rPr>
          <w:sz w:val="22"/>
          <w:szCs w:val="22"/>
          <w:lang w:val="es-ES_tradnl"/>
        </w:rPr>
      </w:pPr>
    </w:p>
    <w:p w:rsidR="00A53318" w:rsidRPr="00AD4C3A" w:rsidRDefault="00A53318" w:rsidP="008C3FB7">
      <w:pPr>
        <w:ind w:left="567"/>
        <w:jc w:val="both"/>
        <w:rPr>
          <w:i/>
          <w:sz w:val="22"/>
          <w:szCs w:val="22"/>
          <w:lang w:val="es-ES_tradnl"/>
        </w:rPr>
      </w:pPr>
      <w:r w:rsidRPr="00AD4C3A">
        <w:rPr>
          <w:i/>
          <w:sz w:val="22"/>
          <w:szCs w:val="22"/>
          <w:lang w:val="es-ES_tradnl"/>
        </w:rPr>
        <w:t>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w:t>
      </w:r>
    </w:p>
    <w:p w:rsidR="00A53318" w:rsidRPr="00AD4C3A" w:rsidRDefault="00A53318" w:rsidP="008C3FB7">
      <w:pPr>
        <w:ind w:left="709"/>
        <w:jc w:val="both"/>
        <w:rPr>
          <w:i/>
          <w:sz w:val="22"/>
          <w:szCs w:val="22"/>
          <w:lang w:val="es-ES_tradnl"/>
        </w:rPr>
      </w:pPr>
    </w:p>
    <w:p w:rsidR="00A53318" w:rsidRPr="00AD4C3A" w:rsidRDefault="00A53318" w:rsidP="008C3FB7">
      <w:pPr>
        <w:pStyle w:val="Textoindependiente3"/>
        <w:spacing w:after="0" w:line="240" w:lineRule="auto"/>
        <w:ind w:left="567"/>
        <w:jc w:val="both"/>
        <w:rPr>
          <w:rFonts w:ascii="Times New Roman" w:hAnsi="Times New Roman" w:cs="Times New Roman"/>
          <w:i/>
          <w:sz w:val="22"/>
          <w:szCs w:val="22"/>
        </w:rPr>
      </w:pPr>
      <w:r w:rsidRPr="00AD4C3A">
        <w:rPr>
          <w:rFonts w:ascii="Times New Roman" w:hAnsi="Times New Roman" w:cs="Times New Roman"/>
          <w:i/>
          <w:sz w:val="22"/>
          <w:szCs w:val="22"/>
        </w:rPr>
        <w:t xml:space="preserve">La definición, alcances y efectos del Caso Fortuito o de Fuerza Mayor han sido definidos según lo establecido en la Metodología </w:t>
      </w:r>
      <w:r w:rsidR="00F75EE0" w:rsidRPr="00AD4C3A">
        <w:rPr>
          <w:rFonts w:ascii="Times New Roman" w:hAnsi="Times New Roman" w:cs="Times New Roman"/>
          <w:i/>
          <w:sz w:val="22"/>
          <w:szCs w:val="22"/>
        </w:rPr>
        <w:t>emitida por</w:t>
      </w:r>
      <w:r w:rsidRPr="00AD4C3A">
        <w:rPr>
          <w:rFonts w:ascii="Times New Roman" w:hAnsi="Times New Roman" w:cs="Times New Roman"/>
          <w:i/>
          <w:sz w:val="22"/>
          <w:szCs w:val="22"/>
        </w:rPr>
        <w:t xml:space="preserve"> la SIGET. (…)”</w:t>
      </w:r>
    </w:p>
    <w:p w:rsidR="00A53318" w:rsidRPr="00AD4C3A" w:rsidRDefault="00A53318" w:rsidP="008C3FB7">
      <w:pPr>
        <w:pStyle w:val="Textoindependiente3"/>
        <w:spacing w:after="0" w:line="240" w:lineRule="auto"/>
        <w:ind w:left="708"/>
        <w:jc w:val="both"/>
        <w:rPr>
          <w:rFonts w:ascii="Times New Roman" w:hAnsi="Times New Roman" w:cs="Times New Roman"/>
          <w:i/>
          <w:sz w:val="22"/>
          <w:szCs w:val="22"/>
        </w:rPr>
      </w:pPr>
    </w:p>
    <w:p w:rsidR="00A53318" w:rsidRPr="00AD4C3A" w:rsidRDefault="00A53318" w:rsidP="00647ADA">
      <w:pPr>
        <w:pStyle w:val="Prrafodelista"/>
        <w:numPr>
          <w:ilvl w:val="3"/>
          <w:numId w:val="4"/>
        </w:numPr>
        <w:tabs>
          <w:tab w:val="left" w:pos="993"/>
        </w:tabs>
        <w:ind w:left="567" w:firstLine="0"/>
        <w:jc w:val="both"/>
        <w:rPr>
          <w:sz w:val="22"/>
          <w:szCs w:val="22"/>
        </w:rPr>
      </w:pPr>
      <w:r w:rsidRPr="00AD4C3A">
        <w:rPr>
          <w:sz w:val="22"/>
          <w:szCs w:val="22"/>
        </w:rPr>
        <w:lastRenderedPageBreak/>
        <w:t>ANÁLISIS</w:t>
      </w:r>
    </w:p>
    <w:p w:rsidR="001B131E" w:rsidRPr="00AD4C3A" w:rsidRDefault="001B131E" w:rsidP="008C3FB7">
      <w:pPr>
        <w:pStyle w:val="Prrafodelista"/>
        <w:ind w:left="567"/>
        <w:jc w:val="both"/>
        <w:rPr>
          <w:sz w:val="22"/>
          <w:szCs w:val="22"/>
        </w:rPr>
      </w:pPr>
    </w:p>
    <w:p w:rsidR="00A53318" w:rsidRPr="00AD4C3A" w:rsidRDefault="0036574F" w:rsidP="008F6E6F">
      <w:pPr>
        <w:pStyle w:val="Prrafodelista"/>
        <w:numPr>
          <w:ilvl w:val="0"/>
          <w:numId w:val="17"/>
        </w:numPr>
        <w:autoSpaceDE w:val="0"/>
        <w:autoSpaceDN w:val="0"/>
        <w:adjustRightInd w:val="0"/>
        <w:ind w:left="851" w:hanging="284"/>
        <w:jc w:val="both"/>
        <w:rPr>
          <w:rFonts w:eastAsia="Calibri"/>
          <w:sz w:val="22"/>
          <w:szCs w:val="22"/>
        </w:rPr>
      </w:pPr>
      <w:r w:rsidRPr="00AD4C3A">
        <w:rPr>
          <w:rFonts w:eastAsia="Calibri"/>
          <w:sz w:val="22"/>
          <w:szCs w:val="22"/>
        </w:rPr>
        <w:t>D</w:t>
      </w:r>
      <w:r w:rsidR="00A53318" w:rsidRPr="00AD4C3A">
        <w:rPr>
          <w:rFonts w:eastAsia="Calibri"/>
          <w:sz w:val="22"/>
          <w:szCs w:val="22"/>
        </w:rPr>
        <w:t>ocumentación presentada para demostrar la existencia de caso fortuito o fuerza mayor</w:t>
      </w:r>
    </w:p>
    <w:p w:rsidR="00A53318" w:rsidRPr="00AD4C3A" w:rsidRDefault="00A53318" w:rsidP="008C3FB7">
      <w:pPr>
        <w:tabs>
          <w:tab w:val="left" w:pos="284"/>
        </w:tabs>
        <w:ind w:left="567"/>
        <w:jc w:val="both"/>
        <w:rPr>
          <w:sz w:val="22"/>
          <w:szCs w:val="22"/>
        </w:rPr>
      </w:pPr>
    </w:p>
    <w:p w:rsidR="00A53318" w:rsidRPr="00AD4C3A" w:rsidRDefault="00A53318" w:rsidP="008C3FB7">
      <w:pPr>
        <w:tabs>
          <w:tab w:val="left" w:pos="284"/>
        </w:tabs>
        <w:ind w:left="567"/>
        <w:jc w:val="both"/>
        <w:rPr>
          <w:sz w:val="22"/>
          <w:szCs w:val="22"/>
        </w:rPr>
      </w:pPr>
      <w:r w:rsidRPr="00AD4C3A">
        <w:rPr>
          <w:sz w:val="22"/>
          <w:szCs w:val="22"/>
        </w:rPr>
        <w:t xml:space="preserve">En el presente caso, la </w:t>
      </w:r>
      <w:proofErr w:type="gramStart"/>
      <w:r w:rsidRPr="00AD4C3A">
        <w:rPr>
          <w:sz w:val="22"/>
          <w:szCs w:val="22"/>
        </w:rPr>
        <w:t xml:space="preserve">sociedad </w:t>
      </w:r>
      <w:r w:rsidR="002D4D5E">
        <w:rPr>
          <w:sz w:val="22"/>
          <w:szCs w:val="22"/>
          <w:lang w:val="es-SV"/>
        </w:rPr>
        <w:t xml:space="preserve"> *</w:t>
      </w:r>
      <w:proofErr w:type="gramEnd"/>
      <w:r w:rsidR="002D4D5E">
        <w:rPr>
          <w:sz w:val="22"/>
          <w:szCs w:val="22"/>
          <w:lang w:val="es-SV"/>
        </w:rPr>
        <w:t xml:space="preserve">** </w:t>
      </w:r>
      <w:r w:rsidRPr="00AD4C3A">
        <w:rPr>
          <w:sz w:val="22"/>
          <w:szCs w:val="22"/>
        </w:rPr>
        <w:t xml:space="preserve">manifestó que no realizó las actividades de </w:t>
      </w:r>
      <w:r w:rsidR="008C614A" w:rsidRPr="00AD4C3A">
        <w:rPr>
          <w:sz w:val="22"/>
          <w:szCs w:val="22"/>
        </w:rPr>
        <w:t xml:space="preserve"> </w:t>
      </w:r>
      <w:r w:rsidRPr="00AD4C3A">
        <w:rPr>
          <w:sz w:val="22"/>
          <w:szCs w:val="22"/>
        </w:rPr>
        <w:t xml:space="preserve"> lectura de medición en los suministros de energía eléctrica </w:t>
      </w:r>
      <w:r w:rsidR="00025F0F" w:rsidRPr="00AD4C3A">
        <w:rPr>
          <w:sz w:val="22"/>
          <w:szCs w:val="22"/>
        </w:rPr>
        <w:t xml:space="preserve">de </w:t>
      </w:r>
      <w:r w:rsidR="008C614A" w:rsidRPr="00AD4C3A">
        <w:rPr>
          <w:bCs/>
          <w:sz w:val="22"/>
          <w:szCs w:val="22"/>
        </w:rPr>
        <w:t xml:space="preserve">la </w:t>
      </w:r>
      <w:r w:rsidR="002D4D5E">
        <w:rPr>
          <w:bCs/>
          <w:sz w:val="22"/>
          <w:szCs w:val="22"/>
        </w:rPr>
        <w:t>****</w:t>
      </w:r>
      <w:r w:rsidR="0097269B" w:rsidRPr="00AD4C3A">
        <w:rPr>
          <w:bCs/>
          <w:sz w:val="22"/>
          <w:szCs w:val="22"/>
        </w:rPr>
        <w:t>,</w:t>
      </w:r>
      <w:r w:rsidR="008C614A" w:rsidRPr="00AD4C3A">
        <w:rPr>
          <w:bCs/>
          <w:sz w:val="22"/>
          <w:szCs w:val="22"/>
        </w:rPr>
        <w:t xml:space="preserve"> </w:t>
      </w:r>
      <w:r w:rsidRPr="00AD4C3A">
        <w:rPr>
          <w:sz w:val="22"/>
          <w:szCs w:val="22"/>
        </w:rPr>
        <w:t>debido al supuesto peligro delincuencial en la zona.</w:t>
      </w:r>
    </w:p>
    <w:p w:rsidR="00A53318" w:rsidRPr="00AD4C3A" w:rsidRDefault="00A53318" w:rsidP="008C3FB7">
      <w:pPr>
        <w:tabs>
          <w:tab w:val="left" w:pos="284"/>
        </w:tabs>
        <w:ind w:left="567"/>
        <w:jc w:val="both"/>
        <w:rPr>
          <w:sz w:val="22"/>
          <w:szCs w:val="22"/>
        </w:rPr>
      </w:pPr>
    </w:p>
    <w:p w:rsidR="00A53318" w:rsidRPr="00AD4C3A" w:rsidRDefault="00A53318" w:rsidP="008C3FB7">
      <w:pPr>
        <w:tabs>
          <w:tab w:val="left" w:pos="284"/>
        </w:tabs>
        <w:ind w:left="567"/>
        <w:jc w:val="both"/>
        <w:rPr>
          <w:sz w:val="22"/>
          <w:szCs w:val="22"/>
        </w:rPr>
      </w:pPr>
      <w:r w:rsidRPr="00AD4C3A">
        <w:rPr>
          <w:sz w:val="22"/>
          <w:szCs w:val="22"/>
        </w:rPr>
        <w:t xml:space="preserve">Respecto de lo anterior, debe </w:t>
      </w:r>
      <w:r w:rsidR="00EB3131" w:rsidRPr="00AD4C3A">
        <w:rPr>
          <w:sz w:val="22"/>
          <w:szCs w:val="22"/>
        </w:rPr>
        <w:t>apuntarse</w:t>
      </w:r>
      <w:r w:rsidRPr="00AD4C3A">
        <w:rPr>
          <w:sz w:val="22"/>
          <w:szCs w:val="22"/>
        </w:rPr>
        <w:t xml:space="preserve"> que la SIGET tiene las funciones de regulación y control sobre la distribución y comercialización de energía eléctrica, debiendo supervisar que el servicio público de energía eléctrica se preste en las condiciones que se establece</w:t>
      </w:r>
      <w:r w:rsidR="009C582D" w:rsidRPr="00AD4C3A">
        <w:rPr>
          <w:sz w:val="22"/>
          <w:szCs w:val="22"/>
        </w:rPr>
        <w:t>n</w:t>
      </w:r>
      <w:r w:rsidRPr="00AD4C3A">
        <w:rPr>
          <w:sz w:val="22"/>
          <w:szCs w:val="22"/>
        </w:rPr>
        <w:t xml:space="preserve"> en las distintas normativas aplicables; </w:t>
      </w:r>
      <w:r w:rsidR="009C582D" w:rsidRPr="00AD4C3A">
        <w:rPr>
          <w:sz w:val="22"/>
          <w:szCs w:val="22"/>
        </w:rPr>
        <w:t>en ese sentido,</w:t>
      </w:r>
      <w:r w:rsidRPr="00AD4C3A">
        <w:rPr>
          <w:sz w:val="22"/>
          <w:szCs w:val="22"/>
        </w:rPr>
        <w:t xml:space="preserve"> existe un marco técnico y jurídico de principios y reglas que guían el actuar de las distribuidoras</w:t>
      </w:r>
      <w:r w:rsidR="00247669" w:rsidRPr="00AD4C3A">
        <w:rPr>
          <w:sz w:val="22"/>
          <w:szCs w:val="22"/>
        </w:rPr>
        <w:t>-comercializadoras</w:t>
      </w:r>
      <w:r w:rsidRPr="00AD4C3A">
        <w:rPr>
          <w:sz w:val="22"/>
          <w:szCs w:val="22"/>
        </w:rPr>
        <w:t xml:space="preserve"> y su relación con los usuarios finales. </w:t>
      </w:r>
    </w:p>
    <w:p w:rsidR="00A53318" w:rsidRPr="00AD4C3A" w:rsidRDefault="00A53318" w:rsidP="008C3FB7">
      <w:pPr>
        <w:tabs>
          <w:tab w:val="left" w:pos="284"/>
        </w:tabs>
        <w:ind w:left="567"/>
        <w:jc w:val="both"/>
        <w:rPr>
          <w:sz w:val="22"/>
          <w:szCs w:val="22"/>
        </w:rPr>
      </w:pPr>
    </w:p>
    <w:p w:rsidR="00A53318" w:rsidRPr="00AD4C3A" w:rsidRDefault="00A53318" w:rsidP="008C3FB7">
      <w:pPr>
        <w:tabs>
          <w:tab w:val="left" w:pos="284"/>
        </w:tabs>
        <w:ind w:left="567"/>
        <w:jc w:val="both"/>
        <w:rPr>
          <w:sz w:val="22"/>
          <w:szCs w:val="22"/>
        </w:rPr>
      </w:pPr>
      <w:r w:rsidRPr="00AD4C3A">
        <w:rPr>
          <w:sz w:val="22"/>
          <w:szCs w:val="22"/>
        </w:rPr>
        <w:t>En ese sentido</w:t>
      </w:r>
      <w:r w:rsidR="001C2B37" w:rsidRPr="00AD4C3A">
        <w:rPr>
          <w:sz w:val="22"/>
          <w:szCs w:val="22"/>
        </w:rPr>
        <w:t xml:space="preserve"> y respaldado por el marco regulatorio</w:t>
      </w:r>
      <w:r w:rsidRPr="00AD4C3A">
        <w:rPr>
          <w:sz w:val="22"/>
          <w:szCs w:val="22"/>
        </w:rPr>
        <w:t>, el usuario tiene el derecho a exigir que la prestación del se</w:t>
      </w:r>
      <w:r w:rsidR="001C2B37" w:rsidRPr="00AD4C3A">
        <w:rPr>
          <w:sz w:val="22"/>
          <w:szCs w:val="22"/>
        </w:rPr>
        <w:t>rvicio de energía eléctrica sea brindado</w:t>
      </w:r>
      <w:r w:rsidRPr="00AD4C3A">
        <w:rPr>
          <w:sz w:val="22"/>
          <w:szCs w:val="22"/>
        </w:rPr>
        <w:t xml:space="preserve"> por la distribuidora dentro de los parámetros establecidos por las normas que rigen el sector de electricidad; y, pedir a la Administración Pública la defensa de sus derechos e intereses; lo que se logra a través de una supervisión y fiscalización adecuada de las condiciones en las que la distribuidora brinda el servicio de energía eléctrica.</w:t>
      </w:r>
    </w:p>
    <w:p w:rsidR="00A53318" w:rsidRPr="00AD4C3A" w:rsidRDefault="00A53318" w:rsidP="008C3FB7">
      <w:pPr>
        <w:tabs>
          <w:tab w:val="left" w:pos="284"/>
        </w:tabs>
        <w:ind w:left="567"/>
        <w:jc w:val="both"/>
        <w:rPr>
          <w:sz w:val="22"/>
          <w:szCs w:val="22"/>
        </w:rPr>
      </w:pPr>
    </w:p>
    <w:p w:rsidR="00A53318" w:rsidRPr="00AD4C3A" w:rsidRDefault="00A53318" w:rsidP="008C3FB7">
      <w:pPr>
        <w:tabs>
          <w:tab w:val="left" w:pos="284"/>
        </w:tabs>
        <w:ind w:left="567"/>
        <w:jc w:val="both"/>
        <w:rPr>
          <w:sz w:val="22"/>
          <w:szCs w:val="22"/>
        </w:rPr>
      </w:pPr>
      <w:r w:rsidRPr="00AD4C3A">
        <w:rPr>
          <w:sz w:val="22"/>
          <w:szCs w:val="22"/>
        </w:rPr>
        <w:t>E</w:t>
      </w:r>
      <w:r w:rsidR="00EB3131" w:rsidRPr="00AD4C3A">
        <w:rPr>
          <w:sz w:val="22"/>
          <w:szCs w:val="22"/>
        </w:rPr>
        <w:t xml:space="preserve">n ese sentido, </w:t>
      </w:r>
      <w:r w:rsidRPr="00AD4C3A">
        <w:rPr>
          <w:sz w:val="22"/>
          <w:szCs w:val="22"/>
        </w:rPr>
        <w:t>de conformidad con el marco normativo expuesto</w:t>
      </w:r>
      <w:r w:rsidR="003A539E" w:rsidRPr="00AD4C3A">
        <w:rPr>
          <w:sz w:val="22"/>
          <w:szCs w:val="22"/>
        </w:rPr>
        <w:t xml:space="preserve"> en el apartado A del presente a</w:t>
      </w:r>
      <w:r w:rsidRPr="00AD4C3A">
        <w:rPr>
          <w:sz w:val="22"/>
          <w:szCs w:val="22"/>
        </w:rPr>
        <w:t>cuerdo, debe destacarse lo siguiente:</w:t>
      </w:r>
    </w:p>
    <w:p w:rsidR="00A53318" w:rsidRPr="00AD4C3A" w:rsidRDefault="00A53318" w:rsidP="008C3FB7">
      <w:pPr>
        <w:tabs>
          <w:tab w:val="left" w:pos="993"/>
        </w:tabs>
        <w:ind w:left="284"/>
        <w:jc w:val="both"/>
        <w:rPr>
          <w:sz w:val="22"/>
          <w:szCs w:val="22"/>
        </w:rPr>
      </w:pPr>
    </w:p>
    <w:p w:rsidR="00A53318" w:rsidRPr="00AD4C3A" w:rsidRDefault="00A53318" w:rsidP="00E025D8">
      <w:pPr>
        <w:pStyle w:val="Prrafodelista"/>
        <w:numPr>
          <w:ilvl w:val="0"/>
          <w:numId w:val="18"/>
        </w:numPr>
        <w:ind w:left="1134" w:hanging="283"/>
        <w:jc w:val="both"/>
        <w:rPr>
          <w:color w:val="000000" w:themeColor="text1"/>
          <w:sz w:val="22"/>
          <w:szCs w:val="22"/>
        </w:rPr>
      </w:pPr>
      <w:r w:rsidRPr="00AD4C3A">
        <w:rPr>
          <w:color w:val="000000" w:themeColor="text1"/>
          <w:sz w:val="22"/>
          <w:szCs w:val="22"/>
        </w:rPr>
        <w:t>Existe una obligación normativa para las distribu</w:t>
      </w:r>
      <w:r w:rsidR="00E32A10" w:rsidRPr="00AD4C3A">
        <w:rPr>
          <w:color w:val="000000" w:themeColor="text1"/>
          <w:sz w:val="22"/>
          <w:szCs w:val="22"/>
        </w:rPr>
        <w:t xml:space="preserve">idoras de tomar lecturas del equipo de medición </w:t>
      </w:r>
      <w:r w:rsidRPr="00AD4C3A">
        <w:rPr>
          <w:color w:val="000000" w:themeColor="text1"/>
          <w:sz w:val="22"/>
          <w:szCs w:val="22"/>
        </w:rPr>
        <w:t>mensualmente y emitir cobros con la misma periodicidad; y a la vez, se prohíbe acumular registros de consumo por no haber realizado las lecturas correspondientes. (Términos y Condiciones de los Pliegos Tarifarios).</w:t>
      </w:r>
    </w:p>
    <w:p w:rsidR="00A53318" w:rsidRPr="00AD4C3A" w:rsidRDefault="00A53318" w:rsidP="00E025D8">
      <w:pPr>
        <w:pStyle w:val="Prrafodelista"/>
        <w:ind w:left="1134"/>
        <w:jc w:val="both"/>
        <w:rPr>
          <w:color w:val="000000" w:themeColor="text1"/>
          <w:sz w:val="22"/>
          <w:szCs w:val="22"/>
        </w:rPr>
      </w:pPr>
    </w:p>
    <w:p w:rsidR="00A53318" w:rsidRPr="00AD4C3A" w:rsidRDefault="00A53318" w:rsidP="00E025D8">
      <w:pPr>
        <w:pStyle w:val="Prrafodelista"/>
        <w:numPr>
          <w:ilvl w:val="0"/>
          <w:numId w:val="18"/>
        </w:numPr>
        <w:ind w:left="1134" w:hanging="283"/>
        <w:jc w:val="both"/>
        <w:rPr>
          <w:color w:val="000000" w:themeColor="text1"/>
          <w:sz w:val="22"/>
          <w:szCs w:val="22"/>
        </w:rPr>
      </w:pPr>
      <w:r w:rsidRPr="00AD4C3A">
        <w:rPr>
          <w:color w:val="000000" w:themeColor="text1"/>
          <w:sz w:val="22"/>
          <w:szCs w:val="22"/>
        </w:rPr>
        <w:t>Del Procedimiento para la Determinación de Causales de Casos Fortuitos y Fuerza Mayor, se des</w:t>
      </w:r>
      <w:r w:rsidR="009C582D" w:rsidRPr="00AD4C3A">
        <w:rPr>
          <w:color w:val="000000" w:themeColor="text1"/>
          <w:sz w:val="22"/>
          <w:szCs w:val="22"/>
        </w:rPr>
        <w:t>cribe</w:t>
      </w:r>
      <w:r w:rsidRPr="00AD4C3A">
        <w:rPr>
          <w:color w:val="000000" w:themeColor="text1"/>
          <w:sz w:val="22"/>
          <w:szCs w:val="22"/>
        </w:rPr>
        <w:t xml:space="preserv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rsidR="00A53318" w:rsidRPr="00AD4C3A" w:rsidRDefault="00A53318" w:rsidP="00E025D8">
      <w:pPr>
        <w:pStyle w:val="Prrafodelista"/>
        <w:ind w:left="1134" w:hanging="567"/>
        <w:jc w:val="both"/>
        <w:rPr>
          <w:color w:val="000000" w:themeColor="text1"/>
          <w:sz w:val="22"/>
          <w:szCs w:val="22"/>
        </w:rPr>
      </w:pPr>
    </w:p>
    <w:p w:rsidR="00A53318" w:rsidRPr="00AD4C3A" w:rsidRDefault="00A53318" w:rsidP="00E025D8">
      <w:pPr>
        <w:pStyle w:val="Prrafodelista"/>
        <w:numPr>
          <w:ilvl w:val="0"/>
          <w:numId w:val="18"/>
        </w:numPr>
        <w:ind w:left="1134" w:hanging="283"/>
        <w:jc w:val="both"/>
        <w:rPr>
          <w:color w:val="000000" w:themeColor="text1"/>
          <w:sz w:val="22"/>
          <w:szCs w:val="22"/>
        </w:rPr>
      </w:pPr>
      <w:r w:rsidRPr="00AD4C3A">
        <w:rPr>
          <w:color w:val="000000" w:themeColor="text1"/>
          <w:sz w:val="22"/>
          <w:szCs w:val="22"/>
        </w:rPr>
        <w:t xml:space="preserve">De la aceptación o no de </w:t>
      </w:r>
      <w:r w:rsidR="00E32A10" w:rsidRPr="00AD4C3A">
        <w:rPr>
          <w:color w:val="000000" w:themeColor="text1"/>
          <w:sz w:val="22"/>
          <w:szCs w:val="22"/>
        </w:rPr>
        <w:t xml:space="preserve">la </w:t>
      </w:r>
      <w:r w:rsidRPr="00AD4C3A">
        <w:rPr>
          <w:color w:val="000000" w:themeColor="text1"/>
          <w:sz w:val="22"/>
          <w:szCs w:val="22"/>
        </w:rPr>
        <w:t>determinada causal invocada como fuerza mayor o caso fortuito por parte de esta Superintendencia, dependerá lo siguiente:</w:t>
      </w:r>
    </w:p>
    <w:p w:rsidR="00A53318" w:rsidRPr="00AD4C3A" w:rsidRDefault="00A53318" w:rsidP="008C3FB7">
      <w:pPr>
        <w:pStyle w:val="Prrafodelista"/>
        <w:tabs>
          <w:tab w:val="left" w:pos="993"/>
        </w:tabs>
        <w:ind w:left="927"/>
        <w:jc w:val="both"/>
        <w:rPr>
          <w:color w:val="000000" w:themeColor="text1"/>
          <w:sz w:val="22"/>
          <w:szCs w:val="22"/>
        </w:rPr>
      </w:pPr>
    </w:p>
    <w:p w:rsidR="00E025D8" w:rsidRPr="00AD4C3A" w:rsidRDefault="00A53318" w:rsidP="00E025D8">
      <w:pPr>
        <w:pStyle w:val="Prrafodelista"/>
        <w:numPr>
          <w:ilvl w:val="2"/>
          <w:numId w:val="5"/>
        </w:numPr>
        <w:tabs>
          <w:tab w:val="clear" w:pos="2160"/>
          <w:tab w:val="left" w:pos="1134"/>
          <w:tab w:val="left" w:pos="1418"/>
          <w:tab w:val="num" w:pos="1701"/>
        </w:tabs>
        <w:ind w:left="2410" w:hanging="1026"/>
        <w:jc w:val="both"/>
        <w:rPr>
          <w:b/>
          <w:color w:val="000000" w:themeColor="text1"/>
          <w:sz w:val="22"/>
          <w:szCs w:val="22"/>
        </w:rPr>
      </w:pPr>
      <w:r w:rsidRPr="00AD4C3A">
        <w:rPr>
          <w:color w:val="000000"/>
          <w:sz w:val="22"/>
          <w:szCs w:val="22"/>
        </w:rPr>
        <w:t xml:space="preserve">     La obligación o no de la distribuidora de compensar por Energía No Servida.</w:t>
      </w:r>
    </w:p>
    <w:p w:rsidR="00E025D8" w:rsidRPr="00AD4C3A" w:rsidRDefault="00E025D8" w:rsidP="00E025D8">
      <w:pPr>
        <w:pStyle w:val="Prrafodelista"/>
        <w:tabs>
          <w:tab w:val="left" w:pos="1134"/>
          <w:tab w:val="left" w:pos="1418"/>
        </w:tabs>
        <w:ind w:left="2410"/>
        <w:jc w:val="both"/>
        <w:rPr>
          <w:b/>
          <w:color w:val="000000" w:themeColor="text1"/>
          <w:sz w:val="22"/>
          <w:szCs w:val="22"/>
        </w:rPr>
      </w:pPr>
    </w:p>
    <w:p w:rsidR="00E025D8" w:rsidRPr="00AD4C3A" w:rsidRDefault="00A53318" w:rsidP="00E025D8">
      <w:pPr>
        <w:pStyle w:val="Prrafodelista"/>
        <w:numPr>
          <w:ilvl w:val="2"/>
          <w:numId w:val="5"/>
        </w:numPr>
        <w:tabs>
          <w:tab w:val="clear" w:pos="2160"/>
          <w:tab w:val="left" w:pos="1701"/>
        </w:tabs>
        <w:ind w:left="1701" w:hanging="283"/>
        <w:jc w:val="both"/>
        <w:rPr>
          <w:color w:val="000000"/>
          <w:sz w:val="22"/>
          <w:szCs w:val="22"/>
        </w:rPr>
      </w:pPr>
      <w:r w:rsidRPr="00AD4C3A">
        <w:rPr>
          <w:color w:val="000000"/>
          <w:sz w:val="22"/>
          <w:szCs w:val="22"/>
        </w:rPr>
        <w:t>Compensar o no a los usuarios por transgresión a los indicadores comerciales de</w:t>
      </w:r>
      <w:r w:rsidR="00872BFE" w:rsidRPr="00AD4C3A">
        <w:rPr>
          <w:color w:val="000000"/>
          <w:sz w:val="22"/>
          <w:szCs w:val="22"/>
        </w:rPr>
        <w:t>finidas en los artículos 80.c. y 80.e. de</w:t>
      </w:r>
      <w:r w:rsidRPr="00AD4C3A">
        <w:rPr>
          <w:color w:val="000000"/>
          <w:sz w:val="22"/>
          <w:szCs w:val="22"/>
        </w:rPr>
        <w:t xml:space="preserve"> las Normas de Calidad de los Sistemas de Distribución; y,</w:t>
      </w:r>
    </w:p>
    <w:p w:rsidR="00E025D8" w:rsidRPr="00AD4C3A" w:rsidRDefault="00E025D8" w:rsidP="00E025D8">
      <w:pPr>
        <w:pStyle w:val="Prrafodelista"/>
        <w:tabs>
          <w:tab w:val="left" w:pos="1134"/>
          <w:tab w:val="left" w:pos="1418"/>
        </w:tabs>
        <w:ind w:left="2410"/>
        <w:jc w:val="both"/>
        <w:rPr>
          <w:color w:val="000000"/>
          <w:sz w:val="22"/>
          <w:szCs w:val="22"/>
        </w:rPr>
      </w:pPr>
    </w:p>
    <w:p w:rsidR="00A53318" w:rsidRPr="00AD4C3A" w:rsidRDefault="00A53318" w:rsidP="00E025D8">
      <w:pPr>
        <w:pStyle w:val="Prrafodelista"/>
        <w:numPr>
          <w:ilvl w:val="2"/>
          <w:numId w:val="5"/>
        </w:numPr>
        <w:tabs>
          <w:tab w:val="clear" w:pos="2160"/>
          <w:tab w:val="left" w:pos="1701"/>
        </w:tabs>
        <w:ind w:left="1701" w:hanging="283"/>
        <w:jc w:val="both"/>
        <w:rPr>
          <w:color w:val="000000"/>
          <w:sz w:val="22"/>
          <w:szCs w:val="22"/>
        </w:rPr>
      </w:pPr>
      <w:r w:rsidRPr="00AD4C3A">
        <w:rPr>
          <w:color w:val="000000"/>
          <w:sz w:val="22"/>
          <w:szCs w:val="22"/>
        </w:rPr>
        <w:t xml:space="preserve">Cobrar o no los cargos que se facturen en función de la lectura del </w:t>
      </w:r>
      <w:r w:rsidR="001C7212" w:rsidRPr="00AD4C3A">
        <w:rPr>
          <w:color w:val="000000"/>
          <w:sz w:val="22"/>
          <w:szCs w:val="22"/>
        </w:rPr>
        <w:t>equipo de medición</w:t>
      </w:r>
      <w:r w:rsidRPr="00AD4C3A">
        <w:rPr>
          <w:color w:val="000000"/>
          <w:sz w:val="22"/>
          <w:szCs w:val="22"/>
        </w:rPr>
        <w:t xml:space="preserve"> </w:t>
      </w:r>
      <w:r w:rsidR="00C63D4A" w:rsidRPr="00AD4C3A">
        <w:rPr>
          <w:color w:val="000000"/>
          <w:sz w:val="22"/>
          <w:szCs w:val="22"/>
        </w:rPr>
        <w:t>cuando no</w:t>
      </w:r>
      <w:r w:rsidRPr="00AD4C3A">
        <w:rPr>
          <w:color w:val="000000"/>
          <w:sz w:val="22"/>
          <w:szCs w:val="22"/>
        </w:rPr>
        <w:t xml:space="preserve"> haya realizado la lectura correspondiente, según lo establecido en el </w:t>
      </w:r>
      <w:r w:rsidRPr="00AD4C3A">
        <w:rPr>
          <w:color w:val="000000"/>
          <w:sz w:val="22"/>
          <w:szCs w:val="22"/>
        </w:rPr>
        <w:lastRenderedPageBreak/>
        <w:t xml:space="preserve">artículo 29 de los Términos y Condiciones del Pliego Tarifario aplicable </w:t>
      </w:r>
      <w:r w:rsidR="001C7212" w:rsidRPr="00AD4C3A">
        <w:rPr>
          <w:color w:val="000000"/>
          <w:sz w:val="22"/>
          <w:szCs w:val="22"/>
        </w:rPr>
        <w:t>a la distribuidora</w:t>
      </w:r>
      <w:r w:rsidRPr="00AD4C3A">
        <w:rPr>
          <w:color w:val="000000"/>
          <w:sz w:val="22"/>
          <w:szCs w:val="22"/>
        </w:rPr>
        <w:t>.</w:t>
      </w:r>
    </w:p>
    <w:p w:rsidR="00A53318" w:rsidRPr="00AD4C3A" w:rsidRDefault="00A53318" w:rsidP="008C3FB7">
      <w:pPr>
        <w:pStyle w:val="Textoindependiente"/>
        <w:spacing w:after="0" w:line="240" w:lineRule="auto"/>
        <w:jc w:val="both"/>
        <w:rPr>
          <w:rFonts w:ascii="Times New Roman" w:hAnsi="Times New Roman" w:cs="Times New Roman"/>
        </w:rPr>
      </w:pPr>
    </w:p>
    <w:p w:rsidR="00CD4175" w:rsidRPr="00AD4C3A" w:rsidRDefault="00CD4175" w:rsidP="00E025D8">
      <w:pPr>
        <w:tabs>
          <w:tab w:val="left" w:pos="284"/>
        </w:tabs>
        <w:ind w:left="567"/>
        <w:jc w:val="both"/>
        <w:rPr>
          <w:sz w:val="22"/>
          <w:szCs w:val="22"/>
        </w:rPr>
      </w:pPr>
      <w:r w:rsidRPr="00AD4C3A">
        <w:rPr>
          <w:sz w:val="22"/>
          <w:szCs w:val="22"/>
        </w:rPr>
        <w:t xml:space="preserve">De lo expuesto, debe entenderse que las pruebas incorporadas por las distribuidoras son necesarias y relevantes, </w:t>
      </w:r>
      <w:r w:rsidR="00C63D4A" w:rsidRPr="00AD4C3A">
        <w:rPr>
          <w:sz w:val="22"/>
          <w:szCs w:val="22"/>
        </w:rPr>
        <w:t>ya que,</w:t>
      </w:r>
      <w:r w:rsidRPr="00AD4C3A">
        <w:rPr>
          <w:sz w:val="22"/>
          <w:szCs w:val="22"/>
        </w:rPr>
        <w:t xml:space="preserve"> con base a ellas, la Gerencia de Electricidad de la Superintendencia recomienda que se acepte o rechace determinada solicitud de Excepción de Casos Fortuitos o Fuerza Mayor</w:t>
      </w:r>
      <w:r w:rsidR="00872BFE" w:rsidRPr="00AD4C3A">
        <w:rPr>
          <w:sz w:val="22"/>
          <w:szCs w:val="22"/>
        </w:rPr>
        <w:t xml:space="preserve">, y se proceda </w:t>
      </w:r>
      <w:r w:rsidR="00D0697E" w:rsidRPr="00AD4C3A">
        <w:rPr>
          <w:sz w:val="22"/>
          <w:szCs w:val="22"/>
        </w:rPr>
        <w:t xml:space="preserve">o no </w:t>
      </w:r>
      <w:r w:rsidR="00872BFE" w:rsidRPr="00AD4C3A">
        <w:rPr>
          <w:sz w:val="22"/>
          <w:szCs w:val="22"/>
        </w:rPr>
        <w:t>a validar que el consumo cobrado en un mes de facturación</w:t>
      </w:r>
      <w:r w:rsidR="00D0697E" w:rsidRPr="00AD4C3A">
        <w:rPr>
          <w:sz w:val="22"/>
          <w:szCs w:val="22"/>
        </w:rPr>
        <w:t xml:space="preserve"> especifico </w:t>
      </w:r>
      <w:r w:rsidR="00872BFE" w:rsidRPr="00AD4C3A">
        <w:rPr>
          <w:sz w:val="22"/>
          <w:szCs w:val="22"/>
        </w:rPr>
        <w:t>se realice mediante una estimación</w:t>
      </w:r>
      <w:r w:rsidRPr="00AD4C3A">
        <w:rPr>
          <w:sz w:val="22"/>
          <w:szCs w:val="22"/>
        </w:rPr>
        <w:t>.</w:t>
      </w:r>
    </w:p>
    <w:p w:rsidR="00CD4175" w:rsidRPr="00AD4C3A" w:rsidRDefault="00CD4175" w:rsidP="00E025D8">
      <w:pPr>
        <w:tabs>
          <w:tab w:val="left" w:pos="284"/>
        </w:tabs>
        <w:ind w:left="567"/>
        <w:jc w:val="both"/>
        <w:rPr>
          <w:sz w:val="22"/>
          <w:szCs w:val="22"/>
        </w:rPr>
      </w:pPr>
    </w:p>
    <w:p w:rsidR="0027566A" w:rsidRPr="00AD4C3A" w:rsidRDefault="00A53318" w:rsidP="0027566A">
      <w:pPr>
        <w:tabs>
          <w:tab w:val="left" w:pos="284"/>
        </w:tabs>
        <w:ind w:left="567"/>
        <w:jc w:val="both"/>
        <w:rPr>
          <w:rFonts w:eastAsiaTheme="minorEastAsia"/>
          <w:sz w:val="22"/>
          <w:szCs w:val="22"/>
          <w:lang w:val="es-SV" w:eastAsia="es-SV"/>
        </w:rPr>
      </w:pPr>
      <w:r w:rsidRPr="00AD4C3A">
        <w:rPr>
          <w:sz w:val="22"/>
          <w:szCs w:val="22"/>
        </w:rPr>
        <w:t xml:space="preserve">Bajo las premisas expuestas, corresponde traer a colación que </w:t>
      </w:r>
      <w:r w:rsidR="003A539E" w:rsidRPr="00AD4C3A">
        <w:rPr>
          <w:sz w:val="22"/>
          <w:szCs w:val="22"/>
        </w:rPr>
        <w:t>la Gerencia de Electricidad y el área j</w:t>
      </w:r>
      <w:r w:rsidRPr="00AD4C3A">
        <w:rPr>
          <w:sz w:val="22"/>
          <w:szCs w:val="22"/>
        </w:rPr>
        <w:t>urídica del CAU, ambos de la</w:t>
      </w:r>
      <w:r w:rsidR="002D2CFA" w:rsidRPr="00AD4C3A">
        <w:rPr>
          <w:sz w:val="22"/>
          <w:szCs w:val="22"/>
        </w:rPr>
        <w:t xml:space="preserve"> SIGET, en los informes técnico</w:t>
      </w:r>
      <w:r w:rsidRPr="00AD4C3A">
        <w:rPr>
          <w:sz w:val="22"/>
          <w:szCs w:val="22"/>
        </w:rPr>
        <w:t xml:space="preserve"> y jurídico rendidos respectivamente, establecieron que las pruebas presentadas por </w:t>
      </w:r>
      <w:r w:rsidR="00AC188C" w:rsidRPr="00AD4C3A">
        <w:rPr>
          <w:sz w:val="22"/>
          <w:szCs w:val="22"/>
        </w:rPr>
        <w:t>la sociedad</w:t>
      </w:r>
      <w:r w:rsidR="002D4D5E">
        <w:rPr>
          <w:sz w:val="22"/>
          <w:szCs w:val="22"/>
          <w:lang w:val="es-SV"/>
        </w:rPr>
        <w:t xml:space="preserve"> **** </w:t>
      </w:r>
      <w:r w:rsidR="00AC188C" w:rsidRPr="00AD4C3A">
        <w:rPr>
          <w:sz w:val="22"/>
          <w:szCs w:val="22"/>
          <w:lang w:val="es-SV"/>
        </w:rPr>
        <w:t xml:space="preserve">, </w:t>
      </w:r>
      <w:r w:rsidRPr="00AD4C3A">
        <w:rPr>
          <w:sz w:val="22"/>
          <w:szCs w:val="22"/>
        </w:rPr>
        <w:t>a efecto que se aceptara como fuerza mayor las actividades</w:t>
      </w:r>
      <w:r w:rsidRPr="00AD4C3A">
        <w:rPr>
          <w:rFonts w:eastAsiaTheme="minorEastAsia"/>
          <w:sz w:val="22"/>
          <w:szCs w:val="22"/>
          <w:lang w:val="es-SV" w:eastAsia="es-SV"/>
        </w:rPr>
        <w:t xml:space="preserve"> delictivas y condiciones de inseguridad en la zona en la que se encuentra los suministros de energía eléctrica ubicados </w:t>
      </w:r>
      <w:r w:rsidR="00C63D4A" w:rsidRPr="00AD4C3A">
        <w:rPr>
          <w:sz w:val="22"/>
          <w:szCs w:val="22"/>
        </w:rPr>
        <w:t xml:space="preserve">en </w:t>
      </w:r>
      <w:r w:rsidR="00A00240">
        <w:rPr>
          <w:bCs/>
          <w:sz w:val="22"/>
          <w:szCs w:val="22"/>
        </w:rPr>
        <w:t>la</w:t>
      </w:r>
      <w:r w:rsidR="002D4D5E">
        <w:rPr>
          <w:bCs/>
          <w:sz w:val="22"/>
          <w:szCs w:val="22"/>
        </w:rPr>
        <w:t xml:space="preserve"> ****</w:t>
      </w:r>
      <w:r w:rsidR="00E025D8" w:rsidRPr="00AD4C3A">
        <w:rPr>
          <w:bCs/>
          <w:sz w:val="22"/>
          <w:szCs w:val="22"/>
        </w:rPr>
        <w:t>,</w:t>
      </w:r>
      <w:r w:rsidR="00E025D8" w:rsidRPr="00AD4C3A">
        <w:rPr>
          <w:rFonts w:eastAsiaTheme="minorEastAsia"/>
          <w:sz w:val="22"/>
          <w:szCs w:val="22"/>
          <w:lang w:val="es-SV" w:eastAsia="es-SV"/>
        </w:rPr>
        <w:t xml:space="preserve"> </w:t>
      </w:r>
      <w:r w:rsidRPr="00AD4C3A">
        <w:rPr>
          <w:rFonts w:eastAsiaTheme="minorEastAsia"/>
          <w:sz w:val="22"/>
          <w:szCs w:val="22"/>
          <w:lang w:val="es-SV" w:eastAsia="es-SV"/>
        </w:rPr>
        <w:t>eran deficientes y no cumplían con los requisitos necesarios para poder ser enmarcado</w:t>
      </w:r>
      <w:r w:rsidR="00FE4E72" w:rsidRPr="00AD4C3A">
        <w:rPr>
          <w:rFonts w:eastAsiaTheme="minorEastAsia"/>
          <w:sz w:val="22"/>
          <w:szCs w:val="22"/>
          <w:lang w:val="es-SV" w:eastAsia="es-SV"/>
        </w:rPr>
        <w:t>s</w:t>
      </w:r>
      <w:r w:rsidRPr="00AD4C3A">
        <w:rPr>
          <w:rFonts w:eastAsiaTheme="minorEastAsia"/>
          <w:sz w:val="22"/>
          <w:szCs w:val="22"/>
          <w:lang w:val="es-SV" w:eastAsia="es-SV"/>
        </w:rPr>
        <w:t xml:space="preserve"> </w:t>
      </w:r>
      <w:r w:rsidR="00FE4E72" w:rsidRPr="00AD4C3A">
        <w:rPr>
          <w:rFonts w:eastAsiaTheme="minorEastAsia"/>
          <w:sz w:val="22"/>
          <w:szCs w:val="22"/>
          <w:lang w:val="es-SV" w:eastAsia="es-SV"/>
        </w:rPr>
        <w:t xml:space="preserve">los supuestos eventos </w:t>
      </w:r>
      <w:r w:rsidRPr="00AD4C3A">
        <w:rPr>
          <w:rFonts w:eastAsiaTheme="minorEastAsia"/>
          <w:sz w:val="22"/>
          <w:szCs w:val="22"/>
          <w:lang w:val="es-SV" w:eastAsia="es-SV"/>
        </w:rPr>
        <w:t>como constitutiv</w:t>
      </w:r>
      <w:r w:rsidR="00FE4E72" w:rsidRPr="00AD4C3A">
        <w:rPr>
          <w:rFonts w:eastAsiaTheme="minorEastAsia"/>
          <w:sz w:val="22"/>
          <w:szCs w:val="22"/>
          <w:lang w:val="es-SV" w:eastAsia="es-SV"/>
        </w:rPr>
        <w:t>os</w:t>
      </w:r>
      <w:r w:rsidR="00A22E97" w:rsidRPr="00AD4C3A">
        <w:rPr>
          <w:rFonts w:eastAsiaTheme="minorEastAsia"/>
          <w:sz w:val="22"/>
          <w:szCs w:val="22"/>
          <w:lang w:val="es-SV" w:eastAsia="es-SV"/>
        </w:rPr>
        <w:t xml:space="preserve"> de fuerza mayor y </w:t>
      </w:r>
      <w:r w:rsidRPr="00AD4C3A">
        <w:rPr>
          <w:rFonts w:eastAsiaTheme="minorEastAsia"/>
          <w:sz w:val="22"/>
          <w:szCs w:val="22"/>
          <w:lang w:val="es-SV" w:eastAsia="es-SV"/>
        </w:rPr>
        <w:t>ser exonerados de</w:t>
      </w:r>
      <w:r w:rsidR="00D0697E" w:rsidRPr="00AD4C3A">
        <w:rPr>
          <w:rFonts w:eastAsiaTheme="minorEastAsia"/>
          <w:sz w:val="22"/>
          <w:szCs w:val="22"/>
          <w:lang w:val="es-SV" w:eastAsia="es-SV"/>
        </w:rPr>
        <w:t xml:space="preserve"> la</w:t>
      </w:r>
      <w:r w:rsidRPr="00AD4C3A">
        <w:rPr>
          <w:rFonts w:eastAsiaTheme="minorEastAsia"/>
          <w:sz w:val="22"/>
          <w:szCs w:val="22"/>
          <w:lang w:val="es-SV" w:eastAsia="es-SV"/>
        </w:rPr>
        <w:t xml:space="preserve"> responsabilida</w:t>
      </w:r>
      <w:r w:rsidR="00C12836" w:rsidRPr="00AD4C3A">
        <w:rPr>
          <w:rFonts w:eastAsiaTheme="minorEastAsia"/>
          <w:sz w:val="22"/>
          <w:szCs w:val="22"/>
          <w:lang w:val="es-SV" w:eastAsia="es-SV"/>
        </w:rPr>
        <w:t>d</w:t>
      </w:r>
      <w:r w:rsidR="00D0697E" w:rsidRPr="00AD4C3A">
        <w:rPr>
          <w:rFonts w:eastAsiaTheme="minorEastAsia"/>
          <w:sz w:val="22"/>
          <w:szCs w:val="22"/>
          <w:lang w:val="es-SV" w:eastAsia="es-SV"/>
        </w:rPr>
        <w:t xml:space="preserve"> vinculada con la toma de lecturas al equipo de medición en cada uno de los meses afectados por el incumplimiento a la gestión comercial</w:t>
      </w:r>
      <w:r w:rsidR="007B039E" w:rsidRPr="00AD4C3A">
        <w:rPr>
          <w:rFonts w:eastAsiaTheme="minorEastAsia"/>
          <w:sz w:val="22"/>
          <w:szCs w:val="22"/>
          <w:lang w:val="es-SV" w:eastAsia="es-SV"/>
        </w:rPr>
        <w:t>.</w:t>
      </w:r>
      <w:r w:rsidR="00C12836" w:rsidRPr="00AD4C3A">
        <w:rPr>
          <w:rFonts w:eastAsiaTheme="minorEastAsia"/>
          <w:sz w:val="22"/>
          <w:szCs w:val="22"/>
          <w:highlight w:val="yellow"/>
          <w:lang w:val="es-SV" w:eastAsia="es-SV"/>
        </w:rPr>
        <w:t xml:space="preserve"> </w:t>
      </w:r>
      <w:r w:rsidR="00C63D4A" w:rsidRPr="00AD4C3A">
        <w:rPr>
          <w:rFonts w:eastAsiaTheme="minorEastAsia"/>
          <w:sz w:val="22"/>
          <w:szCs w:val="22"/>
          <w:highlight w:val="yellow"/>
          <w:lang w:val="es-SV" w:eastAsia="es-SV"/>
        </w:rPr>
        <w:t xml:space="preserve">  </w:t>
      </w:r>
    </w:p>
    <w:p w:rsidR="0027566A" w:rsidRPr="00AD4C3A" w:rsidRDefault="0027566A" w:rsidP="0027566A">
      <w:pPr>
        <w:tabs>
          <w:tab w:val="left" w:pos="284"/>
        </w:tabs>
        <w:ind w:left="567"/>
        <w:jc w:val="both"/>
        <w:rPr>
          <w:rFonts w:eastAsiaTheme="minorEastAsia"/>
          <w:sz w:val="22"/>
          <w:szCs w:val="22"/>
          <w:lang w:val="es-SV" w:eastAsia="es-SV"/>
        </w:rPr>
      </w:pPr>
    </w:p>
    <w:p w:rsidR="008F6029" w:rsidRPr="00AD4C3A" w:rsidRDefault="007B039E" w:rsidP="0027566A">
      <w:pPr>
        <w:tabs>
          <w:tab w:val="left" w:pos="284"/>
        </w:tabs>
        <w:ind w:left="567"/>
        <w:jc w:val="both"/>
        <w:rPr>
          <w:rFonts w:eastAsiaTheme="minorEastAsia"/>
          <w:sz w:val="22"/>
          <w:szCs w:val="22"/>
          <w:highlight w:val="yellow"/>
          <w:lang w:val="es-SV" w:eastAsia="es-SV"/>
        </w:rPr>
      </w:pPr>
      <w:r w:rsidRPr="00AD4C3A">
        <w:rPr>
          <w:sz w:val="22"/>
          <w:szCs w:val="22"/>
        </w:rPr>
        <w:t xml:space="preserve">En este punto corresponde </w:t>
      </w:r>
      <w:r w:rsidR="002D2CFA" w:rsidRPr="00AD4C3A">
        <w:rPr>
          <w:sz w:val="22"/>
          <w:szCs w:val="22"/>
        </w:rPr>
        <w:t>manifestar</w:t>
      </w:r>
      <w:r w:rsidRPr="00AD4C3A">
        <w:rPr>
          <w:sz w:val="22"/>
          <w:szCs w:val="22"/>
        </w:rPr>
        <w:t>,</w:t>
      </w:r>
      <w:r w:rsidR="002D2CFA" w:rsidRPr="00AD4C3A">
        <w:rPr>
          <w:sz w:val="22"/>
          <w:szCs w:val="22"/>
        </w:rPr>
        <w:t xml:space="preserve"> </w:t>
      </w:r>
      <w:r w:rsidR="004A6F1A" w:rsidRPr="00AD4C3A">
        <w:rPr>
          <w:sz w:val="22"/>
          <w:szCs w:val="22"/>
        </w:rPr>
        <w:t>que,</w:t>
      </w:r>
      <w:r w:rsidR="00A53318" w:rsidRPr="00AD4C3A">
        <w:rPr>
          <w:sz w:val="22"/>
          <w:szCs w:val="22"/>
        </w:rPr>
        <w:t xml:space="preserve"> </w:t>
      </w:r>
      <w:r w:rsidR="002D2CFA" w:rsidRPr="00AD4C3A">
        <w:rPr>
          <w:sz w:val="22"/>
          <w:szCs w:val="22"/>
        </w:rPr>
        <w:t xml:space="preserve">debido a </w:t>
      </w:r>
      <w:r w:rsidR="00A53318" w:rsidRPr="00AD4C3A">
        <w:rPr>
          <w:sz w:val="22"/>
          <w:szCs w:val="22"/>
        </w:rPr>
        <w:t>las particularidades y naturaleza del servicio de ene</w:t>
      </w:r>
      <w:r w:rsidR="006C1172" w:rsidRPr="00AD4C3A">
        <w:rPr>
          <w:sz w:val="22"/>
          <w:szCs w:val="22"/>
        </w:rPr>
        <w:t>rgía eléctrica, existen concreta</w:t>
      </w:r>
      <w:r w:rsidR="00A53318" w:rsidRPr="00AD4C3A">
        <w:rPr>
          <w:sz w:val="22"/>
          <w:szCs w:val="22"/>
        </w:rPr>
        <w:t xml:space="preserve">s </w:t>
      </w:r>
      <w:r w:rsidR="006C1172" w:rsidRPr="00AD4C3A">
        <w:rPr>
          <w:sz w:val="22"/>
          <w:szCs w:val="22"/>
        </w:rPr>
        <w:t>obligaciones</w:t>
      </w:r>
      <w:r w:rsidR="00A53318" w:rsidRPr="00AD4C3A">
        <w:rPr>
          <w:sz w:val="22"/>
          <w:szCs w:val="22"/>
        </w:rPr>
        <w:t xml:space="preserve"> que la </w:t>
      </w:r>
      <w:proofErr w:type="gramStart"/>
      <w:r w:rsidR="00A53318" w:rsidRPr="00AD4C3A">
        <w:rPr>
          <w:sz w:val="22"/>
          <w:szCs w:val="22"/>
        </w:rPr>
        <w:t xml:space="preserve">sociedad </w:t>
      </w:r>
      <w:r w:rsidR="002D4D5E">
        <w:rPr>
          <w:sz w:val="22"/>
          <w:szCs w:val="22"/>
          <w:lang w:val="es-SV"/>
        </w:rPr>
        <w:t xml:space="preserve"> *</w:t>
      </w:r>
      <w:proofErr w:type="gramEnd"/>
      <w:r w:rsidR="002D4D5E">
        <w:rPr>
          <w:sz w:val="22"/>
          <w:szCs w:val="22"/>
          <w:lang w:val="es-SV"/>
        </w:rPr>
        <w:t xml:space="preserve">** </w:t>
      </w:r>
      <w:r w:rsidR="00A53318" w:rsidRPr="00AD4C3A">
        <w:rPr>
          <w:sz w:val="22"/>
          <w:szCs w:val="22"/>
        </w:rPr>
        <w:t xml:space="preserve">debe cumplir, so pena de incurrir en una determinada transgresión a la normativa aplicable. </w:t>
      </w:r>
    </w:p>
    <w:p w:rsidR="008F6029" w:rsidRPr="00AD4C3A" w:rsidRDefault="008F6029" w:rsidP="008C3FB7">
      <w:pPr>
        <w:ind w:left="708"/>
        <w:jc w:val="both"/>
        <w:rPr>
          <w:sz w:val="22"/>
          <w:szCs w:val="22"/>
        </w:rPr>
      </w:pPr>
    </w:p>
    <w:p w:rsidR="00A53318" w:rsidRPr="00AD4C3A" w:rsidRDefault="002D2CFA" w:rsidP="006C1172">
      <w:pPr>
        <w:tabs>
          <w:tab w:val="left" w:pos="284"/>
        </w:tabs>
        <w:ind w:left="567"/>
        <w:jc w:val="both"/>
        <w:rPr>
          <w:sz w:val="22"/>
          <w:szCs w:val="22"/>
        </w:rPr>
      </w:pPr>
      <w:r w:rsidRPr="00AD4C3A">
        <w:rPr>
          <w:sz w:val="22"/>
          <w:szCs w:val="22"/>
        </w:rPr>
        <w:t xml:space="preserve">Para el presente caso, ante la </w:t>
      </w:r>
      <w:r w:rsidR="00A53318" w:rsidRPr="00AD4C3A">
        <w:rPr>
          <w:sz w:val="22"/>
          <w:szCs w:val="22"/>
        </w:rPr>
        <w:t xml:space="preserve">falta de prueba o la impertinencia de la misma para aceptar un hecho como caso fortuito o fuerza mayor, </w:t>
      </w:r>
      <w:r w:rsidRPr="00AD4C3A">
        <w:rPr>
          <w:sz w:val="22"/>
          <w:szCs w:val="22"/>
        </w:rPr>
        <w:t xml:space="preserve">recaerán </w:t>
      </w:r>
      <w:r w:rsidR="00A53318" w:rsidRPr="00AD4C3A">
        <w:rPr>
          <w:sz w:val="22"/>
          <w:szCs w:val="22"/>
        </w:rPr>
        <w:t xml:space="preserve">sobre la distribuidora las consecuencias establecidas en el marco jurídico aplicable. </w:t>
      </w:r>
    </w:p>
    <w:p w:rsidR="00A53318" w:rsidRPr="00AD4C3A" w:rsidRDefault="00A53318" w:rsidP="006C1172">
      <w:pPr>
        <w:tabs>
          <w:tab w:val="left" w:pos="284"/>
        </w:tabs>
        <w:ind w:left="567"/>
        <w:jc w:val="both"/>
        <w:rPr>
          <w:sz w:val="22"/>
          <w:szCs w:val="22"/>
        </w:rPr>
      </w:pPr>
    </w:p>
    <w:p w:rsidR="00A53318" w:rsidRPr="00AD4C3A" w:rsidRDefault="002D2CFA" w:rsidP="006C1172">
      <w:pPr>
        <w:tabs>
          <w:tab w:val="left" w:pos="284"/>
        </w:tabs>
        <w:ind w:left="567"/>
        <w:jc w:val="both"/>
        <w:rPr>
          <w:sz w:val="22"/>
          <w:szCs w:val="22"/>
        </w:rPr>
      </w:pPr>
      <w:r w:rsidRPr="00AD4C3A">
        <w:rPr>
          <w:sz w:val="22"/>
          <w:szCs w:val="22"/>
        </w:rPr>
        <w:t xml:space="preserve">Conforme a lo anterior, </w:t>
      </w:r>
      <w:r w:rsidR="00A53318" w:rsidRPr="00AD4C3A">
        <w:rPr>
          <w:sz w:val="22"/>
          <w:szCs w:val="22"/>
        </w:rPr>
        <w:t xml:space="preserve">bajo el marco regulatorio aplicable y ponderando lo determinado </w:t>
      </w:r>
      <w:r w:rsidRPr="00AD4C3A">
        <w:rPr>
          <w:sz w:val="22"/>
          <w:szCs w:val="22"/>
        </w:rPr>
        <w:t xml:space="preserve">en los informes señalados, esta Superintendencia es del criterio </w:t>
      </w:r>
      <w:r w:rsidR="00A53318" w:rsidRPr="00AD4C3A">
        <w:rPr>
          <w:sz w:val="22"/>
          <w:szCs w:val="22"/>
        </w:rPr>
        <w:t>que la sociedad</w:t>
      </w:r>
      <w:r w:rsidR="002D4D5E">
        <w:rPr>
          <w:sz w:val="22"/>
          <w:szCs w:val="22"/>
        </w:rPr>
        <w:t xml:space="preserve"> ***</w:t>
      </w:r>
      <w:r w:rsidR="00F90AAB" w:rsidRPr="00AD4C3A">
        <w:rPr>
          <w:sz w:val="22"/>
          <w:szCs w:val="22"/>
        </w:rPr>
        <w:t>.</w:t>
      </w:r>
      <w:r w:rsidR="002673C2" w:rsidRPr="00AD4C3A">
        <w:rPr>
          <w:sz w:val="22"/>
          <w:szCs w:val="22"/>
        </w:rPr>
        <w:t>,</w:t>
      </w:r>
      <w:r w:rsidR="00A53318" w:rsidRPr="00AD4C3A">
        <w:rPr>
          <w:sz w:val="22"/>
          <w:szCs w:val="22"/>
        </w:rPr>
        <w:t xml:space="preserve"> no demostró mediante las pruebas remitidas que haya existido causales constitutivas de fuerza mayor para no realizar la</w:t>
      </w:r>
      <w:r w:rsidRPr="00AD4C3A">
        <w:rPr>
          <w:sz w:val="22"/>
          <w:szCs w:val="22"/>
        </w:rPr>
        <w:t>s</w:t>
      </w:r>
      <w:r w:rsidR="00A53318" w:rsidRPr="00AD4C3A">
        <w:rPr>
          <w:sz w:val="22"/>
          <w:szCs w:val="22"/>
        </w:rPr>
        <w:t xml:space="preserve"> lectura</w:t>
      </w:r>
      <w:r w:rsidRPr="00AD4C3A">
        <w:rPr>
          <w:sz w:val="22"/>
          <w:szCs w:val="22"/>
        </w:rPr>
        <w:t>s</w:t>
      </w:r>
      <w:r w:rsidR="00D0697E" w:rsidRPr="00AD4C3A">
        <w:rPr>
          <w:sz w:val="22"/>
          <w:szCs w:val="22"/>
        </w:rPr>
        <w:t xml:space="preserve"> a los medidores,</w:t>
      </w:r>
      <w:r w:rsidR="00A53318" w:rsidRPr="00AD4C3A">
        <w:rPr>
          <w:sz w:val="22"/>
          <w:szCs w:val="22"/>
        </w:rPr>
        <w:t xml:space="preserve"> </w:t>
      </w:r>
      <w:r w:rsidR="00D0697E" w:rsidRPr="00AD4C3A">
        <w:rPr>
          <w:sz w:val="22"/>
          <w:szCs w:val="22"/>
        </w:rPr>
        <w:t xml:space="preserve">durante varios meses, </w:t>
      </w:r>
      <w:r w:rsidR="00A53318" w:rsidRPr="00AD4C3A">
        <w:rPr>
          <w:sz w:val="22"/>
          <w:szCs w:val="22"/>
        </w:rPr>
        <w:t>de</w:t>
      </w:r>
      <w:r w:rsidRPr="00AD4C3A">
        <w:rPr>
          <w:sz w:val="22"/>
          <w:szCs w:val="22"/>
        </w:rPr>
        <w:t xml:space="preserve"> </w:t>
      </w:r>
      <w:r w:rsidR="00A53318" w:rsidRPr="00AD4C3A">
        <w:rPr>
          <w:sz w:val="22"/>
          <w:szCs w:val="22"/>
        </w:rPr>
        <w:t>l</w:t>
      </w:r>
      <w:r w:rsidRPr="00AD4C3A">
        <w:rPr>
          <w:sz w:val="22"/>
          <w:szCs w:val="22"/>
        </w:rPr>
        <w:t>os</w:t>
      </w:r>
      <w:r w:rsidR="005F2F8F">
        <w:rPr>
          <w:sz w:val="22"/>
          <w:szCs w:val="22"/>
        </w:rPr>
        <w:t xml:space="preserve"> dos</w:t>
      </w:r>
      <w:r w:rsidR="00A53318" w:rsidRPr="00AD4C3A">
        <w:rPr>
          <w:sz w:val="22"/>
          <w:szCs w:val="22"/>
        </w:rPr>
        <w:t xml:space="preserve"> suministro</w:t>
      </w:r>
      <w:r w:rsidRPr="00AD4C3A">
        <w:rPr>
          <w:sz w:val="22"/>
          <w:szCs w:val="22"/>
        </w:rPr>
        <w:t>s</w:t>
      </w:r>
      <w:r w:rsidR="00A53318" w:rsidRPr="00AD4C3A">
        <w:rPr>
          <w:sz w:val="22"/>
          <w:szCs w:val="22"/>
        </w:rPr>
        <w:t xml:space="preserve"> de energía eléctrica </w:t>
      </w:r>
      <w:r w:rsidR="0041063B" w:rsidRPr="00AD4C3A">
        <w:rPr>
          <w:sz w:val="22"/>
          <w:szCs w:val="22"/>
        </w:rPr>
        <w:t xml:space="preserve">instalados en </w:t>
      </w:r>
      <w:r w:rsidR="005F2F8F">
        <w:rPr>
          <w:bCs/>
          <w:sz w:val="22"/>
          <w:szCs w:val="22"/>
        </w:rPr>
        <w:t>la</w:t>
      </w:r>
      <w:r w:rsidR="002D4D5E">
        <w:rPr>
          <w:bCs/>
          <w:sz w:val="22"/>
          <w:szCs w:val="22"/>
        </w:rPr>
        <w:t xml:space="preserve"> *** </w:t>
      </w:r>
      <w:r w:rsidR="00A53318" w:rsidRPr="00AD4C3A">
        <w:rPr>
          <w:sz w:val="22"/>
          <w:szCs w:val="22"/>
        </w:rPr>
        <w:t xml:space="preserve">, por lo que debe entenderse que en el presente caso, existió por parte de la </w:t>
      </w:r>
      <w:r w:rsidRPr="00AD4C3A">
        <w:rPr>
          <w:sz w:val="22"/>
          <w:szCs w:val="22"/>
        </w:rPr>
        <w:t xml:space="preserve">distribuidora </w:t>
      </w:r>
      <w:r w:rsidR="001E0216" w:rsidRPr="00AD4C3A">
        <w:rPr>
          <w:sz w:val="22"/>
          <w:szCs w:val="22"/>
        </w:rPr>
        <w:t>una inobservancia</w:t>
      </w:r>
      <w:r w:rsidR="00A53318" w:rsidRPr="00AD4C3A">
        <w:rPr>
          <w:sz w:val="22"/>
          <w:szCs w:val="22"/>
        </w:rPr>
        <w:t xml:space="preserve"> o incumplimiento a las disposiciones legales, atribuciones y deberes que le competen en razón de </w:t>
      </w:r>
      <w:r w:rsidRPr="00AD4C3A">
        <w:rPr>
          <w:sz w:val="22"/>
          <w:szCs w:val="22"/>
        </w:rPr>
        <w:t xml:space="preserve">la actividad que desarrolla en el sector eléctrico. </w:t>
      </w:r>
    </w:p>
    <w:p w:rsidR="00A53318" w:rsidRPr="00AD4C3A" w:rsidRDefault="00A53318" w:rsidP="006C1172">
      <w:pPr>
        <w:tabs>
          <w:tab w:val="left" w:pos="284"/>
        </w:tabs>
        <w:ind w:left="567"/>
        <w:jc w:val="both"/>
        <w:rPr>
          <w:sz w:val="22"/>
          <w:szCs w:val="22"/>
        </w:rPr>
      </w:pPr>
    </w:p>
    <w:p w:rsidR="00A53318" w:rsidRPr="00AD4C3A" w:rsidRDefault="00A53318" w:rsidP="006C1172">
      <w:pPr>
        <w:tabs>
          <w:tab w:val="left" w:pos="284"/>
        </w:tabs>
        <w:ind w:left="567"/>
        <w:jc w:val="both"/>
        <w:rPr>
          <w:sz w:val="22"/>
          <w:szCs w:val="22"/>
        </w:rPr>
      </w:pPr>
      <w:r w:rsidRPr="00AD4C3A">
        <w:rPr>
          <w:sz w:val="22"/>
          <w:szCs w:val="22"/>
        </w:rPr>
        <w:t xml:space="preserve">Por lo tanto, esta Institución </w:t>
      </w:r>
      <w:r w:rsidR="008E4B02" w:rsidRPr="00AD4C3A">
        <w:rPr>
          <w:sz w:val="22"/>
          <w:szCs w:val="22"/>
        </w:rPr>
        <w:t xml:space="preserve">concluye </w:t>
      </w:r>
      <w:r w:rsidR="00C12836" w:rsidRPr="00AD4C3A">
        <w:rPr>
          <w:sz w:val="22"/>
          <w:szCs w:val="22"/>
        </w:rPr>
        <w:t xml:space="preserve">que </w:t>
      </w:r>
      <w:r w:rsidR="001E0216" w:rsidRPr="00AD4C3A">
        <w:rPr>
          <w:sz w:val="22"/>
          <w:szCs w:val="22"/>
        </w:rPr>
        <w:t xml:space="preserve">con base en el informe técnico No. </w:t>
      </w:r>
      <w:r w:rsidR="00F06259" w:rsidRPr="00AD4C3A">
        <w:rPr>
          <w:sz w:val="22"/>
          <w:szCs w:val="22"/>
        </w:rPr>
        <w:t>IT-NT-2019-02-012</w:t>
      </w:r>
      <w:r w:rsidR="008E4B02" w:rsidRPr="00AD4C3A">
        <w:rPr>
          <w:sz w:val="22"/>
          <w:szCs w:val="22"/>
        </w:rPr>
        <w:t xml:space="preserve">, y el informe jurídico </w:t>
      </w:r>
      <w:r w:rsidR="00A22E97" w:rsidRPr="00AD4C3A">
        <w:rPr>
          <w:sz w:val="22"/>
          <w:szCs w:val="22"/>
        </w:rPr>
        <w:t xml:space="preserve">No. </w:t>
      </w:r>
      <w:r w:rsidR="000F603E" w:rsidRPr="00AD4C3A">
        <w:rPr>
          <w:sz w:val="22"/>
          <w:szCs w:val="22"/>
        </w:rPr>
        <w:t>IJ-002-CAU-2019</w:t>
      </w:r>
      <w:r w:rsidR="008E4B02" w:rsidRPr="00AD4C3A">
        <w:rPr>
          <w:sz w:val="22"/>
          <w:szCs w:val="22"/>
        </w:rPr>
        <w:t>,</w:t>
      </w:r>
      <w:r w:rsidRPr="00AD4C3A">
        <w:rPr>
          <w:sz w:val="22"/>
          <w:szCs w:val="22"/>
        </w:rPr>
        <w:t xml:space="preserve"> se han recopilado las pruebas necesarias e idóneas por medio de las cuales se adquirió la certeza que la sociedad</w:t>
      </w:r>
      <w:r w:rsidR="002D4D5E">
        <w:rPr>
          <w:sz w:val="22"/>
          <w:szCs w:val="22"/>
        </w:rPr>
        <w:t xml:space="preserve"> *** </w:t>
      </w:r>
      <w:r w:rsidR="00F90AAB" w:rsidRPr="00AD4C3A">
        <w:rPr>
          <w:sz w:val="22"/>
          <w:szCs w:val="22"/>
        </w:rPr>
        <w:t>.</w:t>
      </w:r>
      <w:r w:rsidR="005A541E" w:rsidRPr="00AD4C3A">
        <w:rPr>
          <w:sz w:val="22"/>
          <w:szCs w:val="22"/>
        </w:rPr>
        <w:t>,</w:t>
      </w:r>
      <w:r w:rsidRPr="00AD4C3A">
        <w:rPr>
          <w:sz w:val="22"/>
          <w:szCs w:val="22"/>
        </w:rPr>
        <w:t xml:space="preserve"> incumplió con su obligación de realizar mensualmente la medición y facturación del suministro del servicio de energía eléctrica de </w:t>
      </w:r>
      <w:r w:rsidR="006C1172" w:rsidRPr="00AD4C3A">
        <w:rPr>
          <w:bCs/>
          <w:sz w:val="22"/>
          <w:szCs w:val="22"/>
        </w:rPr>
        <w:t>los señores</w:t>
      </w:r>
      <w:r w:rsidR="002D4D5E">
        <w:rPr>
          <w:bCs/>
          <w:sz w:val="22"/>
          <w:szCs w:val="22"/>
        </w:rPr>
        <w:t xml:space="preserve"> **** </w:t>
      </w:r>
      <w:r w:rsidRPr="00AD4C3A">
        <w:rPr>
          <w:sz w:val="22"/>
          <w:szCs w:val="22"/>
        </w:rPr>
        <w:t xml:space="preserve">, situación que no está permitida de conformidad con los Términos y Condiciones </w:t>
      </w:r>
      <w:r w:rsidR="008E4B02" w:rsidRPr="00AD4C3A">
        <w:rPr>
          <w:sz w:val="22"/>
          <w:szCs w:val="22"/>
        </w:rPr>
        <w:t xml:space="preserve">del Consumidor Final </w:t>
      </w:r>
      <w:r w:rsidRPr="00AD4C3A">
        <w:rPr>
          <w:sz w:val="22"/>
          <w:szCs w:val="22"/>
        </w:rPr>
        <w:t>de los Pliegos</w:t>
      </w:r>
      <w:r w:rsidR="008E4B02" w:rsidRPr="00AD4C3A">
        <w:rPr>
          <w:sz w:val="22"/>
          <w:szCs w:val="22"/>
        </w:rPr>
        <w:t xml:space="preserve"> Tarifarios</w:t>
      </w:r>
      <w:r w:rsidRPr="00AD4C3A">
        <w:rPr>
          <w:sz w:val="22"/>
          <w:szCs w:val="22"/>
        </w:rPr>
        <w:t>.</w:t>
      </w:r>
    </w:p>
    <w:p w:rsidR="00A53318" w:rsidRPr="00AD4C3A" w:rsidRDefault="00A53318" w:rsidP="008C3FB7">
      <w:pPr>
        <w:pStyle w:val="Textoindependiente"/>
        <w:spacing w:after="0" w:line="240" w:lineRule="auto"/>
        <w:jc w:val="both"/>
        <w:rPr>
          <w:rFonts w:ascii="Times New Roman" w:hAnsi="Times New Roman" w:cs="Times New Roman"/>
          <w:color w:val="000000" w:themeColor="text1"/>
          <w:lang w:val="es-ES"/>
        </w:rPr>
      </w:pPr>
    </w:p>
    <w:p w:rsidR="00A53318" w:rsidRPr="00AD4C3A" w:rsidRDefault="00A53318" w:rsidP="00D0697E">
      <w:pPr>
        <w:pStyle w:val="Prrafodelista"/>
        <w:numPr>
          <w:ilvl w:val="0"/>
          <w:numId w:val="17"/>
        </w:numPr>
        <w:autoSpaceDE w:val="0"/>
        <w:autoSpaceDN w:val="0"/>
        <w:adjustRightInd w:val="0"/>
        <w:ind w:left="851" w:hanging="284"/>
        <w:jc w:val="both"/>
        <w:rPr>
          <w:sz w:val="22"/>
          <w:szCs w:val="22"/>
        </w:rPr>
      </w:pPr>
      <w:r w:rsidRPr="00AD4C3A">
        <w:rPr>
          <w:color w:val="000000" w:themeColor="text1"/>
          <w:sz w:val="22"/>
          <w:szCs w:val="22"/>
        </w:rPr>
        <w:t xml:space="preserve">Consecuencia </w:t>
      </w:r>
      <w:r w:rsidRPr="00AD4C3A">
        <w:rPr>
          <w:sz w:val="22"/>
          <w:szCs w:val="22"/>
        </w:rPr>
        <w:t xml:space="preserve">derivada de la omisión en </w:t>
      </w:r>
      <w:r w:rsidR="00D0697E" w:rsidRPr="00AD4C3A">
        <w:rPr>
          <w:sz w:val="22"/>
          <w:szCs w:val="22"/>
        </w:rPr>
        <w:t xml:space="preserve">la lectura del equipo de </w:t>
      </w:r>
      <w:r w:rsidRPr="00AD4C3A">
        <w:rPr>
          <w:sz w:val="22"/>
          <w:szCs w:val="22"/>
        </w:rPr>
        <w:t xml:space="preserve">medición y </w:t>
      </w:r>
      <w:r w:rsidR="008F63B1" w:rsidRPr="00AD4C3A">
        <w:rPr>
          <w:sz w:val="22"/>
          <w:szCs w:val="22"/>
        </w:rPr>
        <w:t xml:space="preserve">de la </w:t>
      </w:r>
      <w:r w:rsidRPr="00AD4C3A">
        <w:rPr>
          <w:sz w:val="22"/>
          <w:szCs w:val="22"/>
        </w:rPr>
        <w:t>facturación mensual del consumo de energía eléctrica</w:t>
      </w:r>
    </w:p>
    <w:p w:rsidR="00A53318" w:rsidRPr="00AD4C3A" w:rsidRDefault="00A53318" w:rsidP="008C3FB7">
      <w:pPr>
        <w:pStyle w:val="Textoindependiente"/>
        <w:spacing w:after="0" w:line="240" w:lineRule="auto"/>
        <w:ind w:left="708"/>
        <w:jc w:val="both"/>
        <w:rPr>
          <w:rFonts w:ascii="Times New Roman" w:hAnsi="Times New Roman" w:cs="Times New Roman"/>
          <w:color w:val="000000" w:themeColor="text1"/>
          <w:lang w:val="es-ES"/>
        </w:rPr>
      </w:pPr>
    </w:p>
    <w:p w:rsidR="00A53318" w:rsidRPr="00AD4C3A" w:rsidRDefault="00A53318" w:rsidP="00647ADA">
      <w:pPr>
        <w:tabs>
          <w:tab w:val="left" w:pos="284"/>
        </w:tabs>
        <w:ind w:left="567"/>
        <w:jc w:val="both"/>
        <w:rPr>
          <w:sz w:val="22"/>
          <w:szCs w:val="22"/>
        </w:rPr>
      </w:pPr>
      <w:r w:rsidRPr="00AD4C3A">
        <w:rPr>
          <w:sz w:val="22"/>
          <w:szCs w:val="22"/>
        </w:rPr>
        <w:t xml:space="preserve">Llegado a este punto, se vuelve necesario traer a colación algunas disposiciones contenidas en la Ley General de Electricidad, el Reglamento de la Ley General de Electricidad y los Términos y Condiciones del Pliego Tarifario aplicable </w:t>
      </w:r>
      <w:r w:rsidR="00D53935" w:rsidRPr="00AD4C3A">
        <w:rPr>
          <w:sz w:val="22"/>
          <w:szCs w:val="22"/>
        </w:rPr>
        <w:t xml:space="preserve">a la distribuidora, </w:t>
      </w:r>
      <w:r w:rsidRPr="00AD4C3A">
        <w:rPr>
          <w:sz w:val="22"/>
          <w:szCs w:val="22"/>
        </w:rPr>
        <w:t>siendo éstas las siguientes:</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lastRenderedPageBreak/>
        <w:t>El artículo 10 de la Ley General de Electricidad, establece que los operadores no tendrán más obligaciones de prestar servicios o realizar suministros que las contenidas en la presente Ley y en sus contratos.</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En el artículo 81 de la misma Ley, se dispone que los consumidores conectados a una red de distribución podrán exigir al distribuidor correspondiente el otorgamiento de contratos de suministro de energía eléctrica de acuerdo al pliego tarifario aprobado por la SIGET.</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En ese orden de ideas, el artículo 87 inciso tercero del Reglamento de la Ley General de Electricidad, establece que el distribuidor está obligado a suministrar energía eléctrica de acuerdo con lo dispuesto en los Pliegos Tarifarios correspondientes.</w:t>
      </w:r>
    </w:p>
    <w:p w:rsidR="00A53318" w:rsidRPr="00AD4C3A" w:rsidRDefault="00A53318" w:rsidP="00647ADA">
      <w:pPr>
        <w:tabs>
          <w:tab w:val="left" w:pos="284"/>
        </w:tabs>
        <w:ind w:left="567"/>
        <w:jc w:val="both"/>
        <w:rPr>
          <w:sz w:val="22"/>
          <w:szCs w:val="22"/>
        </w:rPr>
      </w:pPr>
    </w:p>
    <w:p w:rsidR="00647ADA" w:rsidRPr="00AD4C3A" w:rsidRDefault="00A53318" w:rsidP="00647ADA">
      <w:pPr>
        <w:tabs>
          <w:tab w:val="left" w:pos="284"/>
        </w:tabs>
        <w:ind w:left="567"/>
        <w:jc w:val="both"/>
        <w:rPr>
          <w:sz w:val="22"/>
          <w:szCs w:val="22"/>
        </w:rPr>
      </w:pPr>
      <w:r w:rsidRPr="00AD4C3A">
        <w:rPr>
          <w:sz w:val="22"/>
          <w:szCs w:val="22"/>
        </w:rPr>
        <w:t xml:space="preserve">Específicamente, en los Términos y Condiciones </w:t>
      </w:r>
      <w:r w:rsidR="008240E5" w:rsidRPr="00AD4C3A">
        <w:rPr>
          <w:sz w:val="22"/>
          <w:szCs w:val="22"/>
        </w:rPr>
        <w:t xml:space="preserve">al Consumidor Final </w:t>
      </w:r>
      <w:r w:rsidRPr="00AD4C3A">
        <w:rPr>
          <w:sz w:val="22"/>
          <w:szCs w:val="22"/>
        </w:rPr>
        <w:t>del Pliego Tarifario aplicable</w:t>
      </w:r>
      <w:r w:rsidR="00D53935" w:rsidRPr="00AD4C3A">
        <w:rPr>
          <w:sz w:val="22"/>
          <w:szCs w:val="22"/>
        </w:rPr>
        <w:t xml:space="preserve">, </w:t>
      </w:r>
      <w:r w:rsidRPr="00AD4C3A">
        <w:rPr>
          <w:sz w:val="22"/>
          <w:szCs w:val="22"/>
        </w:rPr>
        <w:t>se regula lo siguiente:</w:t>
      </w:r>
    </w:p>
    <w:p w:rsidR="00647ADA" w:rsidRPr="00AD4C3A" w:rsidRDefault="00647ADA" w:rsidP="00647ADA">
      <w:pPr>
        <w:tabs>
          <w:tab w:val="left" w:pos="284"/>
        </w:tabs>
        <w:ind w:left="567"/>
        <w:jc w:val="both"/>
        <w:rPr>
          <w:sz w:val="22"/>
          <w:szCs w:val="22"/>
        </w:rPr>
      </w:pPr>
    </w:p>
    <w:p w:rsidR="00647ADA" w:rsidRPr="00AD4C3A" w:rsidRDefault="00A53318" w:rsidP="00647ADA">
      <w:pPr>
        <w:tabs>
          <w:tab w:val="left" w:pos="284"/>
        </w:tabs>
        <w:ind w:left="567"/>
        <w:jc w:val="both"/>
        <w:rPr>
          <w:sz w:val="22"/>
          <w:szCs w:val="22"/>
        </w:rPr>
      </w:pPr>
      <w:r w:rsidRPr="00AD4C3A">
        <w:rPr>
          <w:i/>
          <w:sz w:val="22"/>
          <w:szCs w:val="22"/>
        </w:rPr>
        <w:t>“““(…) Art. 1. (…) Contrato de suministro de energía eléctrica: Es el acuerdo escrito por medio del cual un distribuidor que actúa como comercializar se obliga a entregar energía eléctrica al usuario final, en forma continua durante un plazo determinado, por un precio y condiciones fijadas en este pliego y otras regulaciones vigentes.</w:t>
      </w:r>
    </w:p>
    <w:p w:rsidR="00647ADA" w:rsidRPr="00AD4C3A" w:rsidRDefault="00647ADA" w:rsidP="00647ADA">
      <w:pPr>
        <w:tabs>
          <w:tab w:val="left" w:pos="284"/>
        </w:tabs>
        <w:ind w:left="567"/>
        <w:jc w:val="both"/>
        <w:rPr>
          <w:sz w:val="22"/>
          <w:szCs w:val="22"/>
        </w:rPr>
      </w:pPr>
    </w:p>
    <w:p w:rsidR="00A53318" w:rsidRPr="00AD4C3A" w:rsidRDefault="004A6F1A" w:rsidP="00647ADA">
      <w:pPr>
        <w:tabs>
          <w:tab w:val="left" w:pos="284"/>
        </w:tabs>
        <w:ind w:left="567"/>
        <w:jc w:val="both"/>
        <w:rPr>
          <w:sz w:val="22"/>
          <w:szCs w:val="22"/>
        </w:rPr>
      </w:pPr>
      <w:r w:rsidRPr="00AD4C3A">
        <w:rPr>
          <w:i/>
          <w:sz w:val="22"/>
          <w:szCs w:val="22"/>
        </w:rPr>
        <w:t>Si la</w:t>
      </w:r>
      <w:r w:rsidR="00A53318" w:rsidRPr="00AD4C3A">
        <w:rPr>
          <w:i/>
          <w:sz w:val="22"/>
          <w:szCs w:val="22"/>
        </w:rPr>
        <w:t xml:space="preserve"> prestación del servicio de energía eléctrica a los usuarios se está realizando sin existir un contrato de adhesión o de suministro, se entenderá que el suministro se está realizando de conformidad con este pliego tarifario. (…)  </w:t>
      </w:r>
    </w:p>
    <w:p w:rsidR="00A53318" w:rsidRPr="00AD4C3A" w:rsidRDefault="00A53318" w:rsidP="008C3FB7">
      <w:pPr>
        <w:ind w:left="284" w:firstLine="424"/>
        <w:jc w:val="both"/>
        <w:rPr>
          <w:i/>
          <w:sz w:val="22"/>
          <w:szCs w:val="22"/>
        </w:rPr>
      </w:pPr>
    </w:p>
    <w:p w:rsidR="00A53318" w:rsidRPr="00AD4C3A" w:rsidRDefault="00A53318" w:rsidP="00647ADA">
      <w:pPr>
        <w:tabs>
          <w:tab w:val="left" w:pos="284"/>
        </w:tabs>
        <w:ind w:left="567"/>
        <w:jc w:val="both"/>
        <w:rPr>
          <w:i/>
          <w:sz w:val="22"/>
          <w:szCs w:val="22"/>
        </w:rPr>
      </w:pPr>
      <w:r w:rsidRPr="00AD4C3A">
        <w:rPr>
          <w:i/>
          <w:sz w:val="22"/>
          <w:szCs w:val="22"/>
        </w:rPr>
        <w:t xml:space="preserve">Art. 29.-El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w:t>
      </w:r>
      <w:r w:rsidR="00A22E97" w:rsidRPr="00AD4C3A">
        <w:rPr>
          <w:i/>
          <w:sz w:val="22"/>
          <w:szCs w:val="22"/>
        </w:rPr>
        <w:t>lectura correspondiente</w:t>
      </w:r>
      <w:r w:rsidRPr="00AD4C3A">
        <w:rPr>
          <w:i/>
          <w:sz w:val="22"/>
          <w:szCs w:val="22"/>
        </w:rPr>
        <w:t xml:space="preserve">.     </w:t>
      </w:r>
    </w:p>
    <w:p w:rsidR="00A53318" w:rsidRPr="00AD4C3A" w:rsidRDefault="00A53318" w:rsidP="00647ADA">
      <w:pPr>
        <w:tabs>
          <w:tab w:val="left" w:pos="284"/>
        </w:tabs>
        <w:ind w:left="567"/>
        <w:jc w:val="both"/>
        <w:rPr>
          <w:i/>
          <w:sz w:val="22"/>
          <w:szCs w:val="22"/>
        </w:rPr>
      </w:pPr>
    </w:p>
    <w:p w:rsidR="00A53318" w:rsidRPr="00AD4C3A" w:rsidRDefault="00A53318" w:rsidP="00647ADA">
      <w:pPr>
        <w:tabs>
          <w:tab w:val="left" w:pos="284"/>
        </w:tabs>
        <w:ind w:left="567"/>
        <w:jc w:val="both"/>
        <w:rPr>
          <w:i/>
          <w:sz w:val="22"/>
          <w:szCs w:val="22"/>
        </w:rPr>
      </w:pPr>
      <w:r w:rsidRPr="00AD4C3A">
        <w:rPr>
          <w:i/>
          <w:sz w:val="22"/>
          <w:szCs w:val="22"/>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rsidR="00A53318" w:rsidRPr="00AD4C3A" w:rsidRDefault="00A53318" w:rsidP="00647ADA">
      <w:pPr>
        <w:tabs>
          <w:tab w:val="left" w:pos="284"/>
        </w:tabs>
        <w:ind w:left="567"/>
        <w:jc w:val="both"/>
        <w:rPr>
          <w:i/>
          <w:sz w:val="22"/>
          <w:szCs w:val="22"/>
        </w:rPr>
      </w:pPr>
    </w:p>
    <w:p w:rsidR="00A53318" w:rsidRPr="00AD4C3A" w:rsidRDefault="00A53318" w:rsidP="00647ADA">
      <w:pPr>
        <w:tabs>
          <w:tab w:val="left" w:pos="284"/>
        </w:tabs>
        <w:ind w:left="567"/>
        <w:jc w:val="both"/>
        <w:rPr>
          <w:i/>
          <w:sz w:val="22"/>
          <w:szCs w:val="22"/>
        </w:rPr>
      </w:pPr>
      <w:r w:rsidRPr="00AD4C3A">
        <w:rPr>
          <w:i/>
          <w:sz w:val="22"/>
          <w:szCs w:val="22"/>
        </w:rPr>
        <w:t>El Distribuidor no podrá acumular registros de consumos mensuales de energía eléctrica en un usuario final por no haber efectuado las lecturas correspondientes, a excepción de casos fortuitos o de fuerza mayor. (…)”””</w:t>
      </w:r>
    </w:p>
    <w:p w:rsidR="00A53318" w:rsidRPr="00AD4C3A" w:rsidRDefault="00A53318" w:rsidP="00647ADA">
      <w:pPr>
        <w:tabs>
          <w:tab w:val="left" w:pos="284"/>
        </w:tabs>
        <w:ind w:left="567"/>
        <w:jc w:val="both"/>
        <w:rPr>
          <w:i/>
          <w:sz w:val="22"/>
          <w:szCs w:val="22"/>
        </w:rPr>
      </w:pPr>
    </w:p>
    <w:p w:rsidR="00A53318" w:rsidRPr="00AD4C3A" w:rsidRDefault="00A53318" w:rsidP="00647ADA">
      <w:pPr>
        <w:tabs>
          <w:tab w:val="left" w:pos="284"/>
        </w:tabs>
        <w:ind w:left="567"/>
        <w:jc w:val="both"/>
        <w:rPr>
          <w:i/>
          <w:sz w:val="22"/>
          <w:szCs w:val="22"/>
        </w:rPr>
      </w:pPr>
      <w:r w:rsidRPr="00AD4C3A">
        <w:rPr>
          <w:i/>
          <w:sz w:val="22"/>
          <w:szCs w:val="22"/>
        </w:rPr>
        <w:t>(…) Art. 40.- Para todas las categorías tarifarias contenidas en este pliego, la factura del usuario final incluirá los siguientes cargos del servicio eléctrico:</w:t>
      </w:r>
    </w:p>
    <w:p w:rsidR="00A53318" w:rsidRPr="00AD4C3A" w:rsidRDefault="00A53318" w:rsidP="008C3FB7">
      <w:pPr>
        <w:ind w:left="284" w:firstLine="424"/>
        <w:jc w:val="both"/>
        <w:rPr>
          <w:i/>
          <w:sz w:val="22"/>
          <w:szCs w:val="22"/>
        </w:rPr>
      </w:pPr>
    </w:p>
    <w:p w:rsidR="00A53318" w:rsidRPr="00AD4C3A" w:rsidRDefault="00A53318" w:rsidP="008C3FB7">
      <w:pPr>
        <w:pStyle w:val="Prrafodelista"/>
        <w:numPr>
          <w:ilvl w:val="3"/>
          <w:numId w:val="14"/>
        </w:numPr>
        <w:ind w:left="284" w:firstLine="424"/>
        <w:jc w:val="both"/>
        <w:rPr>
          <w:i/>
          <w:sz w:val="22"/>
          <w:szCs w:val="22"/>
        </w:rPr>
      </w:pPr>
      <w:r w:rsidRPr="00AD4C3A">
        <w:rPr>
          <w:i/>
          <w:sz w:val="22"/>
          <w:szCs w:val="22"/>
        </w:rPr>
        <w:t>Cargo de Comercialización</w:t>
      </w:r>
    </w:p>
    <w:p w:rsidR="00A53318" w:rsidRPr="00AD4C3A" w:rsidRDefault="00A53318" w:rsidP="008C3FB7">
      <w:pPr>
        <w:pStyle w:val="Prrafodelista"/>
        <w:numPr>
          <w:ilvl w:val="3"/>
          <w:numId w:val="14"/>
        </w:numPr>
        <w:ind w:left="284" w:firstLine="424"/>
        <w:jc w:val="both"/>
        <w:rPr>
          <w:i/>
          <w:sz w:val="22"/>
          <w:szCs w:val="22"/>
        </w:rPr>
      </w:pPr>
      <w:r w:rsidRPr="00AD4C3A">
        <w:rPr>
          <w:i/>
          <w:sz w:val="22"/>
          <w:szCs w:val="22"/>
        </w:rPr>
        <w:t>Cargo por Energía</w:t>
      </w:r>
    </w:p>
    <w:p w:rsidR="00A53318" w:rsidRPr="00AD4C3A" w:rsidRDefault="00A53318" w:rsidP="008C3FB7">
      <w:pPr>
        <w:pStyle w:val="Prrafodelista"/>
        <w:numPr>
          <w:ilvl w:val="3"/>
          <w:numId w:val="14"/>
        </w:numPr>
        <w:ind w:left="284" w:firstLine="424"/>
        <w:jc w:val="both"/>
        <w:rPr>
          <w:i/>
          <w:sz w:val="22"/>
          <w:szCs w:val="22"/>
        </w:rPr>
      </w:pPr>
      <w:r w:rsidRPr="00AD4C3A">
        <w:rPr>
          <w:i/>
          <w:sz w:val="22"/>
          <w:szCs w:val="22"/>
        </w:rPr>
        <w:t>Cargo de Distribución</w:t>
      </w:r>
      <w:r w:rsidR="00A22E97" w:rsidRPr="00AD4C3A">
        <w:rPr>
          <w:i/>
          <w:sz w:val="22"/>
          <w:szCs w:val="22"/>
        </w:rPr>
        <w:t xml:space="preserve"> (</w:t>
      </w:r>
      <w:r w:rsidRPr="00AD4C3A">
        <w:rPr>
          <w:i/>
          <w:sz w:val="22"/>
          <w:szCs w:val="22"/>
        </w:rPr>
        <w:t xml:space="preserve">…)”””                                           </w:t>
      </w:r>
    </w:p>
    <w:p w:rsidR="00A53318" w:rsidRPr="00AD4C3A" w:rsidRDefault="00A53318" w:rsidP="008C3FB7">
      <w:pPr>
        <w:ind w:left="284" w:firstLine="424"/>
        <w:jc w:val="both"/>
        <w:rPr>
          <w:i/>
          <w:sz w:val="22"/>
          <w:szCs w:val="22"/>
        </w:rPr>
      </w:pPr>
    </w:p>
    <w:p w:rsidR="005D3C2C" w:rsidRPr="005F2F8F" w:rsidRDefault="00A53318" w:rsidP="00647ADA">
      <w:pPr>
        <w:tabs>
          <w:tab w:val="left" w:pos="284"/>
        </w:tabs>
        <w:ind w:left="567"/>
        <w:jc w:val="both"/>
        <w:rPr>
          <w:sz w:val="22"/>
          <w:szCs w:val="22"/>
          <w:lang w:val="es-MX"/>
        </w:rPr>
      </w:pPr>
      <w:r w:rsidRPr="00AD4C3A">
        <w:rPr>
          <w:sz w:val="22"/>
          <w:szCs w:val="22"/>
        </w:rPr>
        <w:t>Por otra parte,</w:t>
      </w:r>
      <w:r w:rsidR="00D53935" w:rsidRPr="00AD4C3A">
        <w:rPr>
          <w:sz w:val="22"/>
          <w:szCs w:val="22"/>
          <w:lang w:val="es-MX"/>
        </w:rPr>
        <w:t xml:space="preserve"> </w:t>
      </w:r>
      <w:r w:rsidR="005D3C2C" w:rsidRPr="00AD4C3A">
        <w:rPr>
          <w:sz w:val="22"/>
          <w:szCs w:val="22"/>
          <w:lang w:val="es-MX"/>
        </w:rPr>
        <w:t xml:space="preserve">en </w:t>
      </w:r>
      <w:r w:rsidR="00D53935" w:rsidRPr="00AD4C3A">
        <w:rPr>
          <w:sz w:val="22"/>
          <w:szCs w:val="22"/>
          <w:lang w:val="es-MX"/>
        </w:rPr>
        <w:t>e</w:t>
      </w:r>
      <w:r w:rsidRPr="00AD4C3A">
        <w:rPr>
          <w:sz w:val="22"/>
          <w:szCs w:val="22"/>
          <w:lang w:val="es-MX"/>
        </w:rPr>
        <w:t xml:space="preserve">l </w:t>
      </w:r>
      <w:r w:rsidR="005D3C2C" w:rsidRPr="00AD4C3A">
        <w:rPr>
          <w:sz w:val="22"/>
          <w:szCs w:val="22"/>
          <w:lang w:val="es-MX"/>
        </w:rPr>
        <w:t>artículo 8 letras a) y b) de las Normas de Calidad del Servicio de los Sistemas de Distribución, se determina que la distribuidora dentro de su zona de servicio, está obligado a</w:t>
      </w:r>
      <w:r w:rsidR="005D3C2C" w:rsidRPr="005F2F8F">
        <w:rPr>
          <w:sz w:val="22"/>
          <w:szCs w:val="22"/>
          <w:lang w:val="es-MX"/>
        </w:rPr>
        <w:t xml:space="preserve"> </w:t>
      </w:r>
      <w:r w:rsidR="005F2F8F">
        <w:rPr>
          <w:sz w:val="22"/>
          <w:szCs w:val="22"/>
          <w:lang w:val="es-MX"/>
        </w:rPr>
        <w:t>p</w:t>
      </w:r>
      <w:r w:rsidR="005D3C2C" w:rsidRPr="005F2F8F">
        <w:rPr>
          <w:sz w:val="22"/>
          <w:szCs w:val="22"/>
          <w:lang w:val="es-MX"/>
        </w:rPr>
        <w:t xml:space="preserve">restar a sus usuarios, un servicio de energía eléctrica que cumpla con los índices o indicadores de </w:t>
      </w:r>
      <w:r w:rsidR="005D3C2C" w:rsidRPr="005F2F8F">
        <w:rPr>
          <w:sz w:val="22"/>
          <w:szCs w:val="22"/>
          <w:lang w:val="es-MX"/>
        </w:rPr>
        <w:lastRenderedPageBreak/>
        <w:t xml:space="preserve">calidad exigidos en estas Normas, y </w:t>
      </w:r>
      <w:r w:rsidR="005F2F8F">
        <w:rPr>
          <w:sz w:val="22"/>
          <w:szCs w:val="22"/>
          <w:lang w:val="es-MX"/>
        </w:rPr>
        <w:t>c</w:t>
      </w:r>
      <w:r w:rsidR="005D3C2C" w:rsidRPr="005F2F8F">
        <w:rPr>
          <w:sz w:val="22"/>
          <w:szCs w:val="22"/>
          <w:lang w:val="es-MX"/>
        </w:rPr>
        <w:t>umplir en lo que le corres</w:t>
      </w:r>
      <w:r w:rsidR="005F2F8F">
        <w:rPr>
          <w:sz w:val="22"/>
          <w:szCs w:val="22"/>
          <w:lang w:val="es-MX"/>
        </w:rPr>
        <w:t>ponde con lo consignado en dichas</w:t>
      </w:r>
      <w:r w:rsidR="005D3C2C" w:rsidRPr="005F2F8F">
        <w:rPr>
          <w:sz w:val="22"/>
          <w:szCs w:val="22"/>
          <w:lang w:val="es-MX"/>
        </w:rPr>
        <w:t xml:space="preserve"> Normas y procedimientos aprobados por SIGET.</w:t>
      </w:r>
    </w:p>
    <w:p w:rsidR="005D3C2C" w:rsidRPr="00AD4C3A" w:rsidRDefault="005D3C2C" w:rsidP="008C3FB7">
      <w:pPr>
        <w:ind w:left="708"/>
        <w:jc w:val="both"/>
        <w:rPr>
          <w:sz w:val="22"/>
          <w:szCs w:val="22"/>
          <w:lang w:val="es-MX"/>
        </w:rPr>
      </w:pPr>
    </w:p>
    <w:p w:rsidR="00A53318" w:rsidRPr="00AD4C3A" w:rsidRDefault="005D3C2C" w:rsidP="00647ADA">
      <w:pPr>
        <w:tabs>
          <w:tab w:val="left" w:pos="284"/>
        </w:tabs>
        <w:ind w:left="567"/>
        <w:jc w:val="both"/>
        <w:rPr>
          <w:sz w:val="22"/>
          <w:szCs w:val="22"/>
        </w:rPr>
      </w:pPr>
      <w:r w:rsidRPr="00AD4C3A">
        <w:rPr>
          <w:sz w:val="22"/>
          <w:szCs w:val="22"/>
        </w:rPr>
        <w:t xml:space="preserve">Además, el </w:t>
      </w:r>
      <w:r w:rsidR="00A53318" w:rsidRPr="00AD4C3A">
        <w:rPr>
          <w:sz w:val="22"/>
          <w:szCs w:val="22"/>
        </w:rPr>
        <w:t>artículo 73 letra c) de las Normas de Calidad del Servicio d</w:t>
      </w:r>
      <w:r w:rsidR="00D53935" w:rsidRPr="00AD4C3A">
        <w:rPr>
          <w:sz w:val="22"/>
          <w:szCs w:val="22"/>
        </w:rPr>
        <w:t xml:space="preserve">e los Sistemas de Distribución, </w:t>
      </w:r>
      <w:r w:rsidR="00A53318" w:rsidRPr="00AD4C3A">
        <w:rPr>
          <w:sz w:val="22"/>
          <w:szCs w:val="22"/>
        </w:rPr>
        <w:t>establece como límite máximo a estimar</w:t>
      </w:r>
      <w:r w:rsidR="008F63B1" w:rsidRPr="00AD4C3A">
        <w:rPr>
          <w:sz w:val="22"/>
          <w:szCs w:val="22"/>
        </w:rPr>
        <w:t xml:space="preserve"> –previa validación de SIGET-</w:t>
      </w:r>
      <w:r w:rsidR="00A53318" w:rsidRPr="00AD4C3A">
        <w:rPr>
          <w:sz w:val="22"/>
          <w:szCs w:val="22"/>
        </w:rPr>
        <w:t xml:space="preserve"> según la densidad demográfica (dos o tres veces</w:t>
      </w:r>
      <w:r w:rsidR="00315D8A" w:rsidRPr="00AD4C3A">
        <w:rPr>
          <w:sz w:val="22"/>
          <w:szCs w:val="22"/>
        </w:rPr>
        <w:t xml:space="preserve"> durante un año calendario</w:t>
      </w:r>
      <w:r w:rsidR="00A53318" w:rsidRPr="00AD4C3A">
        <w:rPr>
          <w:sz w:val="22"/>
          <w:szCs w:val="22"/>
        </w:rPr>
        <w:t>).</w:t>
      </w:r>
    </w:p>
    <w:p w:rsidR="00A53318" w:rsidRPr="00AD4C3A" w:rsidRDefault="00A53318" w:rsidP="00647ADA">
      <w:pPr>
        <w:tabs>
          <w:tab w:val="left" w:pos="284"/>
        </w:tabs>
        <w:ind w:left="567"/>
        <w:jc w:val="both"/>
        <w:rPr>
          <w:sz w:val="22"/>
          <w:szCs w:val="22"/>
        </w:rPr>
      </w:pPr>
    </w:p>
    <w:p w:rsidR="00647ADA" w:rsidRPr="00AD4C3A" w:rsidRDefault="00A53318" w:rsidP="00647ADA">
      <w:pPr>
        <w:tabs>
          <w:tab w:val="left" w:pos="284"/>
        </w:tabs>
        <w:ind w:left="567"/>
        <w:jc w:val="both"/>
        <w:rPr>
          <w:sz w:val="22"/>
          <w:szCs w:val="22"/>
        </w:rPr>
      </w:pPr>
      <w:r w:rsidRPr="00AD4C3A">
        <w:rPr>
          <w:sz w:val="22"/>
          <w:szCs w:val="22"/>
        </w:rPr>
        <w:t>El artículo 3.2 letra c) del Anexo A de la Metodología para el Control de la Calidad del Servicio Comercial de las Metodologías para el Control de las Normas de Calidad del Servicio de los Sistemas de Distribución, cita:</w:t>
      </w:r>
    </w:p>
    <w:p w:rsidR="00647ADA" w:rsidRPr="00AD4C3A" w:rsidRDefault="00647ADA" w:rsidP="00647ADA">
      <w:pPr>
        <w:tabs>
          <w:tab w:val="left" w:pos="284"/>
        </w:tabs>
        <w:ind w:left="567"/>
        <w:jc w:val="both"/>
        <w:rPr>
          <w:sz w:val="22"/>
          <w:szCs w:val="22"/>
        </w:rPr>
      </w:pPr>
    </w:p>
    <w:p w:rsidR="00647ADA" w:rsidRPr="00AD4C3A" w:rsidRDefault="00A53318" w:rsidP="00647ADA">
      <w:pPr>
        <w:tabs>
          <w:tab w:val="left" w:pos="284"/>
        </w:tabs>
        <w:ind w:left="567"/>
        <w:jc w:val="both"/>
        <w:rPr>
          <w:sz w:val="22"/>
          <w:szCs w:val="22"/>
        </w:rPr>
      </w:pPr>
      <w:r w:rsidRPr="00AD4C3A">
        <w:rPr>
          <w:sz w:val="22"/>
          <w:szCs w:val="22"/>
        </w:rPr>
        <w:t xml:space="preserve">« </w:t>
      </w:r>
      <w:r w:rsidRPr="00AD4C3A">
        <w:rPr>
          <w:i/>
          <w:sz w:val="22"/>
          <w:szCs w:val="22"/>
        </w:rPr>
        <w:t>(…)  Estimaciones en la Facturación (CFFE)</w:t>
      </w:r>
    </w:p>
    <w:p w:rsidR="00647ADA" w:rsidRPr="00AD4C3A" w:rsidRDefault="00647ADA"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i/>
          <w:sz w:val="22"/>
          <w:szCs w:val="22"/>
        </w:rPr>
        <w:t>Sin perjuicio de la obligación de la distribuidora de facturar a sus usuarios finales en función de lecturas reales de sus medidores, se establecen diferentes límites de acuerdo al área geográfica en la que habita el usuario (Densidad Demográfica Alta, Media y Baja) a aquellos casos en los que la distribuidora tenga que estimar la facturación de un usuario final, debido a errores en la lectura o por no haber tomado la lectura del medidor por situaciones adjudicables a fuerza mayor o caso fortuito. Los límites indicados determinan la cantidad de facturaciones no reales que la distribuidora podrá emitir por esas causales a un mismo usuario final, durante un año calendario (…)</w:t>
      </w:r>
      <w:r w:rsidRPr="00AD4C3A">
        <w:rPr>
          <w:sz w:val="22"/>
          <w:szCs w:val="22"/>
        </w:rPr>
        <w:t>».</w:t>
      </w:r>
    </w:p>
    <w:p w:rsidR="00A53318" w:rsidRPr="00AD4C3A" w:rsidRDefault="00A53318" w:rsidP="008C3FB7">
      <w:pPr>
        <w:ind w:left="426"/>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Por otra parte, el Procedimiento para la Determinación de Causales de Casos Fortuitos y Fuerza Mayor, en su apartado 2.1 Criterios Generales, número 1, señala que la ocurrencia de hechos constitutivos de caso fortuito o fuerza mayor no interrump</w:t>
      </w:r>
      <w:r w:rsidR="00FE4E72" w:rsidRPr="00AD4C3A">
        <w:rPr>
          <w:sz w:val="22"/>
          <w:szCs w:val="22"/>
        </w:rPr>
        <w:t>en la obligación de la d</w:t>
      </w:r>
      <w:r w:rsidRPr="00AD4C3A">
        <w:rPr>
          <w:sz w:val="22"/>
          <w:szCs w:val="22"/>
        </w:rPr>
        <w:t>istribuidora de compensar la energía no entregada a sus usuarios, es decir, tales hechos no determinan la extinción de la obligación, a menos que la distribuidora compruebe fehacientemente la causal de extinción de la obligación invocada según el procedimiento aquí establecido.</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Con base en la normativa expuesta, esta Superintendencia considera necesario</w:t>
      </w:r>
      <w:r w:rsidR="00A22E97" w:rsidRPr="00AD4C3A">
        <w:rPr>
          <w:sz w:val="22"/>
          <w:szCs w:val="22"/>
        </w:rPr>
        <w:t xml:space="preserve"> reiterar</w:t>
      </w:r>
      <w:r w:rsidRPr="00AD4C3A">
        <w:rPr>
          <w:sz w:val="22"/>
          <w:szCs w:val="22"/>
        </w:rPr>
        <w:t xml:space="preserve"> </w:t>
      </w:r>
      <w:r w:rsidR="004A6F1A" w:rsidRPr="00AD4C3A">
        <w:rPr>
          <w:sz w:val="22"/>
          <w:szCs w:val="22"/>
        </w:rPr>
        <w:t>que,</w:t>
      </w:r>
      <w:r w:rsidRPr="00AD4C3A">
        <w:rPr>
          <w:sz w:val="22"/>
          <w:szCs w:val="22"/>
        </w:rPr>
        <w:t xml:space="preserve"> </w:t>
      </w:r>
      <w:r w:rsidR="005F2F8F">
        <w:rPr>
          <w:sz w:val="22"/>
          <w:szCs w:val="22"/>
        </w:rPr>
        <w:t xml:space="preserve">es </w:t>
      </w:r>
      <w:r w:rsidRPr="00AD4C3A">
        <w:rPr>
          <w:sz w:val="22"/>
          <w:szCs w:val="22"/>
        </w:rPr>
        <w:t xml:space="preserve">obligación de la </w:t>
      </w:r>
      <w:proofErr w:type="gramStart"/>
      <w:r w:rsidR="008D7653" w:rsidRPr="00AD4C3A">
        <w:rPr>
          <w:sz w:val="22"/>
          <w:szCs w:val="22"/>
        </w:rPr>
        <w:t xml:space="preserve">sociedad </w:t>
      </w:r>
      <w:r w:rsidR="002D4D5E">
        <w:rPr>
          <w:sz w:val="22"/>
          <w:szCs w:val="22"/>
        </w:rPr>
        <w:t xml:space="preserve"> *</w:t>
      </w:r>
      <w:proofErr w:type="gramEnd"/>
      <w:r w:rsidR="002D4D5E">
        <w:rPr>
          <w:sz w:val="22"/>
          <w:szCs w:val="22"/>
        </w:rPr>
        <w:t xml:space="preserve">***, </w:t>
      </w:r>
      <w:r w:rsidRPr="00AD4C3A">
        <w:rPr>
          <w:sz w:val="22"/>
          <w:szCs w:val="22"/>
        </w:rPr>
        <w:t>realizar las lectu</w:t>
      </w:r>
      <w:r w:rsidR="00207545" w:rsidRPr="00AD4C3A">
        <w:rPr>
          <w:sz w:val="22"/>
          <w:szCs w:val="22"/>
        </w:rPr>
        <w:t>ras de los equipos de medición, con</w:t>
      </w:r>
      <w:r w:rsidRPr="00AD4C3A">
        <w:rPr>
          <w:sz w:val="22"/>
          <w:szCs w:val="22"/>
        </w:rPr>
        <w:t xml:space="preserve"> la emisión y notificación del consumo de forma mensual. Estando exenta para no realizar dichas actividades únicamente dos o tres veces año por causas comprobadas </w:t>
      </w:r>
      <w:r w:rsidR="00207545" w:rsidRPr="00AD4C3A">
        <w:rPr>
          <w:sz w:val="22"/>
          <w:szCs w:val="22"/>
        </w:rPr>
        <w:t xml:space="preserve">y validadas por SIGET </w:t>
      </w:r>
      <w:r w:rsidRPr="00AD4C3A">
        <w:rPr>
          <w:sz w:val="22"/>
          <w:szCs w:val="22"/>
        </w:rPr>
        <w:t>de caso fortuito o fuerza mayor.</w:t>
      </w:r>
    </w:p>
    <w:p w:rsidR="00A53318" w:rsidRPr="00AD4C3A" w:rsidRDefault="00A53318" w:rsidP="00647ADA">
      <w:pPr>
        <w:tabs>
          <w:tab w:val="left" w:pos="284"/>
        </w:tabs>
        <w:ind w:left="567"/>
        <w:jc w:val="both"/>
        <w:rPr>
          <w:sz w:val="22"/>
          <w:szCs w:val="22"/>
        </w:rPr>
      </w:pPr>
    </w:p>
    <w:p w:rsidR="00A53318" w:rsidRPr="00AD4C3A" w:rsidRDefault="005F2F8F" w:rsidP="00647ADA">
      <w:pPr>
        <w:tabs>
          <w:tab w:val="left" w:pos="284"/>
        </w:tabs>
        <w:ind w:left="567"/>
        <w:jc w:val="both"/>
        <w:rPr>
          <w:sz w:val="22"/>
          <w:szCs w:val="22"/>
        </w:rPr>
      </w:pPr>
      <w:r>
        <w:rPr>
          <w:sz w:val="22"/>
          <w:szCs w:val="22"/>
        </w:rPr>
        <w:t>E</w:t>
      </w:r>
      <w:r w:rsidR="00A53318" w:rsidRPr="00AD4C3A">
        <w:rPr>
          <w:sz w:val="22"/>
          <w:szCs w:val="22"/>
        </w:rPr>
        <w:t xml:space="preserve">n el marco normativo citado, se señala como consecuencia directa de cualquier falta de lectura que no se </w:t>
      </w:r>
      <w:r w:rsidR="00AD2065" w:rsidRPr="00AD4C3A">
        <w:rPr>
          <w:sz w:val="22"/>
          <w:szCs w:val="22"/>
        </w:rPr>
        <w:t xml:space="preserve">valide </w:t>
      </w:r>
      <w:r w:rsidR="005B7911" w:rsidRPr="00AD4C3A">
        <w:rPr>
          <w:sz w:val="22"/>
          <w:szCs w:val="22"/>
        </w:rPr>
        <w:t xml:space="preserve">por SIGET -mediante el procedimiento pertinente- </w:t>
      </w:r>
      <w:r w:rsidR="00AD2065" w:rsidRPr="00AD4C3A">
        <w:rPr>
          <w:sz w:val="22"/>
          <w:szCs w:val="22"/>
        </w:rPr>
        <w:t xml:space="preserve">que su </w:t>
      </w:r>
      <w:r w:rsidR="00A53318" w:rsidRPr="00AD4C3A">
        <w:rPr>
          <w:sz w:val="22"/>
          <w:szCs w:val="22"/>
        </w:rPr>
        <w:t>orig</w:t>
      </w:r>
      <w:r w:rsidR="005B7911" w:rsidRPr="00AD4C3A">
        <w:rPr>
          <w:sz w:val="22"/>
          <w:szCs w:val="22"/>
        </w:rPr>
        <w:t>en</w:t>
      </w:r>
      <w:r w:rsidR="00A53318" w:rsidRPr="00AD4C3A">
        <w:rPr>
          <w:sz w:val="22"/>
          <w:szCs w:val="22"/>
        </w:rPr>
        <w:t xml:space="preserve"> </w:t>
      </w:r>
      <w:r w:rsidR="00AD2065" w:rsidRPr="00AD4C3A">
        <w:rPr>
          <w:sz w:val="22"/>
          <w:szCs w:val="22"/>
        </w:rPr>
        <w:t>es</w:t>
      </w:r>
      <w:r w:rsidR="00A53318" w:rsidRPr="00AD4C3A">
        <w:rPr>
          <w:sz w:val="22"/>
          <w:szCs w:val="22"/>
        </w:rPr>
        <w:t xml:space="preserve"> una causal comprobada de caso fortuito o fuerza mayor, </w:t>
      </w:r>
      <w:r w:rsidR="005B7911" w:rsidRPr="00AD4C3A">
        <w:rPr>
          <w:sz w:val="22"/>
          <w:szCs w:val="22"/>
        </w:rPr>
        <w:t xml:space="preserve">la distribuidora tiene prohibida la estimación y </w:t>
      </w:r>
      <w:r w:rsidR="00A53318" w:rsidRPr="00AD4C3A">
        <w:rPr>
          <w:sz w:val="22"/>
          <w:szCs w:val="22"/>
        </w:rPr>
        <w:t xml:space="preserve">la acumulación de registros de consumos de energía eléctrica. </w:t>
      </w:r>
    </w:p>
    <w:p w:rsidR="00A53318" w:rsidRPr="00AD4C3A" w:rsidRDefault="00A53318" w:rsidP="008C3FB7">
      <w:pPr>
        <w:pStyle w:val="Textoindependiente"/>
        <w:spacing w:after="0" w:line="240" w:lineRule="auto"/>
        <w:ind w:left="708"/>
        <w:jc w:val="both"/>
        <w:rPr>
          <w:rFonts w:ascii="Times New Roman" w:hAnsi="Times New Roman" w:cs="Times New Roman"/>
        </w:rPr>
      </w:pPr>
    </w:p>
    <w:p w:rsidR="00A53318" w:rsidRPr="00AD4C3A" w:rsidRDefault="00A53318" w:rsidP="00647ADA">
      <w:pPr>
        <w:tabs>
          <w:tab w:val="left" w:pos="284"/>
        </w:tabs>
        <w:ind w:left="567"/>
        <w:jc w:val="both"/>
        <w:rPr>
          <w:sz w:val="22"/>
          <w:szCs w:val="22"/>
        </w:rPr>
      </w:pPr>
      <w:r w:rsidRPr="00AD4C3A">
        <w:rPr>
          <w:sz w:val="22"/>
          <w:szCs w:val="22"/>
        </w:rPr>
        <w:t xml:space="preserve">En este punto, debe entenderse la prohibición de acumular registros </w:t>
      </w:r>
      <w:r w:rsidR="004C7303" w:rsidRPr="00AD4C3A">
        <w:rPr>
          <w:sz w:val="22"/>
          <w:szCs w:val="22"/>
        </w:rPr>
        <w:t xml:space="preserve">de consumo a los usuarios para que la distribuidora realice un cobro retroactivo y acumulado </w:t>
      </w:r>
      <w:r w:rsidR="008868DB" w:rsidRPr="00AD4C3A">
        <w:rPr>
          <w:sz w:val="22"/>
          <w:szCs w:val="22"/>
        </w:rPr>
        <w:t>(</w:t>
      </w:r>
      <w:r w:rsidR="004C7303" w:rsidRPr="00AD4C3A">
        <w:rPr>
          <w:sz w:val="22"/>
          <w:szCs w:val="22"/>
        </w:rPr>
        <w:t>es decir, cualquier</w:t>
      </w:r>
      <w:r w:rsidR="000E3AE9" w:rsidRPr="00AD4C3A">
        <w:rPr>
          <w:sz w:val="22"/>
          <w:szCs w:val="22"/>
        </w:rPr>
        <w:t xml:space="preserve"> valor de</w:t>
      </w:r>
      <w:r w:rsidR="004C7303" w:rsidRPr="00AD4C3A">
        <w:rPr>
          <w:sz w:val="22"/>
          <w:szCs w:val="22"/>
        </w:rPr>
        <w:t xml:space="preserve"> lectura del medidor </w:t>
      </w:r>
      <w:r w:rsidR="000E3AE9" w:rsidRPr="00AD4C3A">
        <w:rPr>
          <w:sz w:val="22"/>
          <w:szCs w:val="22"/>
        </w:rPr>
        <w:t>que co</w:t>
      </w:r>
      <w:r w:rsidR="00CA7368" w:rsidRPr="00AD4C3A">
        <w:rPr>
          <w:sz w:val="22"/>
          <w:szCs w:val="22"/>
        </w:rPr>
        <w:t>rresponda a</w:t>
      </w:r>
      <w:r w:rsidR="000E3AE9" w:rsidRPr="00AD4C3A">
        <w:rPr>
          <w:sz w:val="22"/>
          <w:szCs w:val="22"/>
        </w:rPr>
        <w:t xml:space="preserve"> </w:t>
      </w:r>
      <w:r w:rsidR="004C7303" w:rsidRPr="00AD4C3A">
        <w:rPr>
          <w:sz w:val="22"/>
          <w:szCs w:val="22"/>
        </w:rPr>
        <w:t xml:space="preserve">más </w:t>
      </w:r>
      <w:r w:rsidR="00434050" w:rsidRPr="00AD4C3A">
        <w:rPr>
          <w:sz w:val="22"/>
          <w:szCs w:val="22"/>
        </w:rPr>
        <w:t>de</w:t>
      </w:r>
      <w:r w:rsidR="004C7303" w:rsidRPr="00AD4C3A">
        <w:rPr>
          <w:sz w:val="22"/>
          <w:szCs w:val="22"/>
        </w:rPr>
        <w:t xml:space="preserve"> treinta y un días</w:t>
      </w:r>
      <w:r w:rsidR="000E3AE9" w:rsidRPr="00AD4C3A">
        <w:rPr>
          <w:sz w:val="22"/>
          <w:szCs w:val="22"/>
        </w:rPr>
        <w:t xml:space="preserve"> de consumo registrados</w:t>
      </w:r>
      <w:r w:rsidR="004C7303" w:rsidRPr="00AD4C3A">
        <w:rPr>
          <w:sz w:val="22"/>
          <w:szCs w:val="22"/>
        </w:rPr>
        <w:t xml:space="preserve"> después de haber efectuado la última lectura en el suministro</w:t>
      </w:r>
      <w:r w:rsidR="008868DB" w:rsidRPr="00AD4C3A">
        <w:rPr>
          <w:sz w:val="22"/>
          <w:szCs w:val="22"/>
        </w:rPr>
        <w:t>)</w:t>
      </w:r>
      <w:r w:rsidRPr="00AD4C3A">
        <w:rPr>
          <w:sz w:val="22"/>
          <w:szCs w:val="22"/>
        </w:rPr>
        <w:t xml:space="preserve">, </w:t>
      </w:r>
      <w:r w:rsidR="004C7303" w:rsidRPr="00AD4C3A">
        <w:rPr>
          <w:sz w:val="22"/>
          <w:szCs w:val="22"/>
        </w:rPr>
        <w:t xml:space="preserve">pues lo </w:t>
      </w:r>
      <w:r w:rsidRPr="00AD4C3A">
        <w:rPr>
          <w:sz w:val="22"/>
          <w:szCs w:val="22"/>
        </w:rPr>
        <w:t>procede</w:t>
      </w:r>
      <w:r w:rsidR="004C7303" w:rsidRPr="00AD4C3A">
        <w:rPr>
          <w:sz w:val="22"/>
          <w:szCs w:val="22"/>
        </w:rPr>
        <w:t>nte</w:t>
      </w:r>
      <w:r w:rsidR="004523D0" w:rsidRPr="00AD4C3A">
        <w:rPr>
          <w:sz w:val="22"/>
          <w:szCs w:val="22"/>
        </w:rPr>
        <w:t xml:space="preserve"> en apego a</w:t>
      </w:r>
      <w:r w:rsidR="009D3096" w:rsidRPr="00AD4C3A">
        <w:rPr>
          <w:sz w:val="22"/>
          <w:szCs w:val="22"/>
        </w:rPr>
        <w:t xml:space="preserve"> la normativa </w:t>
      </w:r>
      <w:r w:rsidR="00091E9C" w:rsidRPr="00AD4C3A">
        <w:rPr>
          <w:sz w:val="22"/>
          <w:szCs w:val="22"/>
        </w:rPr>
        <w:t>son</w:t>
      </w:r>
      <w:r w:rsidR="009D3096" w:rsidRPr="00AD4C3A">
        <w:rPr>
          <w:sz w:val="22"/>
          <w:szCs w:val="22"/>
        </w:rPr>
        <w:t xml:space="preserve"> los cobros de consumos de energía </w:t>
      </w:r>
      <w:r w:rsidR="00092BE7" w:rsidRPr="00AD4C3A">
        <w:rPr>
          <w:sz w:val="22"/>
          <w:szCs w:val="22"/>
        </w:rPr>
        <w:t xml:space="preserve">mensuales </w:t>
      </w:r>
      <w:r w:rsidRPr="00AD4C3A">
        <w:rPr>
          <w:sz w:val="22"/>
          <w:szCs w:val="22"/>
        </w:rPr>
        <w:t>basado</w:t>
      </w:r>
      <w:r w:rsidR="009D3096" w:rsidRPr="00AD4C3A">
        <w:rPr>
          <w:sz w:val="22"/>
          <w:szCs w:val="22"/>
        </w:rPr>
        <w:t>s</w:t>
      </w:r>
      <w:r w:rsidRPr="00AD4C3A">
        <w:rPr>
          <w:sz w:val="22"/>
          <w:szCs w:val="22"/>
        </w:rPr>
        <w:t xml:space="preserve"> en lecturas reales. La única excepción es </w:t>
      </w:r>
      <w:r w:rsidR="009D3096" w:rsidRPr="00AD4C3A">
        <w:rPr>
          <w:sz w:val="22"/>
          <w:szCs w:val="22"/>
        </w:rPr>
        <w:t xml:space="preserve">que la SIGET valide la estimación de consumo </w:t>
      </w:r>
      <w:r w:rsidR="0026407C" w:rsidRPr="00AD4C3A">
        <w:rPr>
          <w:sz w:val="22"/>
          <w:szCs w:val="22"/>
        </w:rPr>
        <w:t xml:space="preserve">mensual mediante el procedimiento establecido </w:t>
      </w:r>
      <w:r w:rsidR="0084254A" w:rsidRPr="00AD4C3A">
        <w:rPr>
          <w:sz w:val="22"/>
          <w:szCs w:val="22"/>
        </w:rPr>
        <w:t xml:space="preserve">y se </w:t>
      </w:r>
      <w:r w:rsidRPr="00AD4C3A">
        <w:rPr>
          <w:sz w:val="22"/>
          <w:szCs w:val="22"/>
        </w:rPr>
        <w:t xml:space="preserve">cumpla con lo dispuesto en el Anexo A de la Metodología para el Control de la Calidad del Servicio Comercial de las Metodologías para el Control de las Normas de Calidad del Servicio de los </w:t>
      </w:r>
      <w:r w:rsidRPr="00AD4C3A">
        <w:rPr>
          <w:sz w:val="22"/>
          <w:szCs w:val="22"/>
        </w:rPr>
        <w:lastRenderedPageBreak/>
        <w:t>Sistemas de Distribución, los Términos y Condiciones de los Pliegos Tarifarios, respecto de la comprobación de las causales de caso fortuito o fuerza mayor.</w:t>
      </w:r>
    </w:p>
    <w:p w:rsidR="00A53318" w:rsidRPr="00AD4C3A" w:rsidRDefault="00A53318" w:rsidP="008C3FB7">
      <w:pPr>
        <w:ind w:left="284" w:firstLine="424"/>
        <w:jc w:val="both"/>
        <w:rPr>
          <w:sz w:val="22"/>
          <w:szCs w:val="22"/>
          <w:highlight w:val="yellow"/>
        </w:rPr>
      </w:pPr>
    </w:p>
    <w:p w:rsidR="00A53318" w:rsidRPr="00AD4C3A" w:rsidRDefault="00A53318" w:rsidP="00647ADA">
      <w:pPr>
        <w:tabs>
          <w:tab w:val="left" w:pos="284"/>
        </w:tabs>
        <w:ind w:left="567"/>
        <w:jc w:val="both"/>
        <w:rPr>
          <w:sz w:val="22"/>
          <w:szCs w:val="22"/>
        </w:rPr>
      </w:pPr>
      <w:r w:rsidRPr="00AD4C3A">
        <w:rPr>
          <w:sz w:val="22"/>
          <w:szCs w:val="22"/>
        </w:rPr>
        <w:t xml:space="preserve">Corresponde exponer que para la distribuidora existe el derecho de cobrar el consumo del servicio público de energía con base en los datos registrados en los instrumentos aptos para ello, lecturas que deben ser realizadas mes a mes a partir de la conexión al servicio. Lo anterior tiene como objetivo que el usuario se encuentre informado de los importes correspondientes que debe pagar; y, no crearle una situación gravosa, ya que se busca evitar que la distribuidora le requiera un cobro acumulado en concepto del servicio de energía eléctrica que abarque varios meses, sin una causa </w:t>
      </w:r>
      <w:r w:rsidR="00A422E7" w:rsidRPr="00AD4C3A">
        <w:rPr>
          <w:sz w:val="22"/>
          <w:szCs w:val="22"/>
        </w:rPr>
        <w:t>validada por SIGET en apego a las normativas</w:t>
      </w:r>
      <w:r w:rsidRPr="00AD4C3A">
        <w:rPr>
          <w:sz w:val="22"/>
          <w:szCs w:val="22"/>
        </w:rPr>
        <w:t>.</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 xml:space="preserve">Es decir, la distribuidora tiene una obligación expresa de carácter legal respecto a medir mensualmente los consumos y realizar la facturación a efecto que el precio del servicio refleje esas mediciones. </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 xml:space="preserve">Debe destacarse </w:t>
      </w:r>
      <w:r w:rsidR="006757F3" w:rsidRPr="00AD4C3A">
        <w:rPr>
          <w:sz w:val="22"/>
          <w:szCs w:val="22"/>
        </w:rPr>
        <w:t>que,</w:t>
      </w:r>
      <w:r w:rsidRPr="00AD4C3A">
        <w:rPr>
          <w:sz w:val="22"/>
          <w:szCs w:val="22"/>
        </w:rPr>
        <w:t xml:space="preserve"> del análisis integral del marco regulatorio, debe entenderse </w:t>
      </w:r>
      <w:r w:rsidR="004A6F1A" w:rsidRPr="00AD4C3A">
        <w:rPr>
          <w:sz w:val="22"/>
          <w:szCs w:val="22"/>
        </w:rPr>
        <w:t>que,</w:t>
      </w:r>
      <w:r w:rsidRPr="00AD4C3A">
        <w:rPr>
          <w:sz w:val="22"/>
          <w:szCs w:val="22"/>
        </w:rPr>
        <w:t xml:space="preserve"> en el presente caso, existe un deber y obligación jurídica contenida en la norma, que ha sido incumplida por la </w:t>
      </w:r>
      <w:proofErr w:type="gramStart"/>
      <w:r w:rsidRPr="00AD4C3A">
        <w:rPr>
          <w:sz w:val="22"/>
          <w:szCs w:val="22"/>
        </w:rPr>
        <w:t xml:space="preserve">sociedad </w:t>
      </w:r>
      <w:r w:rsidR="002D4D5E">
        <w:rPr>
          <w:sz w:val="22"/>
          <w:szCs w:val="22"/>
        </w:rPr>
        <w:t xml:space="preserve"> *</w:t>
      </w:r>
      <w:proofErr w:type="gramEnd"/>
      <w:r w:rsidR="002D4D5E">
        <w:rPr>
          <w:sz w:val="22"/>
          <w:szCs w:val="22"/>
        </w:rPr>
        <w:t xml:space="preserve">**; </w:t>
      </w:r>
      <w:r w:rsidRPr="00AD4C3A">
        <w:rPr>
          <w:sz w:val="22"/>
          <w:szCs w:val="22"/>
        </w:rPr>
        <w:t xml:space="preserve">y, que la consecuencia para la distribuidora por la omisión en la medición del consumo mensual, es indefectiblemente no poder cobrar </w:t>
      </w:r>
      <w:r w:rsidR="005D1803" w:rsidRPr="00AD4C3A">
        <w:rPr>
          <w:sz w:val="22"/>
          <w:szCs w:val="22"/>
        </w:rPr>
        <w:t xml:space="preserve">consumos </w:t>
      </w:r>
      <w:r w:rsidRPr="00AD4C3A">
        <w:rPr>
          <w:sz w:val="22"/>
          <w:szCs w:val="22"/>
        </w:rPr>
        <w:t>acumulado</w:t>
      </w:r>
      <w:r w:rsidR="005D1803" w:rsidRPr="00AD4C3A">
        <w:rPr>
          <w:sz w:val="22"/>
          <w:szCs w:val="22"/>
        </w:rPr>
        <w:t>s en</w:t>
      </w:r>
      <w:r w:rsidRPr="00AD4C3A">
        <w:rPr>
          <w:sz w:val="22"/>
          <w:szCs w:val="22"/>
        </w:rPr>
        <w:t xml:space="preserve"> el precio del servicio prestado.</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 xml:space="preserve">Si se le permitiera a la </w:t>
      </w:r>
      <w:proofErr w:type="gramStart"/>
      <w:r w:rsidRPr="00AD4C3A">
        <w:rPr>
          <w:sz w:val="22"/>
          <w:szCs w:val="22"/>
        </w:rPr>
        <w:t xml:space="preserve">sociedad </w:t>
      </w:r>
      <w:r w:rsidR="002D4D5E">
        <w:rPr>
          <w:sz w:val="22"/>
          <w:szCs w:val="22"/>
        </w:rPr>
        <w:t xml:space="preserve"> *</w:t>
      </w:r>
      <w:proofErr w:type="gramEnd"/>
      <w:r w:rsidR="002D4D5E">
        <w:rPr>
          <w:sz w:val="22"/>
          <w:szCs w:val="22"/>
        </w:rPr>
        <w:t xml:space="preserve">***, </w:t>
      </w:r>
      <w:r w:rsidRPr="00AD4C3A">
        <w:rPr>
          <w:sz w:val="22"/>
          <w:szCs w:val="22"/>
        </w:rPr>
        <w:t xml:space="preserve">continuar acumulando registros de consumo de energía eléctrica, sin que ésta presente pruebas </w:t>
      </w:r>
      <w:r w:rsidR="005D1803" w:rsidRPr="00AD4C3A">
        <w:rPr>
          <w:sz w:val="22"/>
          <w:szCs w:val="22"/>
        </w:rPr>
        <w:t xml:space="preserve">en cada ciclo de facturación </w:t>
      </w:r>
      <w:r w:rsidRPr="00AD4C3A">
        <w:rPr>
          <w:sz w:val="22"/>
          <w:szCs w:val="22"/>
        </w:rPr>
        <w:t>que permitan analizar las situaciones concretas ocurridas en fechas, horas y lugares, ocasionaría que e</w:t>
      </w:r>
      <w:r w:rsidR="008240E5" w:rsidRPr="00AD4C3A">
        <w:rPr>
          <w:sz w:val="22"/>
          <w:szCs w:val="22"/>
        </w:rPr>
        <w:t xml:space="preserve">sa práctica </w:t>
      </w:r>
      <w:r w:rsidRPr="00AD4C3A">
        <w:rPr>
          <w:sz w:val="22"/>
          <w:szCs w:val="22"/>
        </w:rPr>
        <w:t>se volviera cotidiana, dándose más casos en que los usuarios recibieran facturas de cobros acumulados por varios meses. Por ello, la normativa es clara y no da lugar a interpretaciones al establecer que las mediciones y l</w:t>
      </w:r>
      <w:r w:rsidR="00A422E7" w:rsidRPr="00AD4C3A">
        <w:rPr>
          <w:sz w:val="22"/>
          <w:szCs w:val="22"/>
        </w:rPr>
        <w:t>os cobros deben ser mensuales;</w:t>
      </w:r>
      <w:r w:rsidRPr="00AD4C3A">
        <w:rPr>
          <w:sz w:val="22"/>
          <w:szCs w:val="22"/>
        </w:rPr>
        <w:t xml:space="preserve"> de lo contrario la distribuidora no podrá cobrar</w:t>
      </w:r>
      <w:r w:rsidR="00A422E7" w:rsidRPr="00AD4C3A">
        <w:rPr>
          <w:sz w:val="22"/>
          <w:szCs w:val="22"/>
        </w:rPr>
        <w:t xml:space="preserve"> los mismos</w:t>
      </w:r>
      <w:r w:rsidRPr="00AD4C3A">
        <w:rPr>
          <w:sz w:val="22"/>
          <w:szCs w:val="22"/>
        </w:rPr>
        <w:t>.</w:t>
      </w:r>
    </w:p>
    <w:p w:rsidR="0041063B" w:rsidRPr="00AD4C3A" w:rsidRDefault="0041063B" w:rsidP="00647ADA">
      <w:pPr>
        <w:tabs>
          <w:tab w:val="left" w:pos="284"/>
        </w:tabs>
        <w:ind w:left="567"/>
        <w:jc w:val="both"/>
        <w:rPr>
          <w:sz w:val="22"/>
          <w:szCs w:val="22"/>
        </w:rPr>
      </w:pPr>
    </w:p>
    <w:p w:rsidR="0041063B" w:rsidRPr="00AD4C3A" w:rsidRDefault="00B948D9" w:rsidP="00647ADA">
      <w:pPr>
        <w:tabs>
          <w:tab w:val="left" w:pos="284"/>
        </w:tabs>
        <w:ind w:left="567"/>
        <w:jc w:val="both"/>
        <w:rPr>
          <w:sz w:val="22"/>
          <w:szCs w:val="22"/>
        </w:rPr>
      </w:pPr>
      <w:r w:rsidRPr="00AD4C3A">
        <w:rPr>
          <w:sz w:val="22"/>
          <w:szCs w:val="22"/>
        </w:rPr>
        <w:t>Lo expuesto, se ve reflejado en el presente caso, debido a que la distribuidora</w:t>
      </w:r>
      <w:r w:rsidR="006B5582" w:rsidRPr="00AD4C3A">
        <w:rPr>
          <w:sz w:val="22"/>
          <w:szCs w:val="22"/>
        </w:rPr>
        <w:t xml:space="preserve"> después que</w:t>
      </w:r>
      <w:r w:rsidR="00413659" w:rsidRPr="00AD4C3A">
        <w:rPr>
          <w:sz w:val="22"/>
          <w:szCs w:val="22"/>
        </w:rPr>
        <w:t xml:space="preserve"> </w:t>
      </w:r>
      <w:r w:rsidR="00A55B57" w:rsidRPr="00AD4C3A">
        <w:rPr>
          <w:sz w:val="22"/>
          <w:szCs w:val="22"/>
        </w:rPr>
        <w:t>transcurri</w:t>
      </w:r>
      <w:r w:rsidR="00413659" w:rsidRPr="00AD4C3A">
        <w:rPr>
          <w:sz w:val="22"/>
          <w:szCs w:val="22"/>
        </w:rPr>
        <w:t xml:space="preserve">eron </w:t>
      </w:r>
      <w:r w:rsidR="006B5582" w:rsidRPr="00AD4C3A">
        <w:rPr>
          <w:sz w:val="22"/>
          <w:szCs w:val="22"/>
        </w:rPr>
        <w:t xml:space="preserve">varios </w:t>
      </w:r>
      <w:r w:rsidR="00A22E97" w:rsidRPr="00AD4C3A">
        <w:rPr>
          <w:sz w:val="22"/>
          <w:szCs w:val="22"/>
        </w:rPr>
        <w:t>m</w:t>
      </w:r>
      <w:r w:rsidRPr="00AD4C3A">
        <w:rPr>
          <w:sz w:val="22"/>
          <w:szCs w:val="22"/>
        </w:rPr>
        <w:t xml:space="preserve">eses sin realizar </w:t>
      </w:r>
      <w:r w:rsidR="00014C62" w:rsidRPr="00AD4C3A">
        <w:rPr>
          <w:sz w:val="22"/>
          <w:szCs w:val="22"/>
        </w:rPr>
        <w:t>las lecturas</w:t>
      </w:r>
      <w:r w:rsidRPr="00AD4C3A">
        <w:rPr>
          <w:sz w:val="22"/>
          <w:szCs w:val="22"/>
        </w:rPr>
        <w:t xml:space="preserve"> y notificar mensualmente la factura, </w:t>
      </w:r>
      <w:r w:rsidR="006B5582" w:rsidRPr="00AD4C3A">
        <w:rPr>
          <w:sz w:val="22"/>
          <w:szCs w:val="22"/>
        </w:rPr>
        <w:t>inició acciones</w:t>
      </w:r>
      <w:r w:rsidR="00014C62" w:rsidRPr="00AD4C3A">
        <w:rPr>
          <w:sz w:val="22"/>
          <w:szCs w:val="22"/>
        </w:rPr>
        <w:t xml:space="preserve"> para</w:t>
      </w:r>
      <w:r w:rsidR="00A55B57" w:rsidRPr="00AD4C3A">
        <w:rPr>
          <w:sz w:val="22"/>
          <w:szCs w:val="22"/>
        </w:rPr>
        <w:t xml:space="preserve"> entrar al lugar a efectuar las gestiones comerciales que le manda el marco normativo.</w:t>
      </w:r>
      <w:r w:rsidRPr="00AD4C3A">
        <w:rPr>
          <w:sz w:val="22"/>
          <w:szCs w:val="22"/>
        </w:rPr>
        <w:t xml:space="preserve"> </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 xml:space="preserve">Por otra parte, es necesario exponer que aceptar este tipo </w:t>
      </w:r>
      <w:r w:rsidR="00E025D8" w:rsidRPr="00AD4C3A">
        <w:rPr>
          <w:sz w:val="22"/>
          <w:szCs w:val="22"/>
        </w:rPr>
        <w:t xml:space="preserve">de </w:t>
      </w:r>
      <w:r w:rsidRPr="00AD4C3A">
        <w:rPr>
          <w:sz w:val="22"/>
          <w:szCs w:val="22"/>
        </w:rPr>
        <w:t xml:space="preserve">omisiones al marco regulatorio por parte de la </w:t>
      </w:r>
      <w:proofErr w:type="gramStart"/>
      <w:r w:rsidR="00AD4C3A">
        <w:rPr>
          <w:sz w:val="22"/>
          <w:szCs w:val="22"/>
        </w:rPr>
        <w:t xml:space="preserve">sociedad </w:t>
      </w:r>
      <w:r w:rsidR="002D4D5E">
        <w:rPr>
          <w:sz w:val="22"/>
          <w:szCs w:val="22"/>
        </w:rPr>
        <w:t xml:space="preserve"> *</w:t>
      </w:r>
      <w:proofErr w:type="gramEnd"/>
      <w:r w:rsidR="002D4D5E">
        <w:rPr>
          <w:sz w:val="22"/>
          <w:szCs w:val="22"/>
        </w:rPr>
        <w:t xml:space="preserve">***, </w:t>
      </w:r>
      <w:r w:rsidRPr="00AD4C3A">
        <w:rPr>
          <w:sz w:val="22"/>
          <w:szCs w:val="22"/>
        </w:rPr>
        <w:t>deriva en una violación al principio de seguridad jurídica</w:t>
      </w:r>
      <w:r w:rsidR="002E014E" w:rsidRPr="00AD4C3A">
        <w:rPr>
          <w:sz w:val="22"/>
          <w:szCs w:val="22"/>
        </w:rPr>
        <w:t xml:space="preserve"> que</w:t>
      </w:r>
      <w:r w:rsidRPr="00AD4C3A">
        <w:rPr>
          <w:sz w:val="22"/>
          <w:szCs w:val="22"/>
        </w:rPr>
        <w:t xml:space="preserve"> ocasiona una afectación directa a</w:t>
      </w:r>
      <w:r w:rsidR="002E014E" w:rsidRPr="00AD4C3A">
        <w:rPr>
          <w:sz w:val="22"/>
          <w:szCs w:val="22"/>
        </w:rPr>
        <w:t xml:space="preserve"> </w:t>
      </w:r>
      <w:r w:rsidRPr="00AD4C3A">
        <w:rPr>
          <w:sz w:val="22"/>
          <w:szCs w:val="22"/>
        </w:rPr>
        <w:t>l</w:t>
      </w:r>
      <w:r w:rsidR="002E014E" w:rsidRPr="00AD4C3A">
        <w:rPr>
          <w:sz w:val="22"/>
          <w:szCs w:val="22"/>
        </w:rPr>
        <w:t xml:space="preserve">os </w:t>
      </w:r>
      <w:r w:rsidRPr="00AD4C3A">
        <w:rPr>
          <w:sz w:val="22"/>
          <w:szCs w:val="22"/>
        </w:rPr>
        <w:t>usuario</w:t>
      </w:r>
      <w:r w:rsidR="002E014E" w:rsidRPr="00AD4C3A">
        <w:rPr>
          <w:sz w:val="22"/>
          <w:szCs w:val="22"/>
        </w:rPr>
        <w:t>s</w:t>
      </w:r>
      <w:r w:rsidRPr="00AD4C3A">
        <w:rPr>
          <w:sz w:val="22"/>
          <w:szCs w:val="22"/>
        </w:rPr>
        <w:t xml:space="preserve">. Principio consagrado en </w:t>
      </w:r>
      <w:r w:rsidR="00A422E7" w:rsidRPr="00AD4C3A">
        <w:rPr>
          <w:sz w:val="22"/>
          <w:szCs w:val="22"/>
        </w:rPr>
        <w:t>los</w:t>
      </w:r>
      <w:r w:rsidRPr="00AD4C3A">
        <w:rPr>
          <w:sz w:val="22"/>
          <w:szCs w:val="22"/>
        </w:rPr>
        <w:t xml:space="preserve"> artículo</w:t>
      </w:r>
      <w:r w:rsidR="00A422E7" w:rsidRPr="00AD4C3A">
        <w:rPr>
          <w:sz w:val="22"/>
          <w:szCs w:val="22"/>
        </w:rPr>
        <w:t>s</w:t>
      </w:r>
      <w:r w:rsidRPr="00AD4C3A">
        <w:rPr>
          <w:sz w:val="22"/>
          <w:szCs w:val="22"/>
        </w:rPr>
        <w:t xml:space="preserve"> 1 inc. 1º y 2 inc. 1º de la Constitución, reconocido reiteradamente en la jurisprudencia constitucional a fin de no afectar situaciones jurídicas consolidadas, de las que son titulares los usuarios</w:t>
      </w:r>
      <w:r w:rsidR="000F319D">
        <w:rPr>
          <w:sz w:val="22"/>
          <w:szCs w:val="22"/>
        </w:rPr>
        <w:t xml:space="preserve"> finales ubicados en su zona de distribución-comercialización de energía eléctrica</w:t>
      </w:r>
      <w:r w:rsidRPr="00AD4C3A">
        <w:rPr>
          <w:sz w:val="22"/>
          <w:szCs w:val="22"/>
        </w:rPr>
        <w:t>.</w:t>
      </w:r>
    </w:p>
    <w:p w:rsidR="00A53318" w:rsidRPr="00AD4C3A" w:rsidRDefault="00A53318" w:rsidP="00647ADA">
      <w:pPr>
        <w:tabs>
          <w:tab w:val="left" w:pos="284"/>
        </w:tabs>
        <w:ind w:left="567"/>
        <w:jc w:val="both"/>
        <w:rPr>
          <w:sz w:val="22"/>
          <w:szCs w:val="22"/>
        </w:rPr>
      </w:pPr>
    </w:p>
    <w:p w:rsidR="00A53318" w:rsidRPr="005F2F8F" w:rsidRDefault="005F2F8F" w:rsidP="005F2F8F">
      <w:pPr>
        <w:tabs>
          <w:tab w:val="left" w:pos="284"/>
        </w:tabs>
        <w:ind w:left="567"/>
        <w:jc w:val="both"/>
        <w:rPr>
          <w:sz w:val="22"/>
          <w:szCs w:val="22"/>
        </w:rPr>
      </w:pPr>
      <w:r>
        <w:rPr>
          <w:sz w:val="22"/>
          <w:szCs w:val="22"/>
        </w:rPr>
        <w:t xml:space="preserve">Desde esa perspectiva, </w:t>
      </w:r>
      <w:r w:rsidR="00A53318" w:rsidRPr="00AD4C3A">
        <w:rPr>
          <w:sz w:val="22"/>
          <w:szCs w:val="22"/>
        </w:rPr>
        <w:t xml:space="preserve">la seguridad jurídica, </w:t>
      </w:r>
      <w:r w:rsidR="00A53318" w:rsidRPr="00AD4C3A">
        <w:rPr>
          <w:rFonts w:eastAsia="Calibri"/>
          <w:sz w:val="22"/>
          <w:szCs w:val="22"/>
        </w:rPr>
        <w:t xml:space="preserve">según la jurisprudencia de la Sala de lo Contencioso Administrativo de la Corte Suprema de Justicia </w:t>
      </w:r>
      <w:r w:rsidR="00A53318" w:rsidRPr="00AD4C3A">
        <w:rPr>
          <w:sz w:val="22"/>
          <w:szCs w:val="22"/>
        </w:rPr>
        <w:t xml:space="preserve">es </w:t>
      </w:r>
      <w:r w:rsidR="00A53318" w:rsidRPr="00AD4C3A">
        <w:rPr>
          <w:rFonts w:eastAsia="Calibri"/>
          <w:sz w:val="22"/>
          <w:szCs w:val="22"/>
        </w:rPr>
        <w:t xml:space="preserve">el </w:t>
      </w:r>
      <w:r w:rsidR="00A53318" w:rsidRPr="00AD4C3A">
        <w:rPr>
          <w:rFonts w:eastAsia="Calibri"/>
          <w:i/>
          <w:sz w:val="22"/>
          <w:szCs w:val="22"/>
        </w:rPr>
        <w:t xml:space="preserve">”(…) derecho fundamental que ostenta toda persona frente al Estado y un deber primordial que tiene este último hacia toda persona; entendido como un deber de naturaleza positiva y traducido en el cumplimiento de ciertos requisitos, condiciones, elementos o circunstancias exigidas por el propio ordenamiento jurídico, a fin que los gobernados tengan un goce efectivo de sus derechos. Implica una actitud de confianza en el derecho vigente y una razonable previsibilidad sobre su futuro, lo que permite advertir las consecuencias de las acciones de las </w:t>
      </w:r>
      <w:r w:rsidR="00392EB5" w:rsidRPr="00AD4C3A">
        <w:rPr>
          <w:rFonts w:eastAsia="Calibri"/>
          <w:i/>
          <w:sz w:val="22"/>
          <w:szCs w:val="22"/>
        </w:rPr>
        <w:t>personas,</w:t>
      </w:r>
      <w:r w:rsidR="00A53318" w:rsidRPr="00AD4C3A">
        <w:rPr>
          <w:rFonts w:eastAsia="Calibri"/>
          <w:i/>
          <w:sz w:val="22"/>
          <w:szCs w:val="22"/>
        </w:rPr>
        <w:t xml:space="preserve"> así como las garantías de orden constitucional de </w:t>
      </w:r>
      <w:r w:rsidR="00A53318" w:rsidRPr="00AD4C3A">
        <w:rPr>
          <w:rFonts w:eastAsia="Calibri"/>
          <w:i/>
          <w:sz w:val="22"/>
          <w:szCs w:val="22"/>
        </w:rPr>
        <w:lastRenderedPageBreak/>
        <w:t>que gozan tales actos. Es decir que, debe entenderse como la certeza que posee cualquier individuo de que su situación jurídica no será modificada más que por procedimientos regulares y autoridad competente, previamente establecidos.”</w:t>
      </w:r>
    </w:p>
    <w:p w:rsidR="00A53318" w:rsidRPr="00AD4C3A" w:rsidRDefault="00A53318" w:rsidP="008C3FB7">
      <w:pPr>
        <w:jc w:val="both"/>
        <w:rPr>
          <w:sz w:val="22"/>
          <w:szCs w:val="22"/>
          <w:highlight w:val="yellow"/>
        </w:rPr>
      </w:pPr>
    </w:p>
    <w:p w:rsidR="00A53318" w:rsidRPr="00AD4C3A" w:rsidRDefault="00A53318" w:rsidP="00647ADA">
      <w:pPr>
        <w:tabs>
          <w:tab w:val="left" w:pos="284"/>
        </w:tabs>
        <w:ind w:left="567"/>
        <w:jc w:val="both"/>
        <w:rPr>
          <w:sz w:val="22"/>
          <w:szCs w:val="22"/>
        </w:rPr>
      </w:pPr>
      <w:r w:rsidRPr="00AD4C3A">
        <w:rPr>
          <w:sz w:val="22"/>
          <w:szCs w:val="22"/>
        </w:rPr>
        <w:t xml:space="preserve">Expuesto lo anterior, se vuelve imperioso que se aplique al presente caso lo establecido en la </w:t>
      </w:r>
      <w:r w:rsidR="002E014E" w:rsidRPr="00AD4C3A">
        <w:rPr>
          <w:sz w:val="22"/>
          <w:szCs w:val="22"/>
        </w:rPr>
        <w:t xml:space="preserve">Constitución, </w:t>
      </w:r>
      <w:r w:rsidRPr="00AD4C3A">
        <w:rPr>
          <w:sz w:val="22"/>
          <w:szCs w:val="22"/>
        </w:rPr>
        <w:t>Ley General de Electricidad, su Reglamento, los Térmi</w:t>
      </w:r>
      <w:r w:rsidR="00D77034" w:rsidRPr="00AD4C3A">
        <w:rPr>
          <w:sz w:val="22"/>
          <w:szCs w:val="22"/>
        </w:rPr>
        <w:t xml:space="preserve">nos y Condiciones mencionados, </w:t>
      </w:r>
      <w:r w:rsidRPr="00AD4C3A">
        <w:rPr>
          <w:sz w:val="22"/>
          <w:szCs w:val="22"/>
        </w:rPr>
        <w:t>las Normas de Calidad del Servicio de los Sistemas de Distribución</w:t>
      </w:r>
      <w:r w:rsidR="00D77034" w:rsidRPr="00AD4C3A">
        <w:rPr>
          <w:sz w:val="22"/>
          <w:szCs w:val="22"/>
        </w:rPr>
        <w:t xml:space="preserve"> y el Procedimiento para la Determinación de Causales de Casos Fortuitos y Fuerza Mayor</w:t>
      </w:r>
      <w:r w:rsidRPr="00AD4C3A">
        <w:rPr>
          <w:sz w:val="22"/>
          <w:szCs w:val="22"/>
        </w:rPr>
        <w:t xml:space="preserve">, debiendo destacarse, lo siguiente: </w:t>
      </w:r>
    </w:p>
    <w:p w:rsidR="00A53318" w:rsidRPr="00AD4C3A" w:rsidRDefault="00A53318" w:rsidP="008C3FB7">
      <w:pPr>
        <w:pStyle w:val="Textoindependiente"/>
        <w:spacing w:after="0" w:line="240" w:lineRule="auto"/>
        <w:jc w:val="both"/>
        <w:rPr>
          <w:rFonts w:ascii="Times New Roman" w:hAnsi="Times New Roman" w:cs="Times New Roman"/>
          <w:color w:val="000000" w:themeColor="text1"/>
        </w:rPr>
      </w:pPr>
    </w:p>
    <w:p w:rsidR="00A53318" w:rsidRPr="00AD4C3A" w:rsidRDefault="00A53318" w:rsidP="008C3FB7">
      <w:pPr>
        <w:pStyle w:val="Prrafodelista"/>
        <w:numPr>
          <w:ilvl w:val="0"/>
          <w:numId w:val="15"/>
        </w:numPr>
        <w:ind w:left="1134" w:hanging="425"/>
        <w:contextualSpacing w:val="0"/>
        <w:jc w:val="both"/>
        <w:rPr>
          <w:sz w:val="22"/>
          <w:szCs w:val="22"/>
        </w:rPr>
      </w:pPr>
      <w:r w:rsidRPr="00AD4C3A">
        <w:rPr>
          <w:sz w:val="22"/>
          <w:szCs w:val="22"/>
        </w:rPr>
        <w:t>El Distribuidor deberá realizar las lecturas de los equipos de medición y emitir los respectivos documentos de cobro mensualmente. Lo cual no ocurrió en el presente caso.</w:t>
      </w:r>
    </w:p>
    <w:p w:rsidR="00A53318" w:rsidRPr="00AD4C3A" w:rsidRDefault="00A53318" w:rsidP="008C3FB7">
      <w:pPr>
        <w:pStyle w:val="Prrafodelista"/>
        <w:ind w:left="1417"/>
        <w:contextualSpacing w:val="0"/>
        <w:jc w:val="both"/>
        <w:rPr>
          <w:sz w:val="22"/>
          <w:szCs w:val="22"/>
        </w:rPr>
      </w:pPr>
    </w:p>
    <w:p w:rsidR="00A53318" w:rsidRPr="00AD4C3A" w:rsidRDefault="005F2F8F" w:rsidP="008C3FB7">
      <w:pPr>
        <w:pStyle w:val="Prrafodelista"/>
        <w:numPr>
          <w:ilvl w:val="0"/>
          <w:numId w:val="15"/>
        </w:numPr>
        <w:ind w:left="1134" w:hanging="425"/>
        <w:contextualSpacing w:val="0"/>
        <w:jc w:val="both"/>
        <w:rPr>
          <w:sz w:val="22"/>
          <w:szCs w:val="22"/>
        </w:rPr>
      </w:pPr>
      <w:r>
        <w:rPr>
          <w:sz w:val="22"/>
          <w:szCs w:val="22"/>
        </w:rPr>
        <w:t>El Distribuidor no debe</w:t>
      </w:r>
      <w:r w:rsidR="00A53318" w:rsidRPr="00AD4C3A">
        <w:rPr>
          <w:sz w:val="22"/>
          <w:szCs w:val="22"/>
        </w:rPr>
        <w:t xml:space="preserve"> acumular registros de consumos mensuales, ya sean reales o estimaciones, por no haber efectuado las lecturas correspondientes; </w:t>
      </w:r>
      <w:r w:rsidR="00B75583" w:rsidRPr="00AD4C3A">
        <w:rPr>
          <w:sz w:val="22"/>
          <w:szCs w:val="22"/>
        </w:rPr>
        <w:t xml:space="preserve">hecho que </w:t>
      </w:r>
      <w:r w:rsidR="00A53318" w:rsidRPr="00AD4C3A">
        <w:rPr>
          <w:sz w:val="22"/>
          <w:szCs w:val="22"/>
        </w:rPr>
        <w:t>ocurri</w:t>
      </w:r>
      <w:r w:rsidR="00B75583" w:rsidRPr="00AD4C3A">
        <w:rPr>
          <w:sz w:val="22"/>
          <w:szCs w:val="22"/>
        </w:rPr>
        <w:t>ó</w:t>
      </w:r>
      <w:r w:rsidR="00A53318" w:rsidRPr="00AD4C3A">
        <w:rPr>
          <w:sz w:val="22"/>
          <w:szCs w:val="22"/>
        </w:rPr>
        <w:t xml:space="preserve"> en el caso bajo estudio, según lo confirma la distribuidora.</w:t>
      </w:r>
    </w:p>
    <w:p w:rsidR="00A53318" w:rsidRPr="00AD4C3A" w:rsidRDefault="00A53318" w:rsidP="008C3FB7">
      <w:pPr>
        <w:pStyle w:val="Prrafodelista"/>
        <w:ind w:left="1417"/>
        <w:contextualSpacing w:val="0"/>
        <w:jc w:val="both"/>
        <w:rPr>
          <w:sz w:val="22"/>
          <w:szCs w:val="22"/>
        </w:rPr>
      </w:pPr>
    </w:p>
    <w:p w:rsidR="00A53318" w:rsidRPr="00AD4C3A" w:rsidRDefault="00A53318" w:rsidP="008C3FB7">
      <w:pPr>
        <w:pStyle w:val="Prrafodelista"/>
        <w:numPr>
          <w:ilvl w:val="0"/>
          <w:numId w:val="15"/>
        </w:numPr>
        <w:ind w:left="1134" w:hanging="425"/>
        <w:contextualSpacing w:val="0"/>
        <w:jc w:val="both"/>
        <w:rPr>
          <w:sz w:val="22"/>
          <w:szCs w:val="22"/>
        </w:rPr>
      </w:pPr>
      <w:r w:rsidRPr="00AD4C3A">
        <w:rPr>
          <w:sz w:val="22"/>
          <w:szCs w:val="22"/>
        </w:rPr>
        <w:t>La excepción de lo indicado en el párrafo anterior, aplicará en caso fortuito o de fuerza mayor</w:t>
      </w:r>
      <w:r w:rsidR="00B75583" w:rsidRPr="00AD4C3A">
        <w:rPr>
          <w:sz w:val="22"/>
          <w:szCs w:val="22"/>
        </w:rPr>
        <w:t xml:space="preserve"> validados por</w:t>
      </w:r>
      <w:r w:rsidR="00062427" w:rsidRPr="00AD4C3A">
        <w:rPr>
          <w:sz w:val="22"/>
          <w:szCs w:val="22"/>
        </w:rPr>
        <w:t xml:space="preserve"> la</w:t>
      </w:r>
      <w:r w:rsidR="00B75583" w:rsidRPr="00AD4C3A">
        <w:rPr>
          <w:sz w:val="22"/>
          <w:szCs w:val="22"/>
        </w:rPr>
        <w:t xml:space="preserve"> SIGET con base en el Procedimiento para la Determinación de Causales de Casos Fortuitos y Fuerza Mayor</w:t>
      </w:r>
      <w:r w:rsidRPr="00AD4C3A">
        <w:rPr>
          <w:sz w:val="22"/>
          <w:szCs w:val="22"/>
        </w:rPr>
        <w:t>; lo que no ha sido demostrado por la distribuidora para el presente caso.</w:t>
      </w:r>
    </w:p>
    <w:p w:rsidR="00A53318" w:rsidRPr="00AD4C3A" w:rsidRDefault="00A53318" w:rsidP="008C3FB7">
      <w:pPr>
        <w:ind w:left="709"/>
        <w:jc w:val="both"/>
        <w:rPr>
          <w:sz w:val="22"/>
          <w:szCs w:val="22"/>
          <w:highlight w:val="yellow"/>
        </w:rPr>
      </w:pPr>
    </w:p>
    <w:p w:rsidR="00A53318" w:rsidRPr="00AD4C3A" w:rsidRDefault="00A53318" w:rsidP="00647ADA">
      <w:pPr>
        <w:tabs>
          <w:tab w:val="left" w:pos="284"/>
        </w:tabs>
        <w:ind w:left="567"/>
        <w:jc w:val="both"/>
        <w:rPr>
          <w:color w:val="000000" w:themeColor="text1"/>
          <w:sz w:val="22"/>
          <w:szCs w:val="22"/>
        </w:rPr>
      </w:pPr>
      <w:r w:rsidRPr="00AD4C3A">
        <w:rPr>
          <w:sz w:val="22"/>
          <w:szCs w:val="22"/>
        </w:rPr>
        <w:t xml:space="preserve">Debido a lo anterior, esta Superintendencia con base en los artículos </w:t>
      </w:r>
      <w:r w:rsidR="00062427" w:rsidRPr="00AD4C3A">
        <w:rPr>
          <w:sz w:val="22"/>
          <w:szCs w:val="22"/>
        </w:rPr>
        <w:t xml:space="preserve">1 inc. 1º y 2 inc. 1º de la Constitución, </w:t>
      </w:r>
      <w:r w:rsidRPr="00AD4C3A">
        <w:rPr>
          <w:sz w:val="22"/>
          <w:szCs w:val="22"/>
        </w:rPr>
        <w:t>10 y 81 de la Ley General de Electricidad, 87 del Reglamento de</w:t>
      </w:r>
      <w:r w:rsidR="00070C6A" w:rsidRPr="00AD4C3A">
        <w:rPr>
          <w:sz w:val="22"/>
          <w:szCs w:val="22"/>
        </w:rPr>
        <w:t xml:space="preserve"> dicha Ley </w:t>
      </w:r>
      <w:r w:rsidRPr="00AD4C3A">
        <w:rPr>
          <w:sz w:val="22"/>
          <w:szCs w:val="22"/>
        </w:rPr>
        <w:t>y artículos 1 inciso 7 y 29 de los Términos y Condiciones de los Pliegos Tarifarios aprobados, no puede aceptar la conducta de omisión como la contemplada en el presente caso, porque ello supondría desnaturalizar el carácter del régimen establecido en el marco normativo citado, en el cual es claro que la distribuidora no puede acumular cobros – sean lecturas reales o estimaciones-, y que únicamente podrá facturar en base a consumo estimado</w:t>
      </w:r>
      <w:r w:rsidR="00070C6A" w:rsidRPr="00AD4C3A">
        <w:rPr>
          <w:sz w:val="22"/>
          <w:szCs w:val="22"/>
        </w:rPr>
        <w:t xml:space="preserve"> (previa validación de esta Superintendencia)</w:t>
      </w:r>
      <w:r w:rsidRPr="00AD4C3A">
        <w:rPr>
          <w:sz w:val="22"/>
          <w:szCs w:val="22"/>
        </w:rPr>
        <w:t xml:space="preserve"> un número de veces por año de conformidad con lo estipulado en las Normas de Calidad del Servicio de </w:t>
      </w:r>
      <w:r w:rsidRPr="00AD4C3A">
        <w:rPr>
          <w:color w:val="000000" w:themeColor="text1"/>
          <w:sz w:val="22"/>
          <w:szCs w:val="22"/>
        </w:rPr>
        <w:t>los Sistemas de Distribución</w:t>
      </w:r>
      <w:r w:rsidR="00C169F0" w:rsidRPr="00AD4C3A">
        <w:rPr>
          <w:color w:val="000000" w:themeColor="text1"/>
          <w:sz w:val="22"/>
          <w:szCs w:val="22"/>
        </w:rPr>
        <w:t xml:space="preserve"> y </w:t>
      </w:r>
      <w:r w:rsidR="00DF7738" w:rsidRPr="00AD4C3A">
        <w:rPr>
          <w:color w:val="000000" w:themeColor="text1"/>
          <w:sz w:val="22"/>
          <w:szCs w:val="22"/>
        </w:rPr>
        <w:t xml:space="preserve">en apego al trámite definido para la distribuidora en </w:t>
      </w:r>
      <w:r w:rsidR="00C169F0" w:rsidRPr="00AD4C3A">
        <w:rPr>
          <w:color w:val="000000" w:themeColor="text1"/>
          <w:sz w:val="22"/>
          <w:szCs w:val="22"/>
        </w:rPr>
        <w:t>el Procedimiento para la Determinación de Causales de Casos Fortuitos y Fuerza Mayor</w:t>
      </w:r>
      <w:r w:rsidRPr="00AD4C3A">
        <w:rPr>
          <w:color w:val="000000" w:themeColor="text1"/>
          <w:sz w:val="22"/>
          <w:szCs w:val="22"/>
        </w:rPr>
        <w:t>.</w:t>
      </w:r>
    </w:p>
    <w:p w:rsidR="00A53318" w:rsidRPr="00AD4C3A" w:rsidRDefault="00A53318" w:rsidP="008C3FB7">
      <w:pPr>
        <w:ind w:left="284" w:firstLine="424"/>
        <w:jc w:val="both"/>
        <w:rPr>
          <w:color w:val="000000" w:themeColor="text1"/>
          <w:sz w:val="22"/>
          <w:szCs w:val="22"/>
        </w:rPr>
      </w:pPr>
    </w:p>
    <w:p w:rsidR="00A53318" w:rsidRPr="00AD4C3A" w:rsidRDefault="00A53318" w:rsidP="00647ADA">
      <w:pPr>
        <w:tabs>
          <w:tab w:val="left" w:pos="284"/>
        </w:tabs>
        <w:ind w:left="567"/>
        <w:jc w:val="both"/>
        <w:rPr>
          <w:sz w:val="22"/>
          <w:szCs w:val="22"/>
        </w:rPr>
      </w:pPr>
      <w:r w:rsidRPr="00AD4C3A">
        <w:rPr>
          <w:sz w:val="22"/>
          <w:szCs w:val="22"/>
        </w:rPr>
        <w:t xml:space="preserve">Esta Superintendencia considera que la decisión adoptada en esta sentencia no busca patrocinar la cultura del no pago del suministro de energía eléctrica. El pago de dicho servicio recibido y consumido constituye sin duda una obligación a cargo de los usuarios, siempre y cuando su cobro cumpla con los requisitos establecidos en la propia Ley que rige el sector de electricidad y demás normas. No se puede trasladar al usuario la responsabilidad de responder por el pago del servicio, aun cuando éste haya sido recibido, </w:t>
      </w:r>
      <w:r w:rsidR="00A26F2A">
        <w:rPr>
          <w:sz w:val="22"/>
          <w:szCs w:val="22"/>
        </w:rPr>
        <w:t>pues</w:t>
      </w:r>
      <w:r w:rsidRPr="00AD4C3A">
        <w:rPr>
          <w:sz w:val="22"/>
          <w:szCs w:val="22"/>
        </w:rPr>
        <w:t xml:space="preserve"> quien tiene la obligación por Ley de ser diligente es la distribuidora</w:t>
      </w:r>
      <w:r w:rsidR="004B2466" w:rsidRPr="00AD4C3A">
        <w:rPr>
          <w:sz w:val="22"/>
          <w:szCs w:val="22"/>
        </w:rPr>
        <w:t xml:space="preserve"> dentro de su zona de servicio</w:t>
      </w:r>
      <w:r w:rsidRPr="00AD4C3A">
        <w:rPr>
          <w:sz w:val="22"/>
          <w:szCs w:val="22"/>
        </w:rPr>
        <w:t xml:space="preserve">. </w:t>
      </w:r>
    </w:p>
    <w:p w:rsidR="00A53318" w:rsidRPr="00AD4C3A" w:rsidRDefault="00A53318" w:rsidP="00647ADA">
      <w:pPr>
        <w:tabs>
          <w:tab w:val="left" w:pos="284"/>
        </w:tabs>
        <w:ind w:left="567"/>
        <w:jc w:val="both"/>
        <w:rPr>
          <w:sz w:val="22"/>
          <w:szCs w:val="22"/>
        </w:rPr>
      </w:pPr>
    </w:p>
    <w:p w:rsidR="00A53318" w:rsidRPr="00AD4C3A" w:rsidRDefault="00A53318" w:rsidP="00647ADA">
      <w:pPr>
        <w:tabs>
          <w:tab w:val="left" w:pos="284"/>
        </w:tabs>
        <w:ind w:left="567"/>
        <w:jc w:val="both"/>
        <w:rPr>
          <w:sz w:val="22"/>
          <w:szCs w:val="22"/>
        </w:rPr>
      </w:pPr>
      <w:r w:rsidRPr="00AD4C3A">
        <w:rPr>
          <w:sz w:val="22"/>
          <w:szCs w:val="22"/>
        </w:rPr>
        <w:t>Lo que en esta sentencia se persigue, lo siguiente:</w:t>
      </w:r>
    </w:p>
    <w:p w:rsidR="00A53318" w:rsidRPr="00AD4C3A" w:rsidRDefault="00A53318" w:rsidP="008C3FB7">
      <w:pPr>
        <w:ind w:left="708"/>
        <w:jc w:val="both"/>
        <w:rPr>
          <w:iCs/>
          <w:color w:val="2D2D2D"/>
          <w:sz w:val="22"/>
          <w:szCs w:val="22"/>
          <w:bdr w:val="none" w:sz="0" w:space="0" w:color="auto" w:frame="1"/>
          <w:lang w:val="es-CO"/>
        </w:rPr>
      </w:pPr>
    </w:p>
    <w:p w:rsidR="00A53318" w:rsidRPr="00AD4C3A" w:rsidRDefault="00A53318" w:rsidP="008C3FB7">
      <w:pPr>
        <w:pStyle w:val="Prrafodelista"/>
        <w:numPr>
          <w:ilvl w:val="0"/>
          <w:numId w:val="13"/>
        </w:numPr>
        <w:ind w:left="1134" w:hanging="425"/>
        <w:jc w:val="both"/>
        <w:rPr>
          <w:iCs/>
          <w:color w:val="2D2D2D"/>
          <w:sz w:val="22"/>
          <w:szCs w:val="22"/>
          <w:bdr w:val="none" w:sz="0" w:space="0" w:color="auto" w:frame="1"/>
          <w:lang w:val="es-CO"/>
        </w:rPr>
      </w:pPr>
      <w:r w:rsidRPr="00AD4C3A">
        <w:rPr>
          <w:iCs/>
          <w:color w:val="2D2D2D"/>
          <w:sz w:val="22"/>
          <w:szCs w:val="22"/>
          <w:bdr w:val="none" w:sz="0" w:space="0" w:color="auto" w:frame="1"/>
          <w:lang w:val="es-CO"/>
        </w:rPr>
        <w:t>Proteger el derecho de los usuarios a no ser afectados con cobros acumulados injustificados que no están autorizados por el ordenamiento jurídico, debido a que éstos se originaron por la</w:t>
      </w:r>
      <w:r w:rsidRPr="00AD4C3A">
        <w:rPr>
          <w:color w:val="2D2D2D"/>
          <w:sz w:val="22"/>
          <w:szCs w:val="22"/>
          <w:shd w:val="clear" w:color="auto" w:fill="FFFFFF"/>
        </w:rPr>
        <w:t xml:space="preserve"> incontrovertible negligencia de la distribuidora, pues </w:t>
      </w:r>
      <w:r w:rsidRPr="00AD4C3A">
        <w:rPr>
          <w:sz w:val="22"/>
          <w:szCs w:val="22"/>
        </w:rPr>
        <w:t>del análisis de la prueba aportada, ésta no comprobó</w:t>
      </w:r>
      <w:r w:rsidR="00913024" w:rsidRPr="00AD4C3A">
        <w:rPr>
          <w:sz w:val="22"/>
          <w:szCs w:val="22"/>
        </w:rPr>
        <w:t>,</w:t>
      </w:r>
      <w:r w:rsidRPr="00AD4C3A">
        <w:rPr>
          <w:sz w:val="22"/>
          <w:szCs w:val="22"/>
        </w:rPr>
        <w:t xml:space="preserve"> </w:t>
      </w:r>
      <w:r w:rsidR="00913024" w:rsidRPr="00AD4C3A">
        <w:rPr>
          <w:sz w:val="22"/>
          <w:szCs w:val="22"/>
        </w:rPr>
        <w:t xml:space="preserve">en cada uno de los meses, </w:t>
      </w:r>
      <w:r w:rsidRPr="00AD4C3A">
        <w:rPr>
          <w:sz w:val="22"/>
          <w:szCs w:val="22"/>
        </w:rPr>
        <w:t xml:space="preserve">la excepción de caso fortuito y fuerza mayor, </w:t>
      </w:r>
      <w:r w:rsidRPr="00AD4C3A">
        <w:rPr>
          <w:sz w:val="22"/>
          <w:szCs w:val="22"/>
        </w:rPr>
        <w:lastRenderedPageBreak/>
        <w:t>ante el incumplimiento a la obligación de realizar la medición y facturación mensual del servicio</w:t>
      </w:r>
      <w:r w:rsidR="001F7A3F" w:rsidRPr="00AD4C3A">
        <w:rPr>
          <w:sz w:val="22"/>
          <w:szCs w:val="22"/>
        </w:rPr>
        <w:t>, en los</w:t>
      </w:r>
      <w:r w:rsidRPr="00AD4C3A">
        <w:rPr>
          <w:sz w:val="22"/>
          <w:szCs w:val="22"/>
        </w:rPr>
        <w:t xml:space="preserve"> suministro</w:t>
      </w:r>
      <w:r w:rsidR="001F7A3F" w:rsidRPr="00AD4C3A">
        <w:rPr>
          <w:sz w:val="22"/>
          <w:szCs w:val="22"/>
        </w:rPr>
        <w:t>s</w:t>
      </w:r>
      <w:r w:rsidRPr="00AD4C3A">
        <w:rPr>
          <w:sz w:val="22"/>
          <w:szCs w:val="22"/>
        </w:rPr>
        <w:t xml:space="preserve"> de energía eléctrica que se encuentran en</w:t>
      </w:r>
      <w:r w:rsidR="006113D3" w:rsidRPr="00AD4C3A">
        <w:rPr>
          <w:sz w:val="22"/>
          <w:szCs w:val="22"/>
          <w:lang w:val="es-SV" w:eastAsia="es-SV"/>
        </w:rPr>
        <w:t xml:space="preserve"> </w:t>
      </w:r>
      <w:r w:rsidR="00A00240">
        <w:rPr>
          <w:bCs/>
          <w:sz w:val="22"/>
          <w:szCs w:val="22"/>
        </w:rPr>
        <w:t>la l</w:t>
      </w:r>
      <w:r w:rsidR="00E438FE" w:rsidRPr="00AD4C3A">
        <w:rPr>
          <w:bCs/>
          <w:sz w:val="22"/>
          <w:szCs w:val="22"/>
        </w:rPr>
        <w:t>otificación</w:t>
      </w:r>
      <w:r w:rsidR="002D4D5E">
        <w:rPr>
          <w:bCs/>
          <w:sz w:val="22"/>
          <w:szCs w:val="22"/>
        </w:rPr>
        <w:t xml:space="preserve"> *** </w:t>
      </w:r>
      <w:r w:rsidRPr="00AD4C3A">
        <w:rPr>
          <w:sz w:val="22"/>
          <w:szCs w:val="22"/>
        </w:rPr>
        <w:t xml:space="preserve">. </w:t>
      </w:r>
    </w:p>
    <w:p w:rsidR="001770A1" w:rsidRPr="00AD4C3A" w:rsidRDefault="001770A1" w:rsidP="001770A1">
      <w:pPr>
        <w:pStyle w:val="Prrafodelista"/>
        <w:rPr>
          <w:sz w:val="22"/>
          <w:szCs w:val="22"/>
          <w:lang w:val="es-CO"/>
        </w:rPr>
      </w:pPr>
    </w:p>
    <w:p w:rsidR="00C06273" w:rsidRPr="00AD4C3A" w:rsidRDefault="00C06273" w:rsidP="00C06273">
      <w:pPr>
        <w:pStyle w:val="Prrafodelista"/>
        <w:numPr>
          <w:ilvl w:val="0"/>
          <w:numId w:val="13"/>
        </w:numPr>
        <w:ind w:left="1134" w:hanging="425"/>
        <w:jc w:val="both"/>
        <w:rPr>
          <w:sz w:val="22"/>
          <w:szCs w:val="22"/>
        </w:rPr>
      </w:pPr>
      <w:r w:rsidRPr="00AD4C3A">
        <w:rPr>
          <w:sz w:val="22"/>
          <w:szCs w:val="22"/>
        </w:rPr>
        <w:t xml:space="preserve">Determinar con base en el artículo 80 de la Ley de Procedimientos Administrativos, que </w:t>
      </w:r>
      <w:r w:rsidR="00DD64C5" w:rsidRPr="00AD4C3A">
        <w:rPr>
          <w:sz w:val="22"/>
          <w:szCs w:val="22"/>
        </w:rPr>
        <w:t>los</w:t>
      </w:r>
      <w:r w:rsidRPr="00AD4C3A">
        <w:rPr>
          <w:sz w:val="22"/>
          <w:szCs w:val="22"/>
        </w:rPr>
        <w:t xml:space="preserve"> plazo</w:t>
      </w:r>
      <w:r w:rsidR="00DD64C5" w:rsidRPr="00AD4C3A">
        <w:rPr>
          <w:sz w:val="22"/>
          <w:szCs w:val="22"/>
        </w:rPr>
        <w:t>s</w:t>
      </w:r>
      <w:r w:rsidRPr="00AD4C3A">
        <w:rPr>
          <w:sz w:val="22"/>
          <w:szCs w:val="22"/>
        </w:rPr>
        <w:t xml:space="preserve"> legal</w:t>
      </w:r>
      <w:r w:rsidR="00DD64C5" w:rsidRPr="00AD4C3A">
        <w:rPr>
          <w:sz w:val="22"/>
          <w:szCs w:val="22"/>
        </w:rPr>
        <w:t>es</w:t>
      </w:r>
      <w:r w:rsidRPr="00AD4C3A">
        <w:rPr>
          <w:sz w:val="22"/>
          <w:szCs w:val="22"/>
        </w:rPr>
        <w:t xml:space="preserve"> para l</w:t>
      </w:r>
      <w:r w:rsidRPr="00AD4C3A">
        <w:rPr>
          <w:sz w:val="22"/>
          <w:szCs w:val="22"/>
          <w:lang w:val="es-SV"/>
        </w:rPr>
        <w:t>a</w:t>
      </w:r>
      <w:r w:rsidR="00DD64C5" w:rsidRPr="00AD4C3A">
        <w:rPr>
          <w:sz w:val="22"/>
          <w:szCs w:val="22"/>
          <w:lang w:val="es-SV"/>
        </w:rPr>
        <w:t>s</w:t>
      </w:r>
      <w:r w:rsidRPr="00AD4C3A">
        <w:rPr>
          <w:sz w:val="22"/>
          <w:szCs w:val="22"/>
          <w:lang w:val="es-SV"/>
        </w:rPr>
        <w:t xml:space="preserve"> solicitud</w:t>
      </w:r>
      <w:r w:rsidR="00DD64C5" w:rsidRPr="00AD4C3A">
        <w:rPr>
          <w:sz w:val="22"/>
          <w:szCs w:val="22"/>
          <w:lang w:val="es-SV"/>
        </w:rPr>
        <w:t>es</w:t>
      </w:r>
      <w:r w:rsidRPr="00AD4C3A">
        <w:rPr>
          <w:sz w:val="22"/>
          <w:szCs w:val="22"/>
          <w:lang w:val="es-SV"/>
        </w:rPr>
        <w:t xml:space="preserve"> </w:t>
      </w:r>
      <w:r w:rsidRPr="00AD4C3A">
        <w:rPr>
          <w:sz w:val="22"/>
          <w:szCs w:val="22"/>
        </w:rPr>
        <w:t>contenida</w:t>
      </w:r>
      <w:r w:rsidR="00DD64C5" w:rsidRPr="00AD4C3A">
        <w:rPr>
          <w:sz w:val="22"/>
          <w:szCs w:val="22"/>
        </w:rPr>
        <w:t>s</w:t>
      </w:r>
      <w:r w:rsidRPr="00AD4C3A">
        <w:rPr>
          <w:sz w:val="22"/>
          <w:szCs w:val="22"/>
        </w:rPr>
        <w:t xml:space="preserve"> en el numeral 2.5 del Procedimiento para la Determinación de Causales de Casos Fortuitos y Fuerza Mayor, </w:t>
      </w:r>
      <w:r w:rsidR="00DD64C5" w:rsidRPr="00AD4C3A">
        <w:rPr>
          <w:sz w:val="22"/>
          <w:szCs w:val="22"/>
        </w:rPr>
        <w:t>son</w:t>
      </w:r>
      <w:r w:rsidRPr="00AD4C3A">
        <w:rPr>
          <w:sz w:val="22"/>
          <w:szCs w:val="22"/>
        </w:rPr>
        <w:t xml:space="preserve"> obligatorio</w:t>
      </w:r>
      <w:r w:rsidR="00DD64C5" w:rsidRPr="00AD4C3A">
        <w:rPr>
          <w:sz w:val="22"/>
          <w:szCs w:val="22"/>
        </w:rPr>
        <w:t>s</w:t>
      </w:r>
      <w:r w:rsidRPr="00AD4C3A">
        <w:rPr>
          <w:sz w:val="22"/>
          <w:szCs w:val="22"/>
        </w:rPr>
        <w:t xml:space="preserve"> y perentorio</w:t>
      </w:r>
      <w:r w:rsidR="00DD64C5" w:rsidRPr="00AD4C3A">
        <w:rPr>
          <w:sz w:val="22"/>
          <w:szCs w:val="22"/>
        </w:rPr>
        <w:t>s</w:t>
      </w:r>
      <w:r w:rsidRPr="00AD4C3A">
        <w:rPr>
          <w:sz w:val="22"/>
          <w:szCs w:val="22"/>
        </w:rPr>
        <w:t xml:space="preserve"> para esta Superintendencia y para las distribuidoras.</w:t>
      </w:r>
    </w:p>
    <w:p w:rsidR="00C06273" w:rsidRPr="00AD4C3A" w:rsidRDefault="00C06273" w:rsidP="00C06273">
      <w:pPr>
        <w:pStyle w:val="Prrafodelista"/>
        <w:rPr>
          <w:sz w:val="22"/>
          <w:szCs w:val="22"/>
        </w:rPr>
      </w:pPr>
    </w:p>
    <w:p w:rsidR="00A53318" w:rsidRPr="00AD4C3A" w:rsidRDefault="00A53318" w:rsidP="006C4EAB">
      <w:pPr>
        <w:pStyle w:val="Prrafodelista"/>
        <w:numPr>
          <w:ilvl w:val="0"/>
          <w:numId w:val="13"/>
        </w:numPr>
        <w:ind w:left="1134" w:hanging="425"/>
        <w:jc w:val="both"/>
        <w:rPr>
          <w:sz w:val="22"/>
          <w:szCs w:val="22"/>
        </w:rPr>
      </w:pPr>
      <w:r w:rsidRPr="00AD4C3A">
        <w:rPr>
          <w:sz w:val="22"/>
          <w:szCs w:val="22"/>
          <w:lang w:val="es-CO"/>
        </w:rPr>
        <w:t xml:space="preserve">Establecer </w:t>
      </w:r>
      <w:r w:rsidRPr="00AD4C3A">
        <w:rPr>
          <w:sz w:val="22"/>
          <w:szCs w:val="22"/>
        </w:rPr>
        <w:t>señales claras a la distr</w:t>
      </w:r>
      <w:r w:rsidR="006C4EAB" w:rsidRPr="00AD4C3A">
        <w:rPr>
          <w:sz w:val="22"/>
          <w:szCs w:val="22"/>
        </w:rPr>
        <w:t>ibuidora que mientras no remita</w:t>
      </w:r>
      <w:r w:rsidR="0009463C" w:rsidRPr="00AD4C3A">
        <w:rPr>
          <w:sz w:val="22"/>
          <w:szCs w:val="22"/>
        </w:rPr>
        <w:t xml:space="preserve"> </w:t>
      </w:r>
      <w:r w:rsidRPr="00AD4C3A">
        <w:rPr>
          <w:sz w:val="22"/>
          <w:szCs w:val="22"/>
        </w:rPr>
        <w:t>pruebas validas</w:t>
      </w:r>
      <w:r w:rsidR="0009463C" w:rsidRPr="00AD4C3A">
        <w:rPr>
          <w:sz w:val="22"/>
          <w:szCs w:val="22"/>
        </w:rPr>
        <w:t xml:space="preserve">, </w:t>
      </w:r>
      <w:r w:rsidR="00DE4E4A">
        <w:rPr>
          <w:sz w:val="22"/>
          <w:szCs w:val="22"/>
        </w:rPr>
        <w:t>en cada perí</w:t>
      </w:r>
      <w:r w:rsidR="0009463C" w:rsidRPr="00AD4C3A">
        <w:rPr>
          <w:sz w:val="22"/>
          <w:szCs w:val="22"/>
        </w:rPr>
        <w:t xml:space="preserve">odo facturado, </w:t>
      </w:r>
      <w:r w:rsidRPr="00AD4C3A">
        <w:rPr>
          <w:sz w:val="22"/>
          <w:szCs w:val="22"/>
        </w:rPr>
        <w:t xml:space="preserve">por medio de las cuales sea posible comprobar la existencia de casos de fuerza mayor o caso </w:t>
      </w:r>
      <w:r w:rsidR="00A234E7" w:rsidRPr="00AD4C3A">
        <w:rPr>
          <w:sz w:val="22"/>
          <w:szCs w:val="22"/>
        </w:rPr>
        <w:t>fortuito, no</w:t>
      </w:r>
      <w:r w:rsidRPr="00AD4C3A">
        <w:rPr>
          <w:color w:val="2D2D2D"/>
          <w:sz w:val="22"/>
          <w:szCs w:val="22"/>
          <w:shd w:val="clear" w:color="auto" w:fill="FFFFFF"/>
        </w:rPr>
        <w:t xml:space="preserve"> le corresponde al usuario asumir el pago de las sumas de dinero que se le imputan, que se originen de la lectura, emisión y notificación tardía y acumulada del servicio de energía eléctrica. </w:t>
      </w:r>
    </w:p>
    <w:p w:rsidR="009269A6" w:rsidRPr="00AD4C3A" w:rsidRDefault="009269A6" w:rsidP="009269A6">
      <w:pPr>
        <w:pStyle w:val="Prrafodelista"/>
        <w:rPr>
          <w:sz w:val="22"/>
          <w:szCs w:val="22"/>
        </w:rPr>
      </w:pPr>
    </w:p>
    <w:p w:rsidR="00A53318" w:rsidRPr="00AD4C3A" w:rsidRDefault="00A53318" w:rsidP="00647ADA">
      <w:pPr>
        <w:tabs>
          <w:tab w:val="left" w:pos="284"/>
        </w:tabs>
        <w:ind w:left="567"/>
        <w:jc w:val="both"/>
        <w:rPr>
          <w:sz w:val="22"/>
          <w:szCs w:val="22"/>
        </w:rPr>
      </w:pPr>
      <w:r w:rsidRPr="00AD4C3A">
        <w:rPr>
          <w:sz w:val="22"/>
          <w:szCs w:val="22"/>
        </w:rPr>
        <w:t>La consecuencia lógica</w:t>
      </w:r>
      <w:r w:rsidR="009C23FE" w:rsidRPr="00AD4C3A">
        <w:rPr>
          <w:sz w:val="22"/>
          <w:szCs w:val="22"/>
        </w:rPr>
        <w:t xml:space="preserve"> y </w:t>
      </w:r>
      <w:r w:rsidRPr="00AD4C3A">
        <w:rPr>
          <w:sz w:val="22"/>
          <w:szCs w:val="22"/>
        </w:rPr>
        <w:t xml:space="preserve">jurídica de esta Superintendencia, </w:t>
      </w:r>
      <w:r w:rsidR="001A76DA" w:rsidRPr="00AD4C3A">
        <w:rPr>
          <w:sz w:val="22"/>
          <w:szCs w:val="22"/>
        </w:rPr>
        <w:t>se concreta en</w:t>
      </w:r>
      <w:r w:rsidRPr="00AD4C3A">
        <w:rPr>
          <w:sz w:val="22"/>
          <w:szCs w:val="22"/>
        </w:rPr>
        <w:t xml:space="preserve"> establecer qu</w:t>
      </w:r>
      <w:r w:rsidR="008240E5" w:rsidRPr="00AD4C3A">
        <w:rPr>
          <w:sz w:val="22"/>
          <w:szCs w:val="22"/>
        </w:rPr>
        <w:t>e los argumentos de la sociedad</w:t>
      </w:r>
      <w:r w:rsidRPr="00AD4C3A">
        <w:rPr>
          <w:sz w:val="22"/>
          <w:szCs w:val="22"/>
        </w:rPr>
        <w:t xml:space="preserve"> </w:t>
      </w:r>
      <w:r w:rsidR="00F90AAB" w:rsidRPr="00AD4C3A">
        <w:rPr>
          <w:sz w:val="22"/>
          <w:szCs w:val="22"/>
        </w:rPr>
        <w:t>CAESS, S.A. de C.V.</w:t>
      </w:r>
      <w:r w:rsidR="00BF7EE4" w:rsidRPr="00AD4C3A">
        <w:rPr>
          <w:sz w:val="22"/>
          <w:szCs w:val="22"/>
        </w:rPr>
        <w:t>,</w:t>
      </w:r>
      <w:r w:rsidR="00FE4E72" w:rsidRPr="00AD4C3A">
        <w:rPr>
          <w:sz w:val="22"/>
          <w:szCs w:val="22"/>
        </w:rPr>
        <w:t xml:space="preserve"> dirigidos a </w:t>
      </w:r>
      <w:r w:rsidR="00A234E7" w:rsidRPr="00AD4C3A">
        <w:rPr>
          <w:sz w:val="22"/>
          <w:szCs w:val="22"/>
        </w:rPr>
        <w:t>demostrar la</w:t>
      </w:r>
      <w:r w:rsidRPr="00AD4C3A">
        <w:rPr>
          <w:sz w:val="22"/>
          <w:szCs w:val="22"/>
        </w:rPr>
        <w:t xml:space="preserve"> procedencia del cobro acumulado, resultan insuficientes, pues las disposiciones antes mencionadas, señalan como consecuencia jurídica para la </w:t>
      </w:r>
      <w:r w:rsidR="001A76DA" w:rsidRPr="00AD4C3A">
        <w:rPr>
          <w:sz w:val="22"/>
          <w:szCs w:val="22"/>
        </w:rPr>
        <w:t>distribuidora</w:t>
      </w:r>
      <w:r w:rsidRPr="00AD4C3A">
        <w:rPr>
          <w:sz w:val="22"/>
          <w:szCs w:val="22"/>
        </w:rPr>
        <w:t xml:space="preserve"> que no ha realizado las lectura</w:t>
      </w:r>
      <w:r w:rsidR="00FE4E72" w:rsidRPr="00AD4C3A">
        <w:rPr>
          <w:sz w:val="22"/>
          <w:szCs w:val="22"/>
        </w:rPr>
        <w:t>s mensuales</w:t>
      </w:r>
      <w:r w:rsidR="00DD0423" w:rsidRPr="00AD4C3A">
        <w:rPr>
          <w:sz w:val="22"/>
          <w:szCs w:val="22"/>
        </w:rPr>
        <w:t>,</w:t>
      </w:r>
      <w:r w:rsidRPr="00AD4C3A">
        <w:rPr>
          <w:sz w:val="22"/>
          <w:szCs w:val="22"/>
        </w:rPr>
        <w:t xml:space="preserve"> la p</w:t>
      </w:r>
      <w:r w:rsidR="00873553" w:rsidRPr="00AD4C3A">
        <w:rPr>
          <w:sz w:val="22"/>
          <w:szCs w:val="22"/>
        </w:rPr>
        <w:t>érdida del derecho de cobrar</w:t>
      </w:r>
      <w:r w:rsidRPr="00AD4C3A">
        <w:rPr>
          <w:sz w:val="22"/>
          <w:szCs w:val="22"/>
        </w:rPr>
        <w:t xml:space="preserve"> el servicio de energía eléctrica. </w:t>
      </w:r>
    </w:p>
    <w:p w:rsidR="007B039E" w:rsidRPr="00AD4C3A" w:rsidRDefault="007B039E" w:rsidP="00357CF6">
      <w:pPr>
        <w:pStyle w:val="Prrafodelista1"/>
        <w:autoSpaceDE w:val="0"/>
        <w:autoSpaceDN w:val="0"/>
        <w:adjustRightInd w:val="0"/>
        <w:ind w:left="0"/>
        <w:contextualSpacing/>
        <w:jc w:val="both"/>
        <w:rPr>
          <w:sz w:val="22"/>
          <w:szCs w:val="22"/>
        </w:rPr>
      </w:pPr>
    </w:p>
    <w:p w:rsidR="007B039E" w:rsidRPr="00AD4C3A" w:rsidRDefault="001A76DA" w:rsidP="00647ADA">
      <w:pPr>
        <w:pStyle w:val="Prrafodelista"/>
        <w:numPr>
          <w:ilvl w:val="3"/>
          <w:numId w:val="4"/>
        </w:numPr>
        <w:tabs>
          <w:tab w:val="left" w:pos="993"/>
        </w:tabs>
        <w:ind w:left="567" w:firstLine="0"/>
        <w:jc w:val="both"/>
        <w:rPr>
          <w:sz w:val="22"/>
          <w:szCs w:val="22"/>
        </w:rPr>
      </w:pPr>
      <w:r w:rsidRPr="00AD4C3A">
        <w:rPr>
          <w:sz w:val="22"/>
          <w:szCs w:val="22"/>
        </w:rPr>
        <w:t>CONCLUSIÓN</w:t>
      </w:r>
    </w:p>
    <w:p w:rsidR="00647ADA" w:rsidRPr="00AD4C3A" w:rsidRDefault="007B039E" w:rsidP="00A00240">
      <w:pPr>
        <w:pStyle w:val="Prrafodelista1"/>
        <w:autoSpaceDE w:val="0"/>
        <w:autoSpaceDN w:val="0"/>
        <w:adjustRightInd w:val="0"/>
        <w:contextualSpacing/>
        <w:jc w:val="both"/>
        <w:rPr>
          <w:sz w:val="22"/>
          <w:szCs w:val="22"/>
        </w:rPr>
      </w:pPr>
      <w:r w:rsidRPr="00AD4C3A">
        <w:rPr>
          <w:sz w:val="22"/>
          <w:szCs w:val="22"/>
        </w:rPr>
        <w:t xml:space="preserve">  </w:t>
      </w:r>
    </w:p>
    <w:p w:rsidR="00062877" w:rsidRPr="00AD4C3A" w:rsidRDefault="00062877" w:rsidP="00647ADA">
      <w:pPr>
        <w:tabs>
          <w:tab w:val="left" w:pos="284"/>
        </w:tabs>
        <w:ind w:left="567"/>
        <w:jc w:val="both"/>
        <w:rPr>
          <w:sz w:val="22"/>
          <w:szCs w:val="22"/>
        </w:rPr>
      </w:pPr>
      <w:r w:rsidRPr="00AD4C3A">
        <w:rPr>
          <w:sz w:val="22"/>
          <w:szCs w:val="22"/>
        </w:rPr>
        <w:t>En razón de lo expuesto, esta Superintendencia se adhiere a lo establecido por l</w:t>
      </w:r>
      <w:r w:rsidR="006B5582" w:rsidRPr="00AD4C3A">
        <w:rPr>
          <w:sz w:val="22"/>
          <w:szCs w:val="22"/>
        </w:rPr>
        <w:t>a Gerencia de Electricidad y el área ju</w:t>
      </w:r>
      <w:r w:rsidRPr="00AD4C3A">
        <w:rPr>
          <w:sz w:val="22"/>
          <w:szCs w:val="22"/>
        </w:rPr>
        <w:t>ríd</w:t>
      </w:r>
      <w:r w:rsidR="00873553" w:rsidRPr="00AD4C3A">
        <w:rPr>
          <w:sz w:val="22"/>
          <w:szCs w:val="22"/>
        </w:rPr>
        <w:t>ica del CAU, debiendo determinar</w:t>
      </w:r>
      <w:r w:rsidRPr="00AD4C3A">
        <w:rPr>
          <w:sz w:val="22"/>
          <w:szCs w:val="22"/>
        </w:rPr>
        <w:t xml:space="preserve"> que la sociedad</w:t>
      </w:r>
      <w:r w:rsidR="002D4D5E">
        <w:rPr>
          <w:sz w:val="22"/>
          <w:szCs w:val="22"/>
          <w:lang w:val="es-SV"/>
        </w:rPr>
        <w:t xml:space="preserve">  </w:t>
      </w:r>
      <w:proofErr w:type="gramStart"/>
      <w:r w:rsidR="002D4D5E">
        <w:rPr>
          <w:sz w:val="22"/>
          <w:szCs w:val="22"/>
          <w:lang w:val="es-SV"/>
        </w:rPr>
        <w:t xml:space="preserve">  </w:t>
      </w:r>
      <w:r w:rsidR="006B5582" w:rsidRPr="00AD4C3A">
        <w:rPr>
          <w:sz w:val="22"/>
          <w:szCs w:val="22"/>
          <w:lang w:val="es-SV"/>
        </w:rPr>
        <w:t>,</w:t>
      </w:r>
      <w:proofErr w:type="gramEnd"/>
      <w:r w:rsidR="006B5582" w:rsidRPr="00AD4C3A">
        <w:rPr>
          <w:rFonts w:eastAsia="Calibri"/>
          <w:sz w:val="22"/>
          <w:szCs w:val="22"/>
        </w:rPr>
        <w:t xml:space="preserve"> </w:t>
      </w:r>
      <w:r w:rsidRPr="00AD4C3A">
        <w:rPr>
          <w:color w:val="000000"/>
          <w:sz w:val="22"/>
          <w:szCs w:val="22"/>
        </w:rPr>
        <w:t xml:space="preserve">no demostró mediante </w:t>
      </w:r>
      <w:r w:rsidRPr="00AD4C3A">
        <w:rPr>
          <w:color w:val="111111"/>
          <w:sz w:val="22"/>
          <w:szCs w:val="22"/>
          <w:shd w:val="clear" w:color="auto" w:fill="FFFFFF"/>
        </w:rPr>
        <w:t xml:space="preserve">pruebas que haya existido causales constitutivas de fuerza mayor, para no realizar la </w:t>
      </w:r>
      <w:r w:rsidRPr="00AD4C3A">
        <w:rPr>
          <w:sz w:val="22"/>
          <w:szCs w:val="22"/>
        </w:rPr>
        <w:t>lectura de los suministros de energía eléctrica en</w:t>
      </w:r>
      <w:r w:rsidRPr="00AD4C3A">
        <w:rPr>
          <w:sz w:val="22"/>
          <w:szCs w:val="22"/>
          <w:lang w:val="es-SV" w:eastAsia="es-SV"/>
        </w:rPr>
        <w:t xml:space="preserve"> </w:t>
      </w:r>
      <w:r w:rsidR="00A00240">
        <w:rPr>
          <w:bCs/>
          <w:sz w:val="22"/>
          <w:szCs w:val="22"/>
        </w:rPr>
        <w:t>la l</w:t>
      </w:r>
      <w:r w:rsidR="001A76DA" w:rsidRPr="00AD4C3A">
        <w:rPr>
          <w:bCs/>
          <w:sz w:val="22"/>
          <w:szCs w:val="22"/>
        </w:rPr>
        <w:t>otificación</w:t>
      </w:r>
      <w:r w:rsidR="002D4D5E">
        <w:rPr>
          <w:bCs/>
          <w:sz w:val="22"/>
          <w:szCs w:val="22"/>
        </w:rPr>
        <w:t xml:space="preserve"> *** </w:t>
      </w:r>
      <w:r w:rsidR="001A76DA" w:rsidRPr="00AD4C3A">
        <w:rPr>
          <w:bCs/>
          <w:sz w:val="22"/>
          <w:szCs w:val="22"/>
        </w:rPr>
        <w:t xml:space="preserve">, </w:t>
      </w:r>
      <w:r w:rsidRPr="00AD4C3A">
        <w:rPr>
          <w:sz w:val="22"/>
          <w:szCs w:val="22"/>
          <w:lang w:eastAsia="es-SV"/>
        </w:rPr>
        <w:t xml:space="preserve">por lo cual, debe </w:t>
      </w:r>
      <w:r w:rsidRPr="00AD4C3A">
        <w:rPr>
          <w:sz w:val="22"/>
          <w:szCs w:val="22"/>
        </w:rPr>
        <w:t xml:space="preserve">anular los cobros efectuados de forma retroactiva y acumulada en los suministros </w:t>
      </w:r>
      <w:r w:rsidR="00493139" w:rsidRPr="00AD4C3A">
        <w:rPr>
          <w:bCs/>
          <w:sz w:val="22"/>
          <w:szCs w:val="22"/>
        </w:rPr>
        <w:t xml:space="preserve">identificados con los </w:t>
      </w:r>
      <w:proofErr w:type="spellStart"/>
      <w:r w:rsidR="00493139" w:rsidRPr="00AD4C3A">
        <w:rPr>
          <w:bCs/>
          <w:sz w:val="22"/>
          <w:szCs w:val="22"/>
        </w:rPr>
        <w:t>NICs</w:t>
      </w:r>
      <w:proofErr w:type="spellEnd"/>
      <w:r w:rsidR="002D4D5E">
        <w:rPr>
          <w:bCs/>
          <w:sz w:val="22"/>
          <w:szCs w:val="22"/>
        </w:rPr>
        <w:t xml:space="preserve"> *** </w:t>
      </w:r>
      <w:r w:rsidRPr="00AD4C3A">
        <w:rPr>
          <w:sz w:val="22"/>
          <w:szCs w:val="22"/>
          <w:lang w:val="es-SV" w:eastAsia="es-SV"/>
        </w:rPr>
        <w:t xml:space="preserve">. </w:t>
      </w:r>
    </w:p>
    <w:p w:rsidR="007B039E" w:rsidRPr="00AD4C3A" w:rsidRDefault="007B039E" w:rsidP="00062877">
      <w:pPr>
        <w:pStyle w:val="Prrafodelista1"/>
        <w:autoSpaceDE w:val="0"/>
        <w:autoSpaceDN w:val="0"/>
        <w:adjustRightInd w:val="0"/>
        <w:ind w:left="0"/>
        <w:contextualSpacing/>
        <w:jc w:val="both"/>
        <w:rPr>
          <w:sz w:val="22"/>
          <w:szCs w:val="22"/>
        </w:rPr>
      </w:pPr>
    </w:p>
    <w:p w:rsidR="00647ADA" w:rsidRPr="00AD4C3A" w:rsidRDefault="002B1F5B" w:rsidP="00647ADA">
      <w:pPr>
        <w:pStyle w:val="Prrafodelista"/>
        <w:numPr>
          <w:ilvl w:val="3"/>
          <w:numId w:val="4"/>
        </w:numPr>
        <w:tabs>
          <w:tab w:val="left" w:pos="993"/>
        </w:tabs>
        <w:ind w:left="567" w:firstLine="0"/>
        <w:jc w:val="both"/>
        <w:rPr>
          <w:sz w:val="22"/>
          <w:szCs w:val="22"/>
        </w:rPr>
      </w:pPr>
      <w:r w:rsidRPr="00AD4C3A">
        <w:rPr>
          <w:sz w:val="22"/>
          <w:szCs w:val="22"/>
        </w:rPr>
        <w:t>RECURSOS</w:t>
      </w:r>
    </w:p>
    <w:p w:rsidR="00647ADA" w:rsidRPr="00AD4C3A" w:rsidRDefault="00647ADA" w:rsidP="00647ADA">
      <w:pPr>
        <w:pStyle w:val="Prrafodelista"/>
        <w:ind w:left="786"/>
        <w:jc w:val="both"/>
        <w:rPr>
          <w:sz w:val="22"/>
          <w:szCs w:val="22"/>
        </w:rPr>
      </w:pPr>
    </w:p>
    <w:p w:rsidR="00647ADA" w:rsidRPr="00AD4C3A" w:rsidRDefault="00647ADA" w:rsidP="00647ADA">
      <w:pPr>
        <w:tabs>
          <w:tab w:val="left" w:pos="284"/>
        </w:tabs>
        <w:ind w:left="567"/>
        <w:jc w:val="both"/>
        <w:rPr>
          <w:sz w:val="22"/>
          <w:szCs w:val="22"/>
        </w:rPr>
      </w:pPr>
      <w:r w:rsidRPr="00AD4C3A">
        <w:rPr>
          <w:sz w:val="22"/>
          <w:szCs w:val="22"/>
        </w:rPr>
        <w:t>En cumplimiento de los artículos 104 y 123 de la Ley de Procedimientos Administrativos (LPA), es pertinente informar que el presente acuerdo es un acto administrativo definitivo, por tal motivo, en caso de inconformidad con su contenido, la misma puede ser impugnada mediante:</w:t>
      </w:r>
    </w:p>
    <w:p w:rsidR="00647ADA" w:rsidRPr="00AD4C3A" w:rsidRDefault="00647ADA" w:rsidP="00647ADA">
      <w:pPr>
        <w:tabs>
          <w:tab w:val="left" w:pos="284"/>
        </w:tabs>
        <w:ind w:left="567"/>
        <w:jc w:val="both"/>
        <w:rPr>
          <w:sz w:val="22"/>
          <w:szCs w:val="22"/>
        </w:rPr>
      </w:pPr>
    </w:p>
    <w:p w:rsidR="00647ADA" w:rsidRPr="00AD4C3A" w:rsidRDefault="00647ADA" w:rsidP="00647ADA">
      <w:pPr>
        <w:tabs>
          <w:tab w:val="left" w:pos="284"/>
        </w:tabs>
        <w:ind w:left="567"/>
        <w:jc w:val="both"/>
        <w:rPr>
          <w:sz w:val="22"/>
          <w:szCs w:val="22"/>
        </w:rPr>
      </w:pPr>
      <w:r w:rsidRPr="00AD4C3A">
        <w:rPr>
          <w:sz w:val="22"/>
          <w:szCs w:val="22"/>
        </w:rPr>
        <w:t>Recurso de Reconsideración: el cual se puede interponer en el plazo máximo y perentorio de diez días hábiles contados a partir del día siguiente a la fecha de notificación de esta resolución, con base en los artículos 132 y 133 LPA.</w:t>
      </w:r>
    </w:p>
    <w:p w:rsidR="00647ADA" w:rsidRPr="00AD4C3A" w:rsidRDefault="00647ADA" w:rsidP="00647ADA">
      <w:pPr>
        <w:tabs>
          <w:tab w:val="left" w:pos="284"/>
        </w:tabs>
        <w:ind w:left="567"/>
        <w:jc w:val="both"/>
        <w:rPr>
          <w:sz w:val="22"/>
          <w:szCs w:val="22"/>
        </w:rPr>
      </w:pPr>
    </w:p>
    <w:p w:rsidR="00647ADA" w:rsidRPr="00AD4C3A" w:rsidRDefault="00647ADA" w:rsidP="00647ADA">
      <w:pPr>
        <w:tabs>
          <w:tab w:val="left" w:pos="284"/>
        </w:tabs>
        <w:ind w:left="567"/>
        <w:jc w:val="both"/>
        <w:rPr>
          <w:sz w:val="22"/>
          <w:szCs w:val="22"/>
        </w:rPr>
      </w:pPr>
      <w:r w:rsidRPr="00AD4C3A">
        <w:rPr>
          <w:sz w:val="22"/>
          <w:szCs w:val="22"/>
        </w:rPr>
        <w:t>Recurso de Apelación: el cual se puede interponer en el plazo máximo y perentorio de quince días hábiles contados a partir del día siguiente a la fecha de notificación esta resolución, con base en los artículos artículo 134 y 135 LPA.</w:t>
      </w:r>
    </w:p>
    <w:p w:rsidR="00647ADA" w:rsidRPr="00AD4C3A" w:rsidRDefault="00647ADA" w:rsidP="00062877">
      <w:pPr>
        <w:pStyle w:val="Prrafodelista1"/>
        <w:autoSpaceDE w:val="0"/>
        <w:autoSpaceDN w:val="0"/>
        <w:adjustRightInd w:val="0"/>
        <w:ind w:left="0"/>
        <w:contextualSpacing/>
        <w:jc w:val="both"/>
        <w:rPr>
          <w:sz w:val="22"/>
          <w:szCs w:val="22"/>
        </w:rPr>
      </w:pPr>
    </w:p>
    <w:p w:rsidR="00A53318" w:rsidRPr="00AD4C3A" w:rsidRDefault="00A53318" w:rsidP="008C3FB7">
      <w:pPr>
        <w:pStyle w:val="Sangradetextonormal"/>
        <w:spacing w:after="0" w:line="240" w:lineRule="auto"/>
        <w:ind w:left="0"/>
        <w:jc w:val="both"/>
        <w:rPr>
          <w:rFonts w:ascii="Times New Roman" w:eastAsia="Arial Unicode MS" w:hAnsi="Times New Roman" w:cs="Times New Roman"/>
        </w:rPr>
      </w:pPr>
      <w:r w:rsidRPr="00AD4C3A">
        <w:rPr>
          <w:rFonts w:ascii="Times New Roman" w:eastAsia="Arial Unicode MS" w:hAnsi="Times New Roman" w:cs="Times New Roman"/>
        </w:rPr>
        <w:t xml:space="preserve">POR TANTO, en uso de sus facultades legales, de conformidad con el marco </w:t>
      </w:r>
      <w:r w:rsidR="00D53935" w:rsidRPr="00AD4C3A">
        <w:rPr>
          <w:rFonts w:ascii="Times New Roman" w:eastAsia="Arial Unicode MS" w:hAnsi="Times New Roman" w:cs="Times New Roman"/>
        </w:rPr>
        <w:t xml:space="preserve">regulatorio expuesto y el informe técnico </w:t>
      </w:r>
      <w:r w:rsidR="00D776F6" w:rsidRPr="00AD4C3A">
        <w:rPr>
          <w:rFonts w:ascii="Times New Roman" w:hAnsi="Times New Roman" w:cs="Times New Roman"/>
          <w:bCs/>
          <w:lang w:val="es-ES"/>
        </w:rPr>
        <w:t xml:space="preserve">No. </w:t>
      </w:r>
      <w:r w:rsidR="00F06259" w:rsidRPr="00AD4C3A">
        <w:rPr>
          <w:rFonts w:ascii="Times New Roman" w:hAnsi="Times New Roman" w:cs="Times New Roman"/>
          <w:bCs/>
          <w:lang w:val="es-ES"/>
        </w:rPr>
        <w:t>IT-NT-2019-02-012</w:t>
      </w:r>
      <w:r w:rsidR="00583307" w:rsidRPr="00AD4C3A">
        <w:rPr>
          <w:rFonts w:ascii="Times New Roman" w:hAnsi="Times New Roman" w:cs="Times New Roman"/>
          <w:lang w:val="es-ES"/>
        </w:rPr>
        <w:t>,</w:t>
      </w:r>
      <w:r w:rsidRPr="00AD4C3A">
        <w:rPr>
          <w:rFonts w:ascii="Times New Roman" w:eastAsia="Arial Unicode MS" w:hAnsi="Times New Roman" w:cs="Times New Roman"/>
        </w:rPr>
        <w:t xml:space="preserve"> </w:t>
      </w:r>
      <w:r w:rsidR="0035472F" w:rsidRPr="00AD4C3A">
        <w:rPr>
          <w:rFonts w:ascii="Times New Roman" w:eastAsia="Arial Unicode MS" w:hAnsi="Times New Roman" w:cs="Times New Roman"/>
        </w:rPr>
        <w:t xml:space="preserve">rendido </w:t>
      </w:r>
      <w:r w:rsidRPr="00AD4C3A">
        <w:rPr>
          <w:rFonts w:ascii="Times New Roman" w:eastAsia="Arial Unicode MS" w:hAnsi="Times New Roman" w:cs="Times New Roman"/>
        </w:rPr>
        <w:t>por la Gerencia de Electricidad</w:t>
      </w:r>
      <w:r w:rsidRPr="00AD4C3A">
        <w:rPr>
          <w:rFonts w:ascii="Times New Roman" w:hAnsi="Times New Roman" w:cs="Times New Roman"/>
        </w:rPr>
        <w:t xml:space="preserve">, </w:t>
      </w:r>
      <w:r w:rsidR="00583307" w:rsidRPr="00AD4C3A">
        <w:rPr>
          <w:rFonts w:ascii="Times New Roman" w:eastAsia="Arial Unicode MS" w:hAnsi="Times New Roman" w:cs="Times New Roman"/>
        </w:rPr>
        <w:t xml:space="preserve">y el informe jurídico No. </w:t>
      </w:r>
      <w:r w:rsidR="000F603E" w:rsidRPr="00AD4C3A">
        <w:rPr>
          <w:rFonts w:ascii="Times New Roman" w:eastAsia="Arial Unicode MS" w:hAnsi="Times New Roman" w:cs="Times New Roman"/>
          <w:color w:val="000000" w:themeColor="text1"/>
        </w:rPr>
        <w:t>IJ-002-CAU-2019</w:t>
      </w:r>
      <w:r w:rsidRPr="00AD4C3A">
        <w:rPr>
          <w:rFonts w:ascii="Times New Roman" w:eastAsia="Arial Unicode MS" w:hAnsi="Times New Roman" w:cs="Times New Roman"/>
          <w:color w:val="000000" w:themeColor="text1"/>
        </w:rPr>
        <w:t xml:space="preserve"> </w:t>
      </w:r>
      <w:r w:rsidR="006B5582" w:rsidRPr="00AD4C3A">
        <w:rPr>
          <w:rFonts w:ascii="Times New Roman" w:eastAsia="Arial Unicode MS" w:hAnsi="Times New Roman" w:cs="Times New Roman"/>
        </w:rPr>
        <w:t xml:space="preserve">rendido por el área jurídica </w:t>
      </w:r>
      <w:r w:rsidRPr="00AD4C3A">
        <w:rPr>
          <w:rFonts w:ascii="Times New Roman" w:eastAsia="Arial Unicode MS" w:hAnsi="Times New Roman" w:cs="Times New Roman"/>
        </w:rPr>
        <w:t>del Centro de Atención al Usuario de la SIGET, esta Superintendencia ACUERDA:</w:t>
      </w:r>
    </w:p>
    <w:p w:rsidR="00A53318" w:rsidRPr="00AD4C3A" w:rsidRDefault="00A53318" w:rsidP="008C3FB7">
      <w:pPr>
        <w:autoSpaceDE w:val="0"/>
        <w:autoSpaceDN w:val="0"/>
        <w:adjustRightInd w:val="0"/>
        <w:jc w:val="both"/>
        <w:rPr>
          <w:rFonts w:eastAsia="Calibri"/>
          <w:sz w:val="22"/>
          <w:szCs w:val="22"/>
        </w:rPr>
      </w:pPr>
    </w:p>
    <w:p w:rsidR="00A53318" w:rsidRPr="00AD4C3A" w:rsidRDefault="00A53318" w:rsidP="008C3FB7">
      <w:pPr>
        <w:pStyle w:val="Prrafodelista"/>
        <w:numPr>
          <w:ilvl w:val="0"/>
          <w:numId w:val="16"/>
        </w:numPr>
        <w:ind w:left="567" w:hanging="567"/>
        <w:jc w:val="both"/>
        <w:rPr>
          <w:sz w:val="22"/>
          <w:szCs w:val="22"/>
        </w:rPr>
      </w:pPr>
      <w:r w:rsidRPr="00AD4C3A">
        <w:rPr>
          <w:sz w:val="22"/>
          <w:szCs w:val="22"/>
        </w:rPr>
        <w:lastRenderedPageBreak/>
        <w:t xml:space="preserve">Determinar que la sociedad </w:t>
      </w:r>
      <w:r w:rsidR="002D4D5E">
        <w:rPr>
          <w:sz w:val="22"/>
          <w:szCs w:val="22"/>
          <w:lang w:val="es-SV"/>
        </w:rPr>
        <w:t xml:space="preserve"> *** </w:t>
      </w:r>
      <w:r w:rsidRPr="00AD4C3A">
        <w:rPr>
          <w:color w:val="000000"/>
          <w:sz w:val="22"/>
          <w:szCs w:val="22"/>
        </w:rPr>
        <w:t xml:space="preserve">no demostró mediante </w:t>
      </w:r>
      <w:r w:rsidRPr="00AD4C3A">
        <w:rPr>
          <w:color w:val="111111"/>
          <w:sz w:val="22"/>
          <w:szCs w:val="22"/>
          <w:shd w:val="clear" w:color="auto" w:fill="FFFFFF"/>
        </w:rPr>
        <w:t xml:space="preserve">pruebas que haya existido causales constitutivas de fuerza mayor, para no realizar la </w:t>
      </w:r>
      <w:r w:rsidRPr="00AD4C3A">
        <w:rPr>
          <w:sz w:val="22"/>
          <w:szCs w:val="22"/>
        </w:rPr>
        <w:t>lectura de</w:t>
      </w:r>
      <w:r w:rsidR="0035472F" w:rsidRPr="00AD4C3A">
        <w:rPr>
          <w:sz w:val="22"/>
          <w:szCs w:val="22"/>
        </w:rPr>
        <w:t xml:space="preserve"> los suministros </w:t>
      </w:r>
      <w:r w:rsidRPr="00AD4C3A">
        <w:rPr>
          <w:sz w:val="22"/>
          <w:szCs w:val="22"/>
        </w:rPr>
        <w:t xml:space="preserve">de energía eléctrica </w:t>
      </w:r>
      <w:r w:rsidR="00493139" w:rsidRPr="00AD4C3A">
        <w:rPr>
          <w:bCs/>
          <w:sz w:val="22"/>
          <w:szCs w:val="22"/>
        </w:rPr>
        <w:t xml:space="preserve">identificados con los </w:t>
      </w:r>
      <w:proofErr w:type="spellStart"/>
      <w:r w:rsidR="00493139" w:rsidRPr="00AD4C3A">
        <w:rPr>
          <w:bCs/>
          <w:sz w:val="22"/>
          <w:szCs w:val="22"/>
        </w:rPr>
        <w:t>NICs</w:t>
      </w:r>
      <w:proofErr w:type="spellEnd"/>
      <w:r w:rsidR="002D4D5E">
        <w:rPr>
          <w:bCs/>
          <w:sz w:val="22"/>
          <w:szCs w:val="22"/>
        </w:rPr>
        <w:t xml:space="preserve"> *** </w:t>
      </w:r>
      <w:r w:rsidR="00493139" w:rsidRPr="00AD4C3A">
        <w:rPr>
          <w:bCs/>
          <w:sz w:val="22"/>
          <w:szCs w:val="22"/>
        </w:rPr>
        <w:t xml:space="preserve">, ubicados </w:t>
      </w:r>
      <w:r w:rsidR="0035472F" w:rsidRPr="00AD4C3A">
        <w:rPr>
          <w:sz w:val="22"/>
          <w:szCs w:val="22"/>
        </w:rPr>
        <w:t>en</w:t>
      </w:r>
      <w:r w:rsidR="008240E5" w:rsidRPr="00AD4C3A">
        <w:rPr>
          <w:sz w:val="22"/>
          <w:szCs w:val="22"/>
          <w:lang w:val="es-SV" w:eastAsia="es-SV"/>
        </w:rPr>
        <w:t xml:space="preserve"> </w:t>
      </w:r>
      <w:r w:rsidR="00A00240">
        <w:rPr>
          <w:bCs/>
          <w:sz w:val="22"/>
          <w:szCs w:val="22"/>
        </w:rPr>
        <w:t>la l</w:t>
      </w:r>
      <w:r w:rsidR="00493139" w:rsidRPr="00AD4C3A">
        <w:rPr>
          <w:bCs/>
          <w:sz w:val="22"/>
          <w:szCs w:val="22"/>
        </w:rPr>
        <w:t xml:space="preserve">otificación </w:t>
      </w:r>
      <w:r w:rsidR="002D4D5E">
        <w:rPr>
          <w:bCs/>
          <w:sz w:val="22"/>
          <w:szCs w:val="22"/>
        </w:rPr>
        <w:t xml:space="preserve"> *** </w:t>
      </w:r>
      <w:r w:rsidRPr="00AD4C3A">
        <w:rPr>
          <w:color w:val="111111"/>
          <w:sz w:val="22"/>
          <w:szCs w:val="22"/>
          <w:shd w:val="clear" w:color="auto" w:fill="FFFFFF"/>
        </w:rPr>
        <w:t>de conformidad con el Procedimiento para la Determinación de Causales de Fuerza Mayor o Caso Fortuito, así como lo regulado en el artículo 29 de los Términos y Condiciones del Pliego Tarifario</w:t>
      </w:r>
      <w:r w:rsidR="0035472F" w:rsidRPr="00AD4C3A">
        <w:rPr>
          <w:color w:val="111111"/>
          <w:sz w:val="22"/>
          <w:szCs w:val="22"/>
          <w:shd w:val="clear" w:color="auto" w:fill="FFFFFF"/>
        </w:rPr>
        <w:t xml:space="preserve"> aplicable</w:t>
      </w:r>
      <w:r w:rsidRPr="00AD4C3A">
        <w:rPr>
          <w:color w:val="111111"/>
          <w:sz w:val="22"/>
          <w:szCs w:val="22"/>
          <w:shd w:val="clear" w:color="auto" w:fill="FFFFFF"/>
        </w:rPr>
        <w:t xml:space="preserve">, y </w:t>
      </w:r>
      <w:r w:rsidRPr="00AD4C3A">
        <w:rPr>
          <w:sz w:val="22"/>
          <w:szCs w:val="22"/>
        </w:rPr>
        <w:t xml:space="preserve">el </w:t>
      </w:r>
      <w:r w:rsidRPr="00AD4C3A">
        <w:rPr>
          <w:sz w:val="22"/>
          <w:szCs w:val="22"/>
          <w:lang w:val="es-ES_tradnl"/>
        </w:rPr>
        <w:t xml:space="preserve">Anexo A de la Metodología Para el Control de la Calidad del Servicio Comercial de las Normas de </w:t>
      </w:r>
      <w:r w:rsidRPr="00AD4C3A">
        <w:rPr>
          <w:sz w:val="22"/>
          <w:szCs w:val="22"/>
        </w:rPr>
        <w:t>Calidad del Servicio de los Sistemas de Distribución.</w:t>
      </w:r>
    </w:p>
    <w:p w:rsidR="00A53318" w:rsidRPr="00AD4C3A" w:rsidRDefault="00A53318" w:rsidP="008C3FB7">
      <w:pPr>
        <w:pStyle w:val="Prrafodelista"/>
        <w:ind w:left="502"/>
        <w:jc w:val="both"/>
        <w:rPr>
          <w:sz w:val="22"/>
          <w:szCs w:val="22"/>
        </w:rPr>
      </w:pPr>
    </w:p>
    <w:p w:rsidR="00A53318" w:rsidRPr="00AD4C3A" w:rsidRDefault="00A53318" w:rsidP="008C3FB7">
      <w:pPr>
        <w:pStyle w:val="Prrafodelista"/>
        <w:ind w:left="567"/>
        <w:jc w:val="both"/>
        <w:rPr>
          <w:color w:val="000000"/>
          <w:sz w:val="22"/>
          <w:szCs w:val="22"/>
        </w:rPr>
      </w:pPr>
      <w:r w:rsidRPr="00AD4C3A">
        <w:rPr>
          <w:sz w:val="22"/>
          <w:szCs w:val="22"/>
        </w:rPr>
        <w:t xml:space="preserve">Por lo tanto, </w:t>
      </w:r>
      <w:r w:rsidR="00075A9A" w:rsidRPr="00AD4C3A">
        <w:rPr>
          <w:color w:val="000000"/>
          <w:sz w:val="22"/>
          <w:szCs w:val="22"/>
        </w:rPr>
        <w:t>son</w:t>
      </w:r>
      <w:r w:rsidRPr="00AD4C3A">
        <w:rPr>
          <w:color w:val="000000"/>
          <w:sz w:val="22"/>
          <w:szCs w:val="22"/>
        </w:rPr>
        <w:t xml:space="preserve"> improcedente</w:t>
      </w:r>
      <w:r w:rsidR="00075A9A" w:rsidRPr="00AD4C3A">
        <w:rPr>
          <w:color w:val="000000"/>
          <w:sz w:val="22"/>
          <w:szCs w:val="22"/>
        </w:rPr>
        <w:t>s</w:t>
      </w:r>
      <w:r w:rsidRPr="00AD4C3A">
        <w:rPr>
          <w:sz w:val="22"/>
          <w:szCs w:val="22"/>
        </w:rPr>
        <w:t xml:space="preserve"> </w:t>
      </w:r>
      <w:r w:rsidR="00075A9A" w:rsidRPr="00AD4C3A">
        <w:rPr>
          <w:sz w:val="22"/>
          <w:szCs w:val="22"/>
        </w:rPr>
        <w:t xml:space="preserve">los </w:t>
      </w:r>
      <w:r w:rsidRPr="00AD4C3A">
        <w:rPr>
          <w:sz w:val="22"/>
          <w:szCs w:val="22"/>
        </w:rPr>
        <w:t>cobro</w:t>
      </w:r>
      <w:r w:rsidR="00075A9A" w:rsidRPr="00AD4C3A">
        <w:rPr>
          <w:sz w:val="22"/>
          <w:szCs w:val="22"/>
        </w:rPr>
        <w:t>s</w:t>
      </w:r>
      <w:r w:rsidRPr="00AD4C3A">
        <w:rPr>
          <w:sz w:val="22"/>
          <w:szCs w:val="22"/>
        </w:rPr>
        <w:t xml:space="preserve"> efectuado</w:t>
      </w:r>
      <w:r w:rsidR="00075A9A" w:rsidRPr="00AD4C3A">
        <w:rPr>
          <w:sz w:val="22"/>
          <w:szCs w:val="22"/>
        </w:rPr>
        <w:t>s</w:t>
      </w:r>
      <w:r w:rsidRPr="00AD4C3A">
        <w:rPr>
          <w:sz w:val="22"/>
          <w:szCs w:val="22"/>
        </w:rPr>
        <w:t xml:space="preserve"> por la </w:t>
      </w:r>
      <w:proofErr w:type="gramStart"/>
      <w:r w:rsidRPr="00AD4C3A">
        <w:rPr>
          <w:sz w:val="22"/>
          <w:szCs w:val="22"/>
        </w:rPr>
        <w:t xml:space="preserve">sociedad </w:t>
      </w:r>
      <w:r w:rsidR="002D4D5E">
        <w:rPr>
          <w:sz w:val="22"/>
          <w:szCs w:val="22"/>
          <w:lang w:val="es-SV"/>
        </w:rPr>
        <w:t xml:space="preserve"> *</w:t>
      </w:r>
      <w:proofErr w:type="gramEnd"/>
      <w:r w:rsidR="002D4D5E">
        <w:rPr>
          <w:sz w:val="22"/>
          <w:szCs w:val="22"/>
          <w:lang w:val="es-SV"/>
        </w:rPr>
        <w:t xml:space="preserve">** </w:t>
      </w:r>
      <w:r w:rsidRPr="00AD4C3A">
        <w:rPr>
          <w:sz w:val="22"/>
          <w:szCs w:val="22"/>
        </w:rPr>
        <w:t xml:space="preserve">en </w:t>
      </w:r>
      <w:r w:rsidR="00493139" w:rsidRPr="00AD4C3A">
        <w:rPr>
          <w:sz w:val="22"/>
          <w:szCs w:val="22"/>
        </w:rPr>
        <w:t xml:space="preserve">los suministros de energía eléctrica </w:t>
      </w:r>
      <w:r w:rsidR="00493139" w:rsidRPr="00AD4C3A">
        <w:rPr>
          <w:bCs/>
          <w:sz w:val="22"/>
          <w:szCs w:val="22"/>
        </w:rPr>
        <w:t xml:space="preserve">identificados con los </w:t>
      </w:r>
      <w:proofErr w:type="spellStart"/>
      <w:r w:rsidR="00493139" w:rsidRPr="00AD4C3A">
        <w:rPr>
          <w:bCs/>
          <w:sz w:val="22"/>
          <w:szCs w:val="22"/>
        </w:rPr>
        <w:t>NICs</w:t>
      </w:r>
      <w:proofErr w:type="spellEnd"/>
      <w:r w:rsidR="002D4D5E">
        <w:rPr>
          <w:bCs/>
          <w:sz w:val="22"/>
          <w:szCs w:val="22"/>
        </w:rPr>
        <w:t xml:space="preserve"> ***</w:t>
      </w:r>
      <w:r w:rsidR="00493139" w:rsidRPr="00AD4C3A">
        <w:rPr>
          <w:bCs/>
          <w:sz w:val="22"/>
          <w:szCs w:val="22"/>
        </w:rPr>
        <w:t>,</w:t>
      </w:r>
      <w:r w:rsidR="00075A9A" w:rsidRPr="00AD4C3A">
        <w:rPr>
          <w:sz w:val="22"/>
          <w:szCs w:val="22"/>
        </w:rPr>
        <w:t xml:space="preserve"> </w:t>
      </w:r>
      <w:r w:rsidRPr="00AD4C3A">
        <w:rPr>
          <w:color w:val="000000"/>
          <w:sz w:val="22"/>
          <w:szCs w:val="22"/>
        </w:rPr>
        <w:t>en concepto de cobro</w:t>
      </w:r>
      <w:r w:rsidR="00873553" w:rsidRPr="00AD4C3A">
        <w:rPr>
          <w:color w:val="000000"/>
          <w:sz w:val="22"/>
          <w:szCs w:val="22"/>
        </w:rPr>
        <w:t>s</w:t>
      </w:r>
      <w:r w:rsidRPr="00AD4C3A">
        <w:rPr>
          <w:color w:val="000000"/>
          <w:sz w:val="22"/>
          <w:szCs w:val="22"/>
        </w:rPr>
        <w:t xml:space="preserve"> retroactivo</w:t>
      </w:r>
      <w:r w:rsidR="00873553" w:rsidRPr="00AD4C3A">
        <w:rPr>
          <w:color w:val="000000"/>
          <w:sz w:val="22"/>
          <w:szCs w:val="22"/>
        </w:rPr>
        <w:t>s</w:t>
      </w:r>
      <w:r w:rsidRPr="00AD4C3A">
        <w:rPr>
          <w:color w:val="000000"/>
          <w:sz w:val="22"/>
          <w:szCs w:val="22"/>
        </w:rPr>
        <w:t xml:space="preserve"> y acumulado</w:t>
      </w:r>
      <w:r w:rsidR="00873553" w:rsidRPr="00AD4C3A">
        <w:rPr>
          <w:color w:val="000000"/>
          <w:sz w:val="22"/>
          <w:szCs w:val="22"/>
        </w:rPr>
        <w:t>s</w:t>
      </w:r>
      <w:r w:rsidRPr="00AD4C3A">
        <w:rPr>
          <w:color w:val="000000"/>
          <w:sz w:val="22"/>
          <w:szCs w:val="22"/>
        </w:rPr>
        <w:t xml:space="preserve"> del servicio de energía eléctrica por la falta de lectura mensual del equipo de medición.</w:t>
      </w:r>
    </w:p>
    <w:p w:rsidR="00A53318" w:rsidRPr="00AD4C3A" w:rsidRDefault="00A53318" w:rsidP="008C3FB7">
      <w:pPr>
        <w:pStyle w:val="Prrafodelista"/>
        <w:ind w:left="502"/>
        <w:jc w:val="both"/>
        <w:rPr>
          <w:sz w:val="22"/>
          <w:szCs w:val="22"/>
        </w:rPr>
      </w:pPr>
    </w:p>
    <w:p w:rsidR="00A53318" w:rsidRPr="00AD4C3A" w:rsidRDefault="00A53318" w:rsidP="00924398">
      <w:pPr>
        <w:pStyle w:val="Prrafodelista"/>
        <w:numPr>
          <w:ilvl w:val="0"/>
          <w:numId w:val="16"/>
        </w:numPr>
        <w:ind w:left="567" w:hanging="567"/>
        <w:jc w:val="both"/>
        <w:rPr>
          <w:sz w:val="22"/>
          <w:szCs w:val="22"/>
        </w:rPr>
      </w:pPr>
      <w:r w:rsidRPr="00AD4C3A">
        <w:rPr>
          <w:sz w:val="22"/>
          <w:szCs w:val="22"/>
        </w:rPr>
        <w:t xml:space="preserve">Conceder a la </w:t>
      </w:r>
      <w:proofErr w:type="gramStart"/>
      <w:r w:rsidRPr="00AD4C3A">
        <w:rPr>
          <w:sz w:val="22"/>
          <w:szCs w:val="22"/>
        </w:rPr>
        <w:t xml:space="preserve">sociedad </w:t>
      </w:r>
      <w:r w:rsidR="002D4D5E">
        <w:rPr>
          <w:sz w:val="22"/>
          <w:szCs w:val="22"/>
        </w:rPr>
        <w:t xml:space="preserve"> *</w:t>
      </w:r>
      <w:proofErr w:type="gramEnd"/>
      <w:r w:rsidR="002D4D5E">
        <w:rPr>
          <w:sz w:val="22"/>
          <w:szCs w:val="22"/>
        </w:rPr>
        <w:t xml:space="preserve">*** </w:t>
      </w:r>
      <w:r w:rsidRPr="00AD4C3A">
        <w:rPr>
          <w:sz w:val="22"/>
          <w:szCs w:val="22"/>
        </w:rPr>
        <w:t xml:space="preserve">un plazo de </w:t>
      </w:r>
      <w:r w:rsidR="0035472F" w:rsidRPr="00AD4C3A">
        <w:rPr>
          <w:sz w:val="22"/>
          <w:szCs w:val="22"/>
        </w:rPr>
        <w:t xml:space="preserve">diez </w:t>
      </w:r>
      <w:r w:rsidRPr="00AD4C3A">
        <w:rPr>
          <w:sz w:val="22"/>
          <w:szCs w:val="22"/>
        </w:rPr>
        <w:t>días hábiles contados a partir del día sigui</w:t>
      </w:r>
      <w:r w:rsidR="006B5582" w:rsidRPr="00AD4C3A">
        <w:rPr>
          <w:sz w:val="22"/>
          <w:szCs w:val="22"/>
        </w:rPr>
        <w:t>ente a la notificación de este a</w:t>
      </w:r>
      <w:r w:rsidRPr="00AD4C3A">
        <w:rPr>
          <w:sz w:val="22"/>
          <w:szCs w:val="22"/>
        </w:rPr>
        <w:t xml:space="preserve">cuerdo, para que remita la documentación por medio de </w:t>
      </w:r>
      <w:r w:rsidR="0035472F" w:rsidRPr="00AD4C3A">
        <w:rPr>
          <w:sz w:val="22"/>
          <w:szCs w:val="22"/>
        </w:rPr>
        <w:t>la cual se compruebe que anuló los</w:t>
      </w:r>
      <w:r w:rsidRPr="00AD4C3A">
        <w:rPr>
          <w:sz w:val="22"/>
          <w:szCs w:val="22"/>
        </w:rPr>
        <w:t xml:space="preserve"> cobro</w:t>
      </w:r>
      <w:r w:rsidR="0035472F" w:rsidRPr="00AD4C3A">
        <w:rPr>
          <w:sz w:val="22"/>
          <w:szCs w:val="22"/>
        </w:rPr>
        <w:t xml:space="preserve">s efectuados </w:t>
      </w:r>
      <w:r w:rsidRPr="00AD4C3A">
        <w:rPr>
          <w:sz w:val="22"/>
          <w:szCs w:val="22"/>
        </w:rPr>
        <w:t>de forma retroactiva y acu</w:t>
      </w:r>
      <w:r w:rsidR="0035472F" w:rsidRPr="00AD4C3A">
        <w:rPr>
          <w:sz w:val="22"/>
          <w:szCs w:val="22"/>
        </w:rPr>
        <w:t xml:space="preserve">mulada en los </w:t>
      </w:r>
      <w:r w:rsidRPr="00AD4C3A">
        <w:rPr>
          <w:sz w:val="22"/>
          <w:szCs w:val="22"/>
        </w:rPr>
        <w:t>suministro</w:t>
      </w:r>
      <w:r w:rsidR="008240E5" w:rsidRPr="00AD4C3A">
        <w:rPr>
          <w:sz w:val="22"/>
          <w:szCs w:val="22"/>
        </w:rPr>
        <w:t xml:space="preserve">s </w:t>
      </w:r>
      <w:r w:rsidR="00493139" w:rsidRPr="00AD4C3A">
        <w:rPr>
          <w:sz w:val="22"/>
          <w:szCs w:val="22"/>
        </w:rPr>
        <w:t xml:space="preserve">de energía eléctrica identificados con los </w:t>
      </w:r>
      <w:proofErr w:type="spellStart"/>
      <w:r w:rsidR="00493139" w:rsidRPr="00AD4C3A">
        <w:rPr>
          <w:sz w:val="22"/>
          <w:szCs w:val="22"/>
        </w:rPr>
        <w:t>NICs</w:t>
      </w:r>
      <w:proofErr w:type="spellEnd"/>
      <w:r w:rsidR="002D4D5E">
        <w:rPr>
          <w:sz w:val="22"/>
          <w:szCs w:val="22"/>
        </w:rPr>
        <w:t xml:space="preserve"> *** </w:t>
      </w:r>
      <w:r w:rsidR="00493139" w:rsidRPr="00AD4C3A">
        <w:rPr>
          <w:sz w:val="22"/>
          <w:szCs w:val="22"/>
        </w:rPr>
        <w:t xml:space="preserve">, </w:t>
      </w:r>
      <w:r w:rsidR="008240E5" w:rsidRPr="00AD4C3A">
        <w:rPr>
          <w:sz w:val="22"/>
          <w:szCs w:val="22"/>
        </w:rPr>
        <w:t xml:space="preserve">instalados en </w:t>
      </w:r>
      <w:r w:rsidR="00A00240">
        <w:rPr>
          <w:sz w:val="22"/>
          <w:szCs w:val="22"/>
        </w:rPr>
        <w:t>la</w:t>
      </w:r>
      <w:r w:rsidR="002D4D5E">
        <w:rPr>
          <w:sz w:val="22"/>
          <w:szCs w:val="22"/>
        </w:rPr>
        <w:t xml:space="preserve"> ***</w:t>
      </w:r>
      <w:r w:rsidR="0035472F" w:rsidRPr="00AD4C3A">
        <w:rPr>
          <w:sz w:val="22"/>
          <w:szCs w:val="22"/>
        </w:rPr>
        <w:t>.</w:t>
      </w:r>
    </w:p>
    <w:p w:rsidR="00A53318" w:rsidRPr="00AD4C3A" w:rsidRDefault="00A53318" w:rsidP="00924398">
      <w:pPr>
        <w:pStyle w:val="Prrafodelista"/>
        <w:ind w:left="567"/>
        <w:jc w:val="both"/>
        <w:rPr>
          <w:sz w:val="22"/>
          <w:szCs w:val="22"/>
        </w:rPr>
      </w:pPr>
    </w:p>
    <w:p w:rsidR="00A53318" w:rsidRPr="00AD4C3A" w:rsidRDefault="00A53318" w:rsidP="00924398">
      <w:pPr>
        <w:pStyle w:val="Prrafodelista"/>
        <w:numPr>
          <w:ilvl w:val="0"/>
          <w:numId w:val="16"/>
        </w:numPr>
        <w:ind w:left="567" w:hanging="567"/>
        <w:jc w:val="both"/>
        <w:rPr>
          <w:sz w:val="22"/>
          <w:szCs w:val="22"/>
        </w:rPr>
      </w:pPr>
      <w:r w:rsidRPr="00AD4C3A">
        <w:rPr>
          <w:sz w:val="22"/>
          <w:szCs w:val="22"/>
        </w:rPr>
        <w:t xml:space="preserve">La </w:t>
      </w:r>
      <w:proofErr w:type="gramStart"/>
      <w:r w:rsidRPr="00AD4C3A">
        <w:rPr>
          <w:sz w:val="22"/>
          <w:szCs w:val="22"/>
        </w:rPr>
        <w:t xml:space="preserve">sociedad </w:t>
      </w:r>
      <w:r w:rsidR="002D4D5E">
        <w:rPr>
          <w:sz w:val="22"/>
          <w:szCs w:val="22"/>
        </w:rPr>
        <w:t xml:space="preserve"> *</w:t>
      </w:r>
      <w:proofErr w:type="gramEnd"/>
      <w:r w:rsidR="002D4D5E">
        <w:rPr>
          <w:sz w:val="22"/>
          <w:szCs w:val="22"/>
        </w:rPr>
        <w:t xml:space="preserve">** </w:t>
      </w:r>
      <w:r w:rsidRPr="00AD4C3A">
        <w:rPr>
          <w:sz w:val="22"/>
          <w:szCs w:val="22"/>
        </w:rPr>
        <w:t>en un plazo de diez días hábiles contados a partir del día sigui</w:t>
      </w:r>
      <w:r w:rsidR="006B5582" w:rsidRPr="00AD4C3A">
        <w:rPr>
          <w:sz w:val="22"/>
          <w:szCs w:val="22"/>
        </w:rPr>
        <w:t>ente a la notificación de este a</w:t>
      </w:r>
      <w:r w:rsidRPr="00AD4C3A">
        <w:rPr>
          <w:sz w:val="22"/>
          <w:szCs w:val="22"/>
        </w:rPr>
        <w:t xml:space="preserve">cuerdo, deberá remitir el cálculo de las devoluciones y compensaciones por incumplimiento a la gestión comercial </w:t>
      </w:r>
      <w:r w:rsidRPr="00AD4C3A">
        <w:rPr>
          <w:rFonts w:eastAsia="Calibri"/>
          <w:sz w:val="22"/>
          <w:szCs w:val="22"/>
        </w:rPr>
        <w:t>en</w:t>
      </w:r>
      <w:r w:rsidRPr="00AD4C3A">
        <w:rPr>
          <w:color w:val="000000" w:themeColor="text1"/>
          <w:sz w:val="22"/>
          <w:szCs w:val="22"/>
        </w:rPr>
        <w:t xml:space="preserve"> </w:t>
      </w:r>
      <w:r w:rsidR="0035472F" w:rsidRPr="00AD4C3A">
        <w:rPr>
          <w:sz w:val="22"/>
          <w:szCs w:val="22"/>
        </w:rPr>
        <w:t>los</w:t>
      </w:r>
      <w:r w:rsidRPr="00AD4C3A">
        <w:rPr>
          <w:sz w:val="22"/>
          <w:szCs w:val="22"/>
        </w:rPr>
        <w:t xml:space="preserve"> </w:t>
      </w:r>
      <w:r w:rsidRPr="00AD4C3A">
        <w:rPr>
          <w:color w:val="000000"/>
          <w:sz w:val="22"/>
          <w:szCs w:val="22"/>
        </w:rPr>
        <w:t>suministro</w:t>
      </w:r>
      <w:r w:rsidR="0035472F" w:rsidRPr="00AD4C3A">
        <w:rPr>
          <w:color w:val="000000"/>
          <w:sz w:val="22"/>
          <w:szCs w:val="22"/>
        </w:rPr>
        <w:t>s relacionados</w:t>
      </w:r>
      <w:r w:rsidRPr="00AD4C3A">
        <w:rPr>
          <w:sz w:val="22"/>
          <w:szCs w:val="22"/>
        </w:rPr>
        <w:t>.</w:t>
      </w:r>
    </w:p>
    <w:p w:rsidR="00A53318" w:rsidRPr="00AD4C3A" w:rsidRDefault="00A53318" w:rsidP="008C3FB7">
      <w:pPr>
        <w:pStyle w:val="Prrafodelista"/>
        <w:ind w:left="502"/>
        <w:jc w:val="both"/>
        <w:rPr>
          <w:sz w:val="22"/>
          <w:szCs w:val="22"/>
        </w:rPr>
      </w:pPr>
    </w:p>
    <w:p w:rsidR="00A53318" w:rsidRPr="00AD4C3A" w:rsidRDefault="00060A20" w:rsidP="003A31BF">
      <w:pPr>
        <w:pStyle w:val="Prrafodelista"/>
        <w:ind w:left="567"/>
        <w:jc w:val="both"/>
        <w:rPr>
          <w:sz w:val="22"/>
          <w:szCs w:val="22"/>
        </w:rPr>
      </w:pPr>
      <w:r w:rsidRPr="00AD4C3A">
        <w:rPr>
          <w:sz w:val="22"/>
          <w:szCs w:val="22"/>
        </w:rPr>
        <w:t>La Gerencia de Electricidad y el CAU,</w:t>
      </w:r>
      <w:r w:rsidR="00A53318" w:rsidRPr="00AD4C3A">
        <w:rPr>
          <w:sz w:val="22"/>
          <w:szCs w:val="22"/>
        </w:rPr>
        <w:t xml:space="preserve"> en un plazo de diez días hábiles contados a partir de la remisión de dicha información por p</w:t>
      </w:r>
      <w:r w:rsidRPr="00AD4C3A">
        <w:rPr>
          <w:sz w:val="22"/>
          <w:szCs w:val="22"/>
        </w:rPr>
        <w:t>arte de la distribuidora, deberán</w:t>
      </w:r>
      <w:r w:rsidR="00A53318" w:rsidRPr="00AD4C3A">
        <w:rPr>
          <w:sz w:val="22"/>
          <w:szCs w:val="22"/>
        </w:rPr>
        <w:t xml:space="preserve"> rendir un informe técnico en el cual ratifique</w:t>
      </w:r>
      <w:r w:rsidRPr="00AD4C3A">
        <w:rPr>
          <w:sz w:val="22"/>
          <w:szCs w:val="22"/>
        </w:rPr>
        <w:t>n</w:t>
      </w:r>
      <w:r w:rsidR="00A53318" w:rsidRPr="00AD4C3A">
        <w:rPr>
          <w:sz w:val="22"/>
          <w:szCs w:val="22"/>
        </w:rPr>
        <w:t xml:space="preserve"> o corrija</w:t>
      </w:r>
      <w:r w:rsidRPr="00AD4C3A">
        <w:rPr>
          <w:sz w:val="22"/>
          <w:szCs w:val="22"/>
        </w:rPr>
        <w:t>n</w:t>
      </w:r>
      <w:r w:rsidR="00A53318" w:rsidRPr="00AD4C3A">
        <w:rPr>
          <w:sz w:val="22"/>
          <w:szCs w:val="22"/>
        </w:rPr>
        <w:t>, según corresponda, lo calculado en concepto de comp</w:t>
      </w:r>
      <w:r w:rsidRPr="00AD4C3A">
        <w:rPr>
          <w:sz w:val="22"/>
          <w:szCs w:val="22"/>
        </w:rPr>
        <w:t xml:space="preserve">ensaciones </w:t>
      </w:r>
      <w:r w:rsidR="0039168C" w:rsidRPr="00AD4C3A">
        <w:rPr>
          <w:sz w:val="22"/>
          <w:szCs w:val="22"/>
        </w:rPr>
        <w:t>y devoluciones realizadas</w:t>
      </w:r>
      <w:r w:rsidRPr="00AD4C3A">
        <w:rPr>
          <w:sz w:val="22"/>
          <w:szCs w:val="22"/>
        </w:rPr>
        <w:t xml:space="preserve"> por la distribuidora.</w:t>
      </w:r>
    </w:p>
    <w:p w:rsidR="00442F61" w:rsidRPr="00AD4C3A" w:rsidRDefault="00442F61" w:rsidP="008C3FB7">
      <w:pPr>
        <w:jc w:val="both"/>
        <w:rPr>
          <w:sz w:val="22"/>
          <w:szCs w:val="22"/>
        </w:rPr>
      </w:pPr>
    </w:p>
    <w:p w:rsidR="0035472F" w:rsidRPr="00AD4C3A" w:rsidRDefault="0035472F" w:rsidP="003A31BF">
      <w:pPr>
        <w:pStyle w:val="Prrafodelista"/>
        <w:numPr>
          <w:ilvl w:val="0"/>
          <w:numId w:val="16"/>
        </w:numPr>
        <w:ind w:left="567" w:hanging="567"/>
        <w:jc w:val="both"/>
        <w:rPr>
          <w:sz w:val="22"/>
          <w:szCs w:val="22"/>
        </w:rPr>
      </w:pPr>
      <w:r w:rsidRPr="00AD4C3A">
        <w:rPr>
          <w:sz w:val="22"/>
          <w:szCs w:val="22"/>
        </w:rPr>
        <w:t xml:space="preserve">Notificar </w:t>
      </w:r>
      <w:r w:rsidR="00493139" w:rsidRPr="00AD4C3A">
        <w:rPr>
          <w:sz w:val="22"/>
          <w:szCs w:val="22"/>
        </w:rPr>
        <w:t xml:space="preserve">este acuerdo </w:t>
      </w:r>
      <w:r w:rsidRPr="00AD4C3A">
        <w:rPr>
          <w:sz w:val="22"/>
          <w:szCs w:val="22"/>
        </w:rPr>
        <w:t xml:space="preserve">a la </w:t>
      </w:r>
      <w:proofErr w:type="gramStart"/>
      <w:r w:rsidRPr="00AD4C3A">
        <w:rPr>
          <w:sz w:val="22"/>
          <w:szCs w:val="22"/>
        </w:rPr>
        <w:t>sociedad</w:t>
      </w:r>
      <w:r w:rsidR="002D4D5E">
        <w:rPr>
          <w:sz w:val="22"/>
          <w:szCs w:val="22"/>
        </w:rPr>
        <w:t xml:space="preserve">  *</w:t>
      </w:r>
      <w:proofErr w:type="gramEnd"/>
      <w:r w:rsidR="002D4D5E">
        <w:rPr>
          <w:sz w:val="22"/>
          <w:szCs w:val="22"/>
        </w:rPr>
        <w:t xml:space="preserve">*** </w:t>
      </w:r>
      <w:bookmarkStart w:id="5" w:name="_GoBack"/>
      <w:bookmarkEnd w:id="5"/>
      <w:r w:rsidRPr="00AD4C3A">
        <w:rPr>
          <w:sz w:val="22"/>
          <w:szCs w:val="22"/>
        </w:rPr>
        <w:t xml:space="preserve">; adjuntando el </w:t>
      </w:r>
      <w:r w:rsidR="006B5582" w:rsidRPr="00AD4C3A">
        <w:rPr>
          <w:sz w:val="22"/>
          <w:szCs w:val="22"/>
        </w:rPr>
        <w:t xml:space="preserve">informe jurídico rendido por el área jurídica del </w:t>
      </w:r>
      <w:r w:rsidRPr="00AD4C3A">
        <w:rPr>
          <w:sz w:val="22"/>
          <w:szCs w:val="22"/>
        </w:rPr>
        <w:t xml:space="preserve">CAU de la SIGET No. </w:t>
      </w:r>
      <w:r w:rsidR="000F603E" w:rsidRPr="00AD4C3A">
        <w:rPr>
          <w:sz w:val="22"/>
          <w:szCs w:val="22"/>
        </w:rPr>
        <w:t>IJ-002-CAU-2019</w:t>
      </w:r>
      <w:r w:rsidRPr="00AD4C3A">
        <w:rPr>
          <w:sz w:val="22"/>
          <w:szCs w:val="22"/>
        </w:rPr>
        <w:t>.</w:t>
      </w:r>
    </w:p>
    <w:p w:rsidR="0035472F" w:rsidRPr="00AD4C3A" w:rsidRDefault="0035472F" w:rsidP="003A31BF">
      <w:pPr>
        <w:pStyle w:val="Prrafodelista"/>
        <w:ind w:left="567"/>
        <w:jc w:val="both"/>
        <w:rPr>
          <w:sz w:val="22"/>
          <w:szCs w:val="22"/>
        </w:rPr>
      </w:pPr>
    </w:p>
    <w:p w:rsidR="008C3FB7" w:rsidRPr="00AD4C3A" w:rsidRDefault="006B5582" w:rsidP="003A31BF">
      <w:pPr>
        <w:pStyle w:val="Prrafodelista"/>
        <w:numPr>
          <w:ilvl w:val="0"/>
          <w:numId w:val="16"/>
        </w:numPr>
        <w:ind w:left="567" w:hanging="567"/>
        <w:jc w:val="both"/>
        <w:rPr>
          <w:sz w:val="22"/>
          <w:szCs w:val="22"/>
        </w:rPr>
      </w:pPr>
      <w:r w:rsidRPr="00AD4C3A">
        <w:rPr>
          <w:sz w:val="22"/>
          <w:szCs w:val="22"/>
        </w:rPr>
        <w:t>Remitir copia de este a</w:t>
      </w:r>
      <w:r w:rsidR="0035472F" w:rsidRPr="00AD4C3A">
        <w:rPr>
          <w:sz w:val="22"/>
          <w:szCs w:val="22"/>
        </w:rPr>
        <w:t>cuerdo</w:t>
      </w:r>
      <w:r w:rsidR="0039168C" w:rsidRPr="00AD4C3A">
        <w:rPr>
          <w:sz w:val="22"/>
          <w:szCs w:val="22"/>
        </w:rPr>
        <w:t xml:space="preserve"> a la Defensoría del Consumidor</w:t>
      </w:r>
      <w:r w:rsidRPr="00AD4C3A">
        <w:rPr>
          <w:sz w:val="22"/>
          <w:szCs w:val="22"/>
        </w:rPr>
        <w:t xml:space="preserve"> y</w:t>
      </w:r>
      <w:r w:rsidR="0035472F" w:rsidRPr="00AD4C3A">
        <w:rPr>
          <w:sz w:val="22"/>
          <w:szCs w:val="22"/>
        </w:rPr>
        <w:t xml:space="preserve"> al Centro de Atención al Usuario de la SIGET</w:t>
      </w:r>
      <w:r w:rsidR="004A6F1A" w:rsidRPr="00AD4C3A">
        <w:rPr>
          <w:sz w:val="22"/>
          <w:szCs w:val="22"/>
        </w:rPr>
        <w:t>.</w:t>
      </w:r>
    </w:p>
    <w:p w:rsidR="006B37F6" w:rsidRPr="00AD4C3A" w:rsidRDefault="006B37F6" w:rsidP="008C3FB7">
      <w:pPr>
        <w:pStyle w:val="Prrafodelista"/>
        <w:jc w:val="center"/>
        <w:rPr>
          <w:sz w:val="22"/>
          <w:szCs w:val="22"/>
        </w:rPr>
      </w:pPr>
    </w:p>
    <w:p w:rsidR="009F4DB9" w:rsidRPr="00AD4C3A" w:rsidRDefault="009F4DB9" w:rsidP="008C3FB7">
      <w:pPr>
        <w:pStyle w:val="Prrafodelista"/>
        <w:jc w:val="center"/>
        <w:rPr>
          <w:sz w:val="22"/>
          <w:szCs w:val="22"/>
        </w:rPr>
      </w:pPr>
    </w:p>
    <w:p w:rsidR="009F4DB9" w:rsidRDefault="009F4DB9" w:rsidP="008C3FB7">
      <w:pPr>
        <w:pStyle w:val="Prrafodelista"/>
        <w:jc w:val="center"/>
        <w:rPr>
          <w:sz w:val="22"/>
          <w:szCs w:val="22"/>
        </w:rPr>
      </w:pPr>
    </w:p>
    <w:p w:rsidR="00022364" w:rsidRPr="00AD4C3A" w:rsidRDefault="00022364" w:rsidP="008C3FB7">
      <w:pPr>
        <w:pStyle w:val="Prrafodelista"/>
        <w:jc w:val="center"/>
        <w:rPr>
          <w:sz w:val="22"/>
          <w:szCs w:val="22"/>
        </w:rPr>
      </w:pPr>
    </w:p>
    <w:p w:rsidR="009F4DB9" w:rsidRPr="00AD4C3A" w:rsidRDefault="009F4DB9" w:rsidP="008C3FB7">
      <w:pPr>
        <w:pStyle w:val="Prrafodelista"/>
        <w:jc w:val="center"/>
        <w:rPr>
          <w:sz w:val="22"/>
          <w:szCs w:val="22"/>
        </w:rPr>
      </w:pPr>
    </w:p>
    <w:p w:rsidR="00075A9A" w:rsidRPr="00AD4C3A" w:rsidRDefault="00075A9A" w:rsidP="008C3FB7">
      <w:pPr>
        <w:jc w:val="center"/>
        <w:rPr>
          <w:sz w:val="22"/>
          <w:szCs w:val="22"/>
          <w:lang w:val="es-MX"/>
        </w:rPr>
      </w:pPr>
      <w:r w:rsidRPr="00AD4C3A">
        <w:rPr>
          <w:color w:val="000000"/>
          <w:sz w:val="22"/>
          <w:szCs w:val="22"/>
          <w:lang w:val="es-MX"/>
        </w:rPr>
        <w:t xml:space="preserve">Ing. </w:t>
      </w:r>
      <w:r w:rsidRPr="00AD4C3A">
        <w:rPr>
          <w:sz w:val="22"/>
          <w:szCs w:val="22"/>
          <w:lang w:val="es-MX"/>
        </w:rPr>
        <w:t>Blanca Noemi Coto Estrada</w:t>
      </w:r>
    </w:p>
    <w:p w:rsidR="00075A9A" w:rsidRPr="00AD4C3A" w:rsidRDefault="00075A9A" w:rsidP="008C3FB7">
      <w:pPr>
        <w:tabs>
          <w:tab w:val="left" w:pos="1560"/>
        </w:tabs>
        <w:jc w:val="center"/>
        <w:rPr>
          <w:sz w:val="22"/>
          <w:szCs w:val="22"/>
          <w:lang w:val="es-MX"/>
        </w:rPr>
      </w:pPr>
      <w:r w:rsidRPr="00AD4C3A">
        <w:rPr>
          <w:sz w:val="22"/>
          <w:szCs w:val="22"/>
          <w:lang w:val="es-MX"/>
        </w:rPr>
        <w:t>Superintendenta General de Electricidad y Telecomunicaciones</w:t>
      </w:r>
    </w:p>
    <w:p w:rsidR="00843DCF" w:rsidRPr="00AD4C3A" w:rsidRDefault="00843DCF" w:rsidP="008C3FB7">
      <w:pPr>
        <w:pStyle w:val="Prrafodelista"/>
        <w:tabs>
          <w:tab w:val="num" w:pos="142"/>
        </w:tabs>
        <w:jc w:val="center"/>
        <w:rPr>
          <w:sz w:val="22"/>
          <w:szCs w:val="22"/>
          <w:lang w:val="es-MX"/>
        </w:rPr>
      </w:pPr>
    </w:p>
    <w:p w:rsidR="00843DCF" w:rsidRPr="00AD4C3A" w:rsidRDefault="00843DCF" w:rsidP="008C3FB7">
      <w:pPr>
        <w:tabs>
          <w:tab w:val="num" w:pos="142"/>
        </w:tabs>
        <w:ind w:left="426" w:hanging="426"/>
        <w:jc w:val="center"/>
        <w:rPr>
          <w:sz w:val="22"/>
          <w:szCs w:val="22"/>
          <w:lang w:val="es-MX"/>
        </w:rPr>
      </w:pPr>
    </w:p>
    <w:p w:rsidR="00843DCF" w:rsidRPr="00AD4C3A" w:rsidRDefault="00843DCF" w:rsidP="008C3FB7">
      <w:pPr>
        <w:tabs>
          <w:tab w:val="num" w:pos="142"/>
        </w:tabs>
        <w:ind w:left="426" w:hanging="426"/>
        <w:jc w:val="both"/>
        <w:rPr>
          <w:sz w:val="22"/>
          <w:szCs w:val="22"/>
          <w:lang w:val="es-MX"/>
        </w:rPr>
      </w:pPr>
    </w:p>
    <w:p w:rsidR="00843DCF" w:rsidRPr="00AD4C3A" w:rsidRDefault="00843DCF" w:rsidP="008C3FB7">
      <w:pPr>
        <w:tabs>
          <w:tab w:val="num" w:pos="567"/>
        </w:tabs>
        <w:jc w:val="both"/>
        <w:rPr>
          <w:sz w:val="22"/>
          <w:szCs w:val="22"/>
        </w:rPr>
      </w:pPr>
    </w:p>
    <w:p w:rsidR="004718D1" w:rsidRPr="00AD4C3A" w:rsidRDefault="004718D1" w:rsidP="008C3FB7">
      <w:pPr>
        <w:jc w:val="both"/>
        <w:rPr>
          <w:sz w:val="22"/>
          <w:szCs w:val="22"/>
        </w:rPr>
      </w:pPr>
    </w:p>
    <w:p w:rsidR="008C3FB7" w:rsidRPr="00AD4C3A" w:rsidRDefault="008C3FB7">
      <w:pPr>
        <w:jc w:val="both"/>
        <w:rPr>
          <w:sz w:val="22"/>
          <w:szCs w:val="22"/>
        </w:rPr>
      </w:pPr>
    </w:p>
    <w:sectPr w:rsidR="008C3FB7" w:rsidRPr="00AD4C3A" w:rsidSect="00E63821">
      <w:footerReference w:type="default" r:id="rId8"/>
      <w:pgSz w:w="12240" w:h="15840"/>
      <w:pgMar w:top="2098"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49" w:rsidRDefault="00627149" w:rsidP="00457512">
      <w:r>
        <w:separator/>
      </w:r>
    </w:p>
  </w:endnote>
  <w:endnote w:type="continuationSeparator" w:id="0">
    <w:p w:rsidR="00627149" w:rsidRDefault="00627149" w:rsidP="004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885724"/>
      <w:docPartObj>
        <w:docPartGallery w:val="Page Numbers (Bottom of Page)"/>
        <w:docPartUnique/>
      </w:docPartObj>
    </w:sdtPr>
    <w:sdtEndPr/>
    <w:sdtContent>
      <w:p w:rsidR="009D3096" w:rsidRDefault="009D3096">
        <w:pPr>
          <w:pStyle w:val="Piedepgina"/>
          <w:jc w:val="right"/>
        </w:pPr>
        <w:r>
          <w:fldChar w:fldCharType="begin"/>
        </w:r>
        <w:r>
          <w:instrText>PAGE   \* MERGEFORMAT</w:instrText>
        </w:r>
        <w:r>
          <w:fldChar w:fldCharType="separate"/>
        </w:r>
        <w:r w:rsidR="002D4D5E">
          <w:rPr>
            <w:noProof/>
          </w:rPr>
          <w:t>16</w:t>
        </w:r>
        <w:r>
          <w:fldChar w:fldCharType="end"/>
        </w:r>
      </w:p>
    </w:sdtContent>
  </w:sdt>
  <w:p w:rsidR="009D3096" w:rsidRDefault="009D30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49" w:rsidRDefault="00627149" w:rsidP="00457512">
      <w:r>
        <w:separator/>
      </w:r>
    </w:p>
  </w:footnote>
  <w:footnote w:type="continuationSeparator" w:id="0">
    <w:p w:rsidR="00627149" w:rsidRDefault="00627149" w:rsidP="00457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3018"/>
    <w:multiLevelType w:val="hybridMultilevel"/>
    <w:tmpl w:val="2C96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36B1104"/>
    <w:multiLevelType w:val="hybridMultilevel"/>
    <w:tmpl w:val="3C76E3F0"/>
    <w:lvl w:ilvl="0" w:tplc="24FC434C">
      <w:start w:val="1"/>
      <w:numFmt w:val="upperLetter"/>
      <w:lvlText w:val="%1."/>
      <w:lvlJc w:val="left"/>
      <w:pPr>
        <w:ind w:left="1776" w:hanging="360"/>
      </w:pPr>
      <w:rPr>
        <w:rFonts w:hint="default"/>
        <w:b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 w15:restartNumberingAfterBreak="0">
    <w:nsid w:val="14D61B61"/>
    <w:multiLevelType w:val="hybridMultilevel"/>
    <w:tmpl w:val="00089BB4"/>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482C35"/>
    <w:multiLevelType w:val="hybridMultilevel"/>
    <w:tmpl w:val="C360C3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25D0EF4"/>
    <w:multiLevelType w:val="multilevel"/>
    <w:tmpl w:val="F20EB214"/>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lowerLetter"/>
      <w:lvlText w:val="%4)"/>
      <w:lvlJc w:val="left"/>
      <w:pPr>
        <w:tabs>
          <w:tab w:val="num" w:pos="360"/>
        </w:tabs>
        <w:ind w:left="360" w:hanging="360"/>
      </w:pPr>
      <w:rPr>
        <w:rFonts w:hint="default"/>
        <w:b w:val="0"/>
        <w:sz w:val="22"/>
        <w:szCs w:val="22"/>
      </w:rPr>
    </w:lvl>
    <w:lvl w:ilvl="4">
      <w:start w:val="1"/>
      <w:numFmt w:val="bullet"/>
      <w:lvlText w:val="-"/>
      <w:lvlJc w:val="left"/>
      <w:pPr>
        <w:tabs>
          <w:tab w:val="num" w:pos="3948"/>
        </w:tabs>
        <w:ind w:left="3948" w:hanging="360"/>
      </w:pPr>
      <w:rPr>
        <w:rFonts w:ascii="Times New Roman" w:eastAsia="Times New Roman" w:hAnsi="Times New Roman" w:cs="Times New Roman" w:hint="default"/>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45B7E3D"/>
    <w:multiLevelType w:val="hybridMultilevel"/>
    <w:tmpl w:val="FDA689A0"/>
    <w:lvl w:ilvl="0" w:tplc="83560A92">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7C7EA2"/>
    <w:multiLevelType w:val="hybridMultilevel"/>
    <w:tmpl w:val="16E8320A"/>
    <w:lvl w:ilvl="0" w:tplc="440A0017">
      <w:start w:val="1"/>
      <w:numFmt w:val="lowerLetter"/>
      <w:lvlText w:val="%1)"/>
      <w:lvlJc w:val="left"/>
      <w:pPr>
        <w:ind w:left="1287" w:hanging="360"/>
      </w:pPr>
      <w:rPr>
        <w:rFonts w:eastAsia="Times New Roman"/>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3C026235"/>
    <w:multiLevelType w:val="hybridMultilevel"/>
    <w:tmpl w:val="BE1E28AC"/>
    <w:lvl w:ilvl="0" w:tplc="AD1A4B86">
      <w:start w:val="6"/>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DF763D4"/>
    <w:multiLevelType w:val="hybridMultilevel"/>
    <w:tmpl w:val="5C583A5E"/>
    <w:lvl w:ilvl="0" w:tplc="DFE4B246">
      <w:start w:val="1"/>
      <w:numFmt w:val="upperRoman"/>
      <w:lvlText w:val="%1."/>
      <w:lvlJc w:val="left"/>
      <w:pPr>
        <w:tabs>
          <w:tab w:val="num" w:pos="720"/>
        </w:tabs>
        <w:ind w:left="720" w:hanging="720"/>
      </w:pPr>
      <w:rPr>
        <w:rFonts w:hint="default"/>
      </w:rPr>
    </w:lvl>
    <w:lvl w:ilvl="1" w:tplc="1B6087A6">
      <w:start w:val="1"/>
      <w:numFmt w:val="lowerLetter"/>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8BACD5FE">
      <w:start w:val="1"/>
      <w:numFmt w:val="upperLetter"/>
      <w:lvlText w:val="%4."/>
      <w:lvlJc w:val="left"/>
      <w:pPr>
        <w:ind w:left="2520" w:hanging="360"/>
      </w:pPr>
      <w:rPr>
        <w:rFonts w:hint="default"/>
      </w:r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57423B0"/>
    <w:multiLevelType w:val="hybridMultilevel"/>
    <w:tmpl w:val="FADA236E"/>
    <w:lvl w:ilvl="0" w:tplc="6DC46342">
      <w:start w:val="1"/>
      <w:numFmt w:val="upperRoman"/>
      <w:lvlText w:val="%1."/>
      <w:lvlJc w:val="left"/>
      <w:pPr>
        <w:tabs>
          <w:tab w:val="num" w:pos="1080"/>
        </w:tabs>
        <w:ind w:left="1080" w:hanging="720"/>
      </w:pPr>
      <w:rPr>
        <w:rFonts w:cs="Times New Roman" w:hint="default"/>
      </w:rPr>
    </w:lvl>
    <w:lvl w:ilvl="1" w:tplc="82A8C95C">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C778DC"/>
    <w:multiLevelType w:val="hybridMultilevel"/>
    <w:tmpl w:val="70444842"/>
    <w:lvl w:ilvl="0" w:tplc="23D290BE">
      <w:start w:val="1"/>
      <w:numFmt w:val="lowerRoman"/>
      <w:lvlText w:val="%1."/>
      <w:lvlJc w:val="left"/>
      <w:pPr>
        <w:ind w:left="1571" w:hanging="72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 w15:restartNumberingAfterBreak="0">
    <w:nsid w:val="576A58FA"/>
    <w:multiLevelType w:val="hybridMultilevel"/>
    <w:tmpl w:val="A1D624B0"/>
    <w:lvl w:ilvl="0" w:tplc="BA20D61C">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CAB49CD"/>
    <w:multiLevelType w:val="hybridMultilevel"/>
    <w:tmpl w:val="54DCCC94"/>
    <w:lvl w:ilvl="0" w:tplc="D098DB16">
      <w:start w:val="1"/>
      <w:numFmt w:val="upperRoman"/>
      <w:lvlText w:val="%1."/>
      <w:lvlJc w:val="left"/>
      <w:pPr>
        <w:ind w:left="720" w:hanging="720"/>
      </w:pPr>
      <w:rPr>
        <w:rFonts w:hint="default"/>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618443F5"/>
    <w:multiLevelType w:val="hybridMultilevel"/>
    <w:tmpl w:val="62D4D608"/>
    <w:lvl w:ilvl="0" w:tplc="813E9A10">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29C4B4D"/>
    <w:multiLevelType w:val="hybridMultilevel"/>
    <w:tmpl w:val="2B20F794"/>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15:restartNumberingAfterBreak="0">
    <w:nsid w:val="644914F8"/>
    <w:multiLevelType w:val="hybridMultilevel"/>
    <w:tmpl w:val="48F443EE"/>
    <w:lvl w:ilvl="0" w:tplc="160A0662">
      <w:start w:val="3"/>
      <w:numFmt w:val="bullet"/>
      <w:lvlText w:val=""/>
      <w:lvlJc w:val="left"/>
      <w:pPr>
        <w:ind w:left="6031" w:hanging="360"/>
      </w:pPr>
      <w:rPr>
        <w:rFonts w:ascii="Symbol" w:eastAsiaTheme="minorHAnsi" w:hAnsi="Symbol" w:cs="Times New Roman" w:hint="default"/>
      </w:rPr>
    </w:lvl>
    <w:lvl w:ilvl="1" w:tplc="440A0003">
      <w:start w:val="1"/>
      <w:numFmt w:val="bullet"/>
      <w:lvlText w:val="o"/>
      <w:lvlJc w:val="left"/>
      <w:pPr>
        <w:ind w:left="6751" w:hanging="360"/>
      </w:pPr>
      <w:rPr>
        <w:rFonts w:ascii="Courier New" w:hAnsi="Courier New" w:cs="Courier New" w:hint="default"/>
      </w:rPr>
    </w:lvl>
    <w:lvl w:ilvl="2" w:tplc="440A0005" w:tentative="1">
      <w:start w:val="1"/>
      <w:numFmt w:val="bullet"/>
      <w:lvlText w:val=""/>
      <w:lvlJc w:val="left"/>
      <w:pPr>
        <w:ind w:left="7471" w:hanging="360"/>
      </w:pPr>
      <w:rPr>
        <w:rFonts w:ascii="Wingdings" w:hAnsi="Wingdings" w:hint="default"/>
      </w:rPr>
    </w:lvl>
    <w:lvl w:ilvl="3" w:tplc="440A0001" w:tentative="1">
      <w:start w:val="1"/>
      <w:numFmt w:val="bullet"/>
      <w:lvlText w:val=""/>
      <w:lvlJc w:val="left"/>
      <w:pPr>
        <w:ind w:left="8191" w:hanging="360"/>
      </w:pPr>
      <w:rPr>
        <w:rFonts w:ascii="Symbol" w:hAnsi="Symbol" w:hint="default"/>
      </w:rPr>
    </w:lvl>
    <w:lvl w:ilvl="4" w:tplc="440A0003" w:tentative="1">
      <w:start w:val="1"/>
      <w:numFmt w:val="bullet"/>
      <w:lvlText w:val="o"/>
      <w:lvlJc w:val="left"/>
      <w:pPr>
        <w:ind w:left="8911" w:hanging="360"/>
      </w:pPr>
      <w:rPr>
        <w:rFonts w:ascii="Courier New" w:hAnsi="Courier New" w:cs="Courier New" w:hint="default"/>
      </w:rPr>
    </w:lvl>
    <w:lvl w:ilvl="5" w:tplc="440A0005" w:tentative="1">
      <w:start w:val="1"/>
      <w:numFmt w:val="bullet"/>
      <w:lvlText w:val=""/>
      <w:lvlJc w:val="left"/>
      <w:pPr>
        <w:ind w:left="9631" w:hanging="360"/>
      </w:pPr>
      <w:rPr>
        <w:rFonts w:ascii="Wingdings" w:hAnsi="Wingdings" w:hint="default"/>
      </w:rPr>
    </w:lvl>
    <w:lvl w:ilvl="6" w:tplc="440A0001" w:tentative="1">
      <w:start w:val="1"/>
      <w:numFmt w:val="bullet"/>
      <w:lvlText w:val=""/>
      <w:lvlJc w:val="left"/>
      <w:pPr>
        <w:ind w:left="10351" w:hanging="360"/>
      </w:pPr>
      <w:rPr>
        <w:rFonts w:ascii="Symbol" w:hAnsi="Symbol" w:hint="default"/>
      </w:rPr>
    </w:lvl>
    <w:lvl w:ilvl="7" w:tplc="440A0003" w:tentative="1">
      <w:start w:val="1"/>
      <w:numFmt w:val="bullet"/>
      <w:lvlText w:val="o"/>
      <w:lvlJc w:val="left"/>
      <w:pPr>
        <w:ind w:left="11071" w:hanging="360"/>
      </w:pPr>
      <w:rPr>
        <w:rFonts w:ascii="Courier New" w:hAnsi="Courier New" w:cs="Courier New" w:hint="default"/>
      </w:rPr>
    </w:lvl>
    <w:lvl w:ilvl="8" w:tplc="440A0005" w:tentative="1">
      <w:start w:val="1"/>
      <w:numFmt w:val="bullet"/>
      <w:lvlText w:val=""/>
      <w:lvlJc w:val="left"/>
      <w:pPr>
        <w:ind w:left="11791" w:hanging="360"/>
      </w:pPr>
      <w:rPr>
        <w:rFonts w:ascii="Wingdings" w:hAnsi="Wingdings" w:hint="default"/>
      </w:rPr>
    </w:lvl>
  </w:abstractNum>
  <w:abstractNum w:abstractNumId="23" w15:restartNumberingAfterBreak="0">
    <w:nsid w:val="66AE6404"/>
    <w:multiLevelType w:val="hybridMultilevel"/>
    <w:tmpl w:val="5C46732C"/>
    <w:lvl w:ilvl="0" w:tplc="6F62979C">
      <w:start w:val="2"/>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6C674CA"/>
    <w:multiLevelType w:val="hybridMultilevel"/>
    <w:tmpl w:val="3E0831CC"/>
    <w:lvl w:ilvl="0" w:tplc="7FA8C962">
      <w:start w:val="3"/>
      <w:numFmt w:val="bullet"/>
      <w:lvlText w:val="-"/>
      <w:lvlJc w:val="left"/>
      <w:pPr>
        <w:ind w:left="927" w:hanging="360"/>
      </w:pPr>
      <w:rPr>
        <w:rFonts w:ascii="Times New Roman" w:eastAsia="Times New Roman" w:hAnsi="Times New Roman"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5" w15:restartNumberingAfterBreak="0">
    <w:nsid w:val="6DFF19DC"/>
    <w:multiLevelType w:val="multilevel"/>
    <w:tmpl w:val="EBDE32A4"/>
    <w:lvl w:ilvl="0">
      <w:start w:val="1"/>
      <w:numFmt w:val="lowerLetter"/>
      <w:lvlText w:val="%1)"/>
      <w:lvlJc w:val="left"/>
      <w:pPr>
        <w:tabs>
          <w:tab w:val="num" w:pos="900"/>
        </w:tabs>
        <w:ind w:left="900" w:hanging="360"/>
      </w:pPr>
      <w:rPr>
        <w:rFonts w:hint="default"/>
        <w:b w:val="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lowerLetter"/>
      <w:lvlText w:val="%4)"/>
      <w:lvlJc w:val="left"/>
      <w:pPr>
        <w:tabs>
          <w:tab w:val="num" w:pos="360"/>
        </w:tabs>
        <w:ind w:left="360" w:hanging="360"/>
      </w:pPr>
      <w:rPr>
        <w:rFonts w:hint="default"/>
        <w:b w:val="0"/>
        <w:sz w:val="22"/>
        <w:szCs w:val="22"/>
      </w:rPr>
    </w:lvl>
    <w:lvl w:ilvl="4">
      <w:start w:val="1"/>
      <w:numFmt w:val="bullet"/>
      <w:lvlText w:val="-"/>
      <w:lvlJc w:val="left"/>
      <w:pPr>
        <w:tabs>
          <w:tab w:val="num" w:pos="3948"/>
        </w:tabs>
        <w:ind w:left="3948" w:hanging="360"/>
      </w:pPr>
      <w:rPr>
        <w:rFonts w:ascii="Times New Roman" w:eastAsia="Times New Roman" w:hAnsi="Times New Roman" w:cs="Times New Roman" w:hint="default"/>
      </w:rPr>
    </w:lvl>
    <w:lvl w:ilvl="5">
      <w:start w:val="3"/>
      <w:numFmt w:val="lowerLetter"/>
      <w:lvlText w:val="%6."/>
      <w:lvlJc w:val="left"/>
      <w:pPr>
        <w:ind w:left="4668" w:hanging="360"/>
      </w:pPr>
      <w:rPr>
        <w:rFonts w:hint="default"/>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1B57B43"/>
    <w:multiLevelType w:val="hybridMultilevel"/>
    <w:tmpl w:val="E45E92EE"/>
    <w:lvl w:ilvl="0" w:tplc="239A3658">
      <w:start w:val="1"/>
      <w:numFmt w:val="bullet"/>
      <w:lvlText w:val=""/>
      <w:lvlJc w:val="left"/>
      <w:pPr>
        <w:ind w:left="1287" w:hanging="360"/>
      </w:pPr>
      <w:rPr>
        <w:rFonts w:ascii="Symbol" w:hAnsi="Symbol" w:hint="default"/>
        <w:b w:val="0"/>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7" w15:restartNumberingAfterBreak="0">
    <w:nsid w:val="760D1BC3"/>
    <w:multiLevelType w:val="hybridMultilevel"/>
    <w:tmpl w:val="FCE8D578"/>
    <w:lvl w:ilvl="0" w:tplc="440A000D">
      <w:start w:val="1"/>
      <w:numFmt w:val="bullet"/>
      <w:lvlText w:val=""/>
      <w:lvlJc w:val="left"/>
      <w:pPr>
        <w:ind w:left="1571" w:hanging="360"/>
      </w:pPr>
      <w:rPr>
        <w:rFonts w:ascii="Wingdings" w:hAnsi="Wingdings"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8" w15:restartNumberingAfterBreak="0">
    <w:nsid w:val="78CF7943"/>
    <w:multiLevelType w:val="hybridMultilevel"/>
    <w:tmpl w:val="A8AE91A8"/>
    <w:lvl w:ilvl="0" w:tplc="D6F4CA98">
      <w:start w:val="1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7DAE62AA"/>
    <w:multiLevelType w:val="hybridMultilevel"/>
    <w:tmpl w:val="A77481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3"/>
  </w:num>
  <w:num w:numId="3">
    <w:abstractNumId w:val="6"/>
  </w:num>
  <w:num w:numId="4">
    <w:abstractNumId w:val="10"/>
  </w:num>
  <w:num w:numId="5">
    <w:abstractNumId w:val="15"/>
  </w:num>
  <w:num w:numId="6">
    <w:abstractNumId w:val="25"/>
  </w:num>
  <w:num w:numId="7">
    <w:abstractNumId w:val="4"/>
  </w:num>
  <w:num w:numId="8">
    <w:abstractNumId w:val="16"/>
  </w:num>
  <w:num w:numId="9">
    <w:abstractNumId w:val="27"/>
  </w:num>
  <w:num w:numId="10">
    <w:abstractNumId w:val="14"/>
  </w:num>
  <w:num w:numId="11">
    <w:abstractNumId w:val="18"/>
  </w:num>
  <w:num w:numId="12">
    <w:abstractNumId w:val="9"/>
  </w:num>
  <w:num w:numId="13">
    <w:abstractNumId w:val="22"/>
  </w:num>
  <w:num w:numId="14">
    <w:abstractNumId w:val="5"/>
  </w:num>
  <w:num w:numId="15">
    <w:abstractNumId w:val="17"/>
  </w:num>
  <w:num w:numId="16">
    <w:abstractNumId w:val="11"/>
  </w:num>
  <w:num w:numId="17">
    <w:abstractNumId w:val="26"/>
  </w:num>
  <w:num w:numId="18">
    <w:abstractNumId w:val="12"/>
  </w:num>
  <w:num w:numId="19">
    <w:abstractNumId w:val="20"/>
  </w:num>
  <w:num w:numId="20">
    <w:abstractNumId w:val="7"/>
  </w:num>
  <w:num w:numId="21">
    <w:abstractNumId w:val="2"/>
  </w:num>
  <w:num w:numId="22">
    <w:abstractNumId w:val="24"/>
  </w:num>
  <w:num w:numId="23">
    <w:abstractNumId w:val="3"/>
  </w:num>
  <w:num w:numId="24">
    <w:abstractNumId w:val="28"/>
  </w:num>
  <w:num w:numId="25">
    <w:abstractNumId w:val="21"/>
  </w:num>
  <w:num w:numId="26">
    <w:abstractNumId w:val="0"/>
  </w:num>
  <w:num w:numId="27">
    <w:abstractNumId w:val="29"/>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C9"/>
    <w:rsid w:val="00006229"/>
    <w:rsid w:val="000126CD"/>
    <w:rsid w:val="00013460"/>
    <w:rsid w:val="0001420C"/>
    <w:rsid w:val="00014C62"/>
    <w:rsid w:val="00022364"/>
    <w:rsid w:val="00025F0F"/>
    <w:rsid w:val="000314B3"/>
    <w:rsid w:val="00040E94"/>
    <w:rsid w:val="00060A20"/>
    <w:rsid w:val="0006225A"/>
    <w:rsid w:val="00062427"/>
    <w:rsid w:val="00062877"/>
    <w:rsid w:val="000635C1"/>
    <w:rsid w:val="00063EAB"/>
    <w:rsid w:val="00070C6A"/>
    <w:rsid w:val="00075A9A"/>
    <w:rsid w:val="00087BC9"/>
    <w:rsid w:val="00091165"/>
    <w:rsid w:val="00091E9C"/>
    <w:rsid w:val="00092BE7"/>
    <w:rsid w:val="0009463C"/>
    <w:rsid w:val="000A08FE"/>
    <w:rsid w:val="000B708D"/>
    <w:rsid w:val="000C0038"/>
    <w:rsid w:val="000D1A4F"/>
    <w:rsid w:val="000E3AE9"/>
    <w:rsid w:val="000F319D"/>
    <w:rsid w:val="000F323D"/>
    <w:rsid w:val="000F603E"/>
    <w:rsid w:val="0010347E"/>
    <w:rsid w:val="00116057"/>
    <w:rsid w:val="0012177F"/>
    <w:rsid w:val="0013330B"/>
    <w:rsid w:val="00135D22"/>
    <w:rsid w:val="001440A2"/>
    <w:rsid w:val="00146AE9"/>
    <w:rsid w:val="00153097"/>
    <w:rsid w:val="001626E1"/>
    <w:rsid w:val="001770A1"/>
    <w:rsid w:val="00187993"/>
    <w:rsid w:val="00193DB5"/>
    <w:rsid w:val="001954B9"/>
    <w:rsid w:val="00196221"/>
    <w:rsid w:val="001A76DA"/>
    <w:rsid w:val="001B131E"/>
    <w:rsid w:val="001B7A05"/>
    <w:rsid w:val="001C2B37"/>
    <w:rsid w:val="001C7212"/>
    <w:rsid w:val="001C7D04"/>
    <w:rsid w:val="001D0498"/>
    <w:rsid w:val="001E0216"/>
    <w:rsid w:val="001E1132"/>
    <w:rsid w:val="001E20FC"/>
    <w:rsid w:val="001F7A3F"/>
    <w:rsid w:val="00207545"/>
    <w:rsid w:val="00226E75"/>
    <w:rsid w:val="00244A28"/>
    <w:rsid w:val="00247669"/>
    <w:rsid w:val="0025151A"/>
    <w:rsid w:val="00262B68"/>
    <w:rsid w:val="0026407C"/>
    <w:rsid w:val="002673C2"/>
    <w:rsid w:val="0027566A"/>
    <w:rsid w:val="00292E9F"/>
    <w:rsid w:val="002A12D3"/>
    <w:rsid w:val="002B1F5B"/>
    <w:rsid w:val="002B3917"/>
    <w:rsid w:val="002B61ED"/>
    <w:rsid w:val="002C4191"/>
    <w:rsid w:val="002D2CFA"/>
    <w:rsid w:val="002D4D5E"/>
    <w:rsid w:val="002D69B1"/>
    <w:rsid w:val="002E014E"/>
    <w:rsid w:val="002E3491"/>
    <w:rsid w:val="002E534C"/>
    <w:rsid w:val="002F66BF"/>
    <w:rsid w:val="003050FD"/>
    <w:rsid w:val="003051F2"/>
    <w:rsid w:val="00315D8A"/>
    <w:rsid w:val="00323EE2"/>
    <w:rsid w:val="00332F0A"/>
    <w:rsid w:val="00342923"/>
    <w:rsid w:val="003437F4"/>
    <w:rsid w:val="0035472F"/>
    <w:rsid w:val="00357CF6"/>
    <w:rsid w:val="0036574F"/>
    <w:rsid w:val="003668BF"/>
    <w:rsid w:val="003669C4"/>
    <w:rsid w:val="0039168C"/>
    <w:rsid w:val="00392EB5"/>
    <w:rsid w:val="003A31BF"/>
    <w:rsid w:val="003A539E"/>
    <w:rsid w:val="003A6566"/>
    <w:rsid w:val="003B2466"/>
    <w:rsid w:val="003B3B1C"/>
    <w:rsid w:val="003C5CA3"/>
    <w:rsid w:val="003D3542"/>
    <w:rsid w:val="003D6043"/>
    <w:rsid w:val="003D6CCA"/>
    <w:rsid w:val="003E5400"/>
    <w:rsid w:val="003E6F02"/>
    <w:rsid w:val="003E7B35"/>
    <w:rsid w:val="0041063B"/>
    <w:rsid w:val="00413659"/>
    <w:rsid w:val="00414F50"/>
    <w:rsid w:val="00424FEE"/>
    <w:rsid w:val="0043385D"/>
    <w:rsid w:val="00434050"/>
    <w:rsid w:val="00442F61"/>
    <w:rsid w:val="00451538"/>
    <w:rsid w:val="004523D0"/>
    <w:rsid w:val="00453DB2"/>
    <w:rsid w:val="00457512"/>
    <w:rsid w:val="00465AB6"/>
    <w:rsid w:val="004718D1"/>
    <w:rsid w:val="00482739"/>
    <w:rsid w:val="004865C9"/>
    <w:rsid w:val="00493139"/>
    <w:rsid w:val="004960E0"/>
    <w:rsid w:val="00497EDA"/>
    <w:rsid w:val="004A6F1A"/>
    <w:rsid w:val="004B0C87"/>
    <w:rsid w:val="004B2466"/>
    <w:rsid w:val="004C2C10"/>
    <w:rsid w:val="004C7303"/>
    <w:rsid w:val="004D3F79"/>
    <w:rsid w:val="004E24C3"/>
    <w:rsid w:val="004E462E"/>
    <w:rsid w:val="004F71AA"/>
    <w:rsid w:val="00541085"/>
    <w:rsid w:val="00546782"/>
    <w:rsid w:val="005479D8"/>
    <w:rsid w:val="00567731"/>
    <w:rsid w:val="00571833"/>
    <w:rsid w:val="00571FC6"/>
    <w:rsid w:val="00583307"/>
    <w:rsid w:val="00583EF9"/>
    <w:rsid w:val="005A17E7"/>
    <w:rsid w:val="005A541E"/>
    <w:rsid w:val="005B7911"/>
    <w:rsid w:val="005C1A54"/>
    <w:rsid w:val="005C761A"/>
    <w:rsid w:val="005D1803"/>
    <w:rsid w:val="005D3C2C"/>
    <w:rsid w:val="005E44F7"/>
    <w:rsid w:val="005E7BBD"/>
    <w:rsid w:val="005F2F8F"/>
    <w:rsid w:val="005F68CA"/>
    <w:rsid w:val="006113D3"/>
    <w:rsid w:val="0061653A"/>
    <w:rsid w:val="00626D6C"/>
    <w:rsid w:val="00627149"/>
    <w:rsid w:val="006375E2"/>
    <w:rsid w:val="00647ADA"/>
    <w:rsid w:val="006757F3"/>
    <w:rsid w:val="00681464"/>
    <w:rsid w:val="006A1BB2"/>
    <w:rsid w:val="006B37F6"/>
    <w:rsid w:val="006B5582"/>
    <w:rsid w:val="006C1172"/>
    <w:rsid w:val="006C4EAB"/>
    <w:rsid w:val="006C5C1D"/>
    <w:rsid w:val="006D0AC4"/>
    <w:rsid w:val="006E1D36"/>
    <w:rsid w:val="006E6A14"/>
    <w:rsid w:val="007010F3"/>
    <w:rsid w:val="00701A99"/>
    <w:rsid w:val="00742DB8"/>
    <w:rsid w:val="00743853"/>
    <w:rsid w:val="00744052"/>
    <w:rsid w:val="00750005"/>
    <w:rsid w:val="00752BF3"/>
    <w:rsid w:val="00764068"/>
    <w:rsid w:val="00783DA4"/>
    <w:rsid w:val="007A007A"/>
    <w:rsid w:val="007A24E4"/>
    <w:rsid w:val="007B039E"/>
    <w:rsid w:val="007B3256"/>
    <w:rsid w:val="007B462A"/>
    <w:rsid w:val="007B6165"/>
    <w:rsid w:val="007C00B2"/>
    <w:rsid w:val="007C2DFA"/>
    <w:rsid w:val="007D3437"/>
    <w:rsid w:val="007D3C5C"/>
    <w:rsid w:val="007E0A71"/>
    <w:rsid w:val="007E235D"/>
    <w:rsid w:val="007E265A"/>
    <w:rsid w:val="007E746E"/>
    <w:rsid w:val="007F4BB3"/>
    <w:rsid w:val="00800CE9"/>
    <w:rsid w:val="008227CD"/>
    <w:rsid w:val="008240E5"/>
    <w:rsid w:val="00825066"/>
    <w:rsid w:val="00830E08"/>
    <w:rsid w:val="00834E24"/>
    <w:rsid w:val="0084254A"/>
    <w:rsid w:val="00843DCF"/>
    <w:rsid w:val="00856565"/>
    <w:rsid w:val="008576E1"/>
    <w:rsid w:val="008664ED"/>
    <w:rsid w:val="00872BFE"/>
    <w:rsid w:val="00873553"/>
    <w:rsid w:val="008830F8"/>
    <w:rsid w:val="008868DB"/>
    <w:rsid w:val="00887FD6"/>
    <w:rsid w:val="00896801"/>
    <w:rsid w:val="00896E73"/>
    <w:rsid w:val="008B0CB7"/>
    <w:rsid w:val="008B6999"/>
    <w:rsid w:val="008C3FB7"/>
    <w:rsid w:val="008C614A"/>
    <w:rsid w:val="008C777B"/>
    <w:rsid w:val="008D5DFF"/>
    <w:rsid w:val="008D7653"/>
    <w:rsid w:val="008E4B02"/>
    <w:rsid w:val="008F6029"/>
    <w:rsid w:val="008F63B1"/>
    <w:rsid w:val="008F6E6F"/>
    <w:rsid w:val="00910B1D"/>
    <w:rsid w:val="00913024"/>
    <w:rsid w:val="00913CA8"/>
    <w:rsid w:val="00924398"/>
    <w:rsid w:val="009269A6"/>
    <w:rsid w:val="00931360"/>
    <w:rsid w:val="00933A08"/>
    <w:rsid w:val="0094472D"/>
    <w:rsid w:val="009608F0"/>
    <w:rsid w:val="00960A4C"/>
    <w:rsid w:val="0097198B"/>
    <w:rsid w:val="0097269B"/>
    <w:rsid w:val="00980535"/>
    <w:rsid w:val="00994A2B"/>
    <w:rsid w:val="009A49E1"/>
    <w:rsid w:val="009A54EA"/>
    <w:rsid w:val="009C23FE"/>
    <w:rsid w:val="009C2906"/>
    <w:rsid w:val="009C582D"/>
    <w:rsid w:val="009D2C53"/>
    <w:rsid w:val="009D3096"/>
    <w:rsid w:val="009D5EC0"/>
    <w:rsid w:val="009E1A45"/>
    <w:rsid w:val="009F43F0"/>
    <w:rsid w:val="009F4DB0"/>
    <w:rsid w:val="009F4DB9"/>
    <w:rsid w:val="00A00240"/>
    <w:rsid w:val="00A1472E"/>
    <w:rsid w:val="00A17768"/>
    <w:rsid w:val="00A1782B"/>
    <w:rsid w:val="00A21B92"/>
    <w:rsid w:val="00A22E97"/>
    <w:rsid w:val="00A234E7"/>
    <w:rsid w:val="00A26B41"/>
    <w:rsid w:val="00A26F2A"/>
    <w:rsid w:val="00A422E7"/>
    <w:rsid w:val="00A46EEE"/>
    <w:rsid w:val="00A47BFD"/>
    <w:rsid w:val="00A53318"/>
    <w:rsid w:val="00A55B57"/>
    <w:rsid w:val="00A80AA5"/>
    <w:rsid w:val="00AB365B"/>
    <w:rsid w:val="00AB7FC9"/>
    <w:rsid w:val="00AC0AF4"/>
    <w:rsid w:val="00AC188C"/>
    <w:rsid w:val="00AC1D10"/>
    <w:rsid w:val="00AD2065"/>
    <w:rsid w:val="00AD4C3A"/>
    <w:rsid w:val="00AD5C57"/>
    <w:rsid w:val="00AE5C75"/>
    <w:rsid w:val="00AF3CB0"/>
    <w:rsid w:val="00AF4463"/>
    <w:rsid w:val="00B14C8C"/>
    <w:rsid w:val="00B20FF7"/>
    <w:rsid w:val="00B2320F"/>
    <w:rsid w:val="00B30771"/>
    <w:rsid w:val="00B34FB0"/>
    <w:rsid w:val="00B37189"/>
    <w:rsid w:val="00B555D8"/>
    <w:rsid w:val="00B55D72"/>
    <w:rsid w:val="00B61A95"/>
    <w:rsid w:val="00B6461B"/>
    <w:rsid w:val="00B64922"/>
    <w:rsid w:val="00B75583"/>
    <w:rsid w:val="00B948D9"/>
    <w:rsid w:val="00BC2A80"/>
    <w:rsid w:val="00BE756A"/>
    <w:rsid w:val="00BF7EE4"/>
    <w:rsid w:val="00C0200E"/>
    <w:rsid w:val="00C06273"/>
    <w:rsid w:val="00C12836"/>
    <w:rsid w:val="00C169F0"/>
    <w:rsid w:val="00C16F91"/>
    <w:rsid w:val="00C208FC"/>
    <w:rsid w:val="00C253D0"/>
    <w:rsid w:val="00C35B81"/>
    <w:rsid w:val="00C36F85"/>
    <w:rsid w:val="00C37F5A"/>
    <w:rsid w:val="00C624CA"/>
    <w:rsid w:val="00C63D4A"/>
    <w:rsid w:val="00C841B9"/>
    <w:rsid w:val="00C84465"/>
    <w:rsid w:val="00C95947"/>
    <w:rsid w:val="00CA7368"/>
    <w:rsid w:val="00CD4175"/>
    <w:rsid w:val="00CF6577"/>
    <w:rsid w:val="00D03006"/>
    <w:rsid w:val="00D03432"/>
    <w:rsid w:val="00D03768"/>
    <w:rsid w:val="00D0697E"/>
    <w:rsid w:val="00D332B8"/>
    <w:rsid w:val="00D53935"/>
    <w:rsid w:val="00D62674"/>
    <w:rsid w:val="00D73771"/>
    <w:rsid w:val="00D77034"/>
    <w:rsid w:val="00D776F6"/>
    <w:rsid w:val="00D84C31"/>
    <w:rsid w:val="00D86E88"/>
    <w:rsid w:val="00D919A3"/>
    <w:rsid w:val="00DD0423"/>
    <w:rsid w:val="00DD64C5"/>
    <w:rsid w:val="00DE071B"/>
    <w:rsid w:val="00DE4E4A"/>
    <w:rsid w:val="00DF7738"/>
    <w:rsid w:val="00E00110"/>
    <w:rsid w:val="00E025D8"/>
    <w:rsid w:val="00E21A31"/>
    <w:rsid w:val="00E32A10"/>
    <w:rsid w:val="00E37AE4"/>
    <w:rsid w:val="00E438FE"/>
    <w:rsid w:val="00E453D5"/>
    <w:rsid w:val="00E51F83"/>
    <w:rsid w:val="00E54CD0"/>
    <w:rsid w:val="00E5749C"/>
    <w:rsid w:val="00E63821"/>
    <w:rsid w:val="00E64792"/>
    <w:rsid w:val="00E66129"/>
    <w:rsid w:val="00E66EB5"/>
    <w:rsid w:val="00EB0601"/>
    <w:rsid w:val="00EB3131"/>
    <w:rsid w:val="00EC4861"/>
    <w:rsid w:val="00ED2108"/>
    <w:rsid w:val="00ED396E"/>
    <w:rsid w:val="00EE4817"/>
    <w:rsid w:val="00F04B98"/>
    <w:rsid w:val="00F06259"/>
    <w:rsid w:val="00F10FD7"/>
    <w:rsid w:val="00F2651B"/>
    <w:rsid w:val="00F329D6"/>
    <w:rsid w:val="00F35274"/>
    <w:rsid w:val="00F4747A"/>
    <w:rsid w:val="00F75EE0"/>
    <w:rsid w:val="00F84C39"/>
    <w:rsid w:val="00F90AAB"/>
    <w:rsid w:val="00FB668A"/>
    <w:rsid w:val="00FE4E72"/>
    <w:rsid w:val="00FE65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86A1"/>
  <w15:docId w15:val="{0C56688A-809F-4925-8C7F-39E16B53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7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A53318"/>
    <w:pPr>
      <w:keepNext/>
      <w:keepLines/>
      <w:spacing w:before="200" w:line="276" w:lineRule="auto"/>
      <w:outlineLvl w:val="1"/>
    </w:pPr>
    <w:rPr>
      <w:rFonts w:asciiTheme="majorHAnsi" w:eastAsiaTheme="majorEastAsia" w:hAnsiTheme="majorHAnsi" w:cstheme="majorBidi"/>
      <w:b/>
      <w:bCs/>
      <w:color w:val="4F81BD" w:themeColor="accent1"/>
      <w:sz w:val="26"/>
      <w:szCs w:val="26"/>
      <w:lang w:val="es-SV" w:eastAsia="es-SV"/>
    </w:rPr>
  </w:style>
  <w:style w:type="paragraph" w:styleId="Ttulo4">
    <w:name w:val="heading 4"/>
    <w:basedOn w:val="Normal"/>
    <w:next w:val="Normal"/>
    <w:link w:val="Ttulo4Car"/>
    <w:uiPriority w:val="9"/>
    <w:unhideWhenUsed/>
    <w:qFormat/>
    <w:rsid w:val="00A5331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B7FC9"/>
    <w:pPr>
      <w:ind w:left="720"/>
      <w:contextualSpacing/>
    </w:pPr>
  </w:style>
  <w:style w:type="character" w:customStyle="1" w:styleId="Ttulo2Car">
    <w:name w:val="Título 2 Car"/>
    <w:basedOn w:val="Fuentedeprrafopredeter"/>
    <w:link w:val="Ttulo2"/>
    <w:uiPriority w:val="9"/>
    <w:rsid w:val="00A53318"/>
    <w:rPr>
      <w:rFonts w:asciiTheme="majorHAnsi" w:eastAsiaTheme="majorEastAsia" w:hAnsiTheme="majorHAnsi" w:cstheme="majorBidi"/>
      <w:b/>
      <w:bCs/>
      <w:color w:val="4F81BD" w:themeColor="accent1"/>
      <w:sz w:val="26"/>
      <w:szCs w:val="26"/>
      <w:lang w:eastAsia="es-SV"/>
    </w:rPr>
  </w:style>
  <w:style w:type="character" w:customStyle="1" w:styleId="Ttulo4Car">
    <w:name w:val="Título 4 Car"/>
    <w:basedOn w:val="Fuentedeprrafopredeter"/>
    <w:link w:val="Ttulo4"/>
    <w:uiPriority w:val="9"/>
    <w:rsid w:val="00A53318"/>
    <w:rPr>
      <w:rFonts w:asciiTheme="majorHAnsi" w:eastAsiaTheme="majorEastAsia" w:hAnsiTheme="majorHAnsi" w:cstheme="majorBidi"/>
      <w:b/>
      <w:bCs/>
      <w:i/>
      <w:iCs/>
      <w:color w:val="4F81BD" w:themeColor="accent1"/>
      <w:lang w:eastAsia="es-SV"/>
    </w:rPr>
  </w:style>
  <w:style w:type="paragraph" w:styleId="Textoindependiente3">
    <w:name w:val="Body Text 3"/>
    <w:basedOn w:val="Normal"/>
    <w:link w:val="Textoindependiente3Car"/>
    <w:uiPriority w:val="99"/>
    <w:semiHidden/>
    <w:unhideWhenUsed/>
    <w:rsid w:val="00A53318"/>
    <w:pPr>
      <w:spacing w:after="120" w:line="276" w:lineRule="auto"/>
    </w:pPr>
    <w:rPr>
      <w:rFonts w:asciiTheme="minorHAnsi" w:eastAsiaTheme="minorEastAsia" w:hAnsiTheme="minorHAnsi" w:cstheme="minorBidi"/>
      <w:sz w:val="16"/>
      <w:szCs w:val="16"/>
      <w:lang w:val="es-SV" w:eastAsia="es-SV"/>
    </w:rPr>
  </w:style>
  <w:style w:type="character" w:customStyle="1" w:styleId="Textoindependiente3Car">
    <w:name w:val="Texto independiente 3 Car"/>
    <w:basedOn w:val="Fuentedeprrafopredeter"/>
    <w:link w:val="Textoindependiente3"/>
    <w:uiPriority w:val="99"/>
    <w:semiHidden/>
    <w:rsid w:val="00A53318"/>
    <w:rPr>
      <w:rFonts w:eastAsiaTheme="minorEastAsia"/>
      <w:sz w:val="16"/>
      <w:szCs w:val="16"/>
      <w:lang w:eastAsia="es-SV"/>
    </w:rPr>
  </w:style>
  <w:style w:type="paragraph" w:styleId="NormalWeb">
    <w:name w:val="Normal (Web)"/>
    <w:basedOn w:val="Normal"/>
    <w:uiPriority w:val="99"/>
    <w:rsid w:val="00A53318"/>
    <w:pPr>
      <w:spacing w:before="100" w:beforeAutospacing="1" w:after="100" w:afterAutospacing="1"/>
    </w:pPr>
    <w:rPr>
      <w:rFonts w:ascii="Arial Unicode MS" w:eastAsia="Arial Unicode MS" w:hAnsi="Arial Unicode MS" w:cs="Arial Unicode MS"/>
      <w:color w:val="000000"/>
    </w:rPr>
  </w:style>
  <w:style w:type="table" w:styleId="Tablaconcuadrcula">
    <w:name w:val="Table Grid"/>
    <w:basedOn w:val="Tablanormal"/>
    <w:uiPriority w:val="59"/>
    <w:rsid w:val="00A53318"/>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53318"/>
    <w:pPr>
      <w:ind w:left="708"/>
    </w:pPr>
    <w:rPr>
      <w:lang w:val="es-SV"/>
    </w:rPr>
  </w:style>
  <w:style w:type="paragraph" w:styleId="Textoindependiente">
    <w:name w:val="Body Text"/>
    <w:basedOn w:val="Normal"/>
    <w:link w:val="TextoindependienteCar"/>
    <w:uiPriority w:val="99"/>
    <w:unhideWhenUsed/>
    <w:rsid w:val="00A53318"/>
    <w:pPr>
      <w:spacing w:after="120" w:line="276" w:lineRule="auto"/>
    </w:pPr>
    <w:rPr>
      <w:rFonts w:asciiTheme="minorHAnsi" w:eastAsiaTheme="minorEastAsia" w:hAnsiTheme="minorHAnsi" w:cstheme="minorBidi"/>
      <w:sz w:val="22"/>
      <w:szCs w:val="22"/>
      <w:lang w:val="es-SV" w:eastAsia="es-SV"/>
    </w:rPr>
  </w:style>
  <w:style w:type="character" w:customStyle="1" w:styleId="TextoindependienteCar">
    <w:name w:val="Texto independiente Car"/>
    <w:basedOn w:val="Fuentedeprrafopredeter"/>
    <w:link w:val="Textoindependiente"/>
    <w:uiPriority w:val="99"/>
    <w:rsid w:val="00A53318"/>
    <w:rPr>
      <w:rFonts w:eastAsiaTheme="minorEastAsia"/>
      <w:lang w:eastAsia="es-SV"/>
    </w:rPr>
  </w:style>
  <w:style w:type="paragraph" w:styleId="Sangradetextonormal">
    <w:name w:val="Body Text Indent"/>
    <w:basedOn w:val="Normal"/>
    <w:link w:val="SangradetextonormalCar"/>
    <w:uiPriority w:val="99"/>
    <w:semiHidden/>
    <w:unhideWhenUsed/>
    <w:rsid w:val="00A53318"/>
    <w:pPr>
      <w:spacing w:after="120" w:line="276" w:lineRule="auto"/>
      <w:ind w:left="283"/>
    </w:pPr>
    <w:rPr>
      <w:rFonts w:asciiTheme="minorHAnsi" w:eastAsiaTheme="minorHAnsi" w:hAnsiTheme="minorHAnsi" w:cstheme="minorBidi"/>
      <w:sz w:val="22"/>
      <w:szCs w:val="22"/>
      <w:lang w:val="es-SV" w:eastAsia="en-US"/>
    </w:rPr>
  </w:style>
  <w:style w:type="character" w:customStyle="1" w:styleId="SangradetextonormalCar">
    <w:name w:val="Sangría de texto normal Car"/>
    <w:basedOn w:val="Fuentedeprrafopredeter"/>
    <w:link w:val="Sangradetextonormal"/>
    <w:uiPriority w:val="99"/>
    <w:semiHidden/>
    <w:rsid w:val="00A53318"/>
  </w:style>
  <w:style w:type="paragraph" w:styleId="Encabezado">
    <w:name w:val="header"/>
    <w:basedOn w:val="Normal"/>
    <w:link w:val="EncabezadoCar"/>
    <w:uiPriority w:val="99"/>
    <w:unhideWhenUsed/>
    <w:rsid w:val="00457512"/>
    <w:pPr>
      <w:tabs>
        <w:tab w:val="center" w:pos="4419"/>
        <w:tab w:val="right" w:pos="8838"/>
      </w:tabs>
    </w:pPr>
  </w:style>
  <w:style w:type="character" w:customStyle="1" w:styleId="EncabezadoCar">
    <w:name w:val="Encabezado Car"/>
    <w:basedOn w:val="Fuentedeprrafopredeter"/>
    <w:link w:val="Encabezado"/>
    <w:uiPriority w:val="99"/>
    <w:rsid w:val="004575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57512"/>
    <w:pPr>
      <w:tabs>
        <w:tab w:val="center" w:pos="4419"/>
        <w:tab w:val="right" w:pos="8838"/>
      </w:tabs>
    </w:pPr>
  </w:style>
  <w:style w:type="character" w:customStyle="1" w:styleId="PiedepginaCar">
    <w:name w:val="Pie de página Car"/>
    <w:basedOn w:val="Fuentedeprrafopredeter"/>
    <w:link w:val="Piedepgina"/>
    <w:uiPriority w:val="99"/>
    <w:rsid w:val="0045751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37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7F6"/>
    <w:rPr>
      <w:rFonts w:ascii="Segoe UI" w:eastAsia="Times New Roman" w:hAnsi="Segoe UI" w:cs="Segoe UI"/>
      <w:sz w:val="18"/>
      <w:szCs w:val="18"/>
      <w:lang w:val="es-ES" w:eastAsia="es-ES"/>
    </w:rPr>
  </w:style>
  <w:style w:type="character" w:customStyle="1" w:styleId="PrrafodelistaCar">
    <w:name w:val="Párrafo de lista Car"/>
    <w:basedOn w:val="Fuentedeprrafopredeter"/>
    <w:link w:val="Prrafodelista"/>
    <w:uiPriority w:val="34"/>
    <w:rsid w:val="008F6E6F"/>
    <w:rPr>
      <w:rFonts w:ascii="Times New Roman" w:eastAsia="Times New Roman" w:hAnsi="Times New Roman" w:cs="Times New Roman"/>
      <w:sz w:val="24"/>
      <w:szCs w:val="24"/>
      <w:lang w:val="es-ES" w:eastAsia="es-ES"/>
    </w:rPr>
  </w:style>
  <w:style w:type="paragraph" w:customStyle="1" w:styleId="Default">
    <w:name w:val="Default"/>
    <w:rsid w:val="00D6267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89334">
      <w:bodyDiv w:val="1"/>
      <w:marLeft w:val="0"/>
      <w:marRight w:val="0"/>
      <w:marTop w:val="0"/>
      <w:marBottom w:val="0"/>
      <w:divBdr>
        <w:top w:val="none" w:sz="0" w:space="0" w:color="auto"/>
        <w:left w:val="none" w:sz="0" w:space="0" w:color="auto"/>
        <w:bottom w:val="none" w:sz="0" w:space="0" w:color="auto"/>
        <w:right w:val="none" w:sz="0" w:space="0" w:color="auto"/>
      </w:divBdr>
    </w:div>
    <w:div w:id="15468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ABEF-7326-43FC-91E3-AE86E301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7919</Words>
  <Characters>43558</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SIGET</Company>
  <LinksUpToDate>false</LinksUpToDate>
  <CharactersWithSpaces>51375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cfuentes</dc:creator>
  <cp:lastModifiedBy>Carolina Fuentes</cp:lastModifiedBy>
  <cp:revision>2</cp:revision>
  <cp:lastPrinted>2019-05-03T22:07:00Z</cp:lastPrinted>
  <dcterms:created xsi:type="dcterms:W3CDTF">2019-09-06T16:41:00Z</dcterms:created>
  <dcterms:modified xsi:type="dcterms:W3CDTF">2019-09-06T16:41:00Z</dcterms:modified>
</cp:coreProperties>
</file>