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91" w:rsidRPr="00565D2C" w:rsidRDefault="00856091" w:rsidP="00565D2C">
      <w:pPr>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1992249</wp:posOffset>
            </wp:positionH>
            <wp:positionV relativeFrom="paragraph">
              <wp:posOffset>80442</wp:posOffset>
            </wp:positionV>
            <wp:extent cx="1389888" cy="1163117"/>
            <wp:effectExtent l="19050" t="0" r="762" b="0"/>
            <wp:wrapNone/>
            <wp:docPr id="11" name="Imagen 1" descr="C:\Documents and Settings\lhurtado\Configuración local\Archivos temporales de Internet\Content.Outlook\EKFFFY03\LOGOTIPO SC VERTICAL.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lhurtado\Configuración local\Archivos temporales de Internet\Content.Outlook\EKFFFY03\LOGOTIPO SC VERTICAL.jpg"/>
                    <pic:cNvPicPr>
                      <a:picLocks noChangeAspect="1" noChangeArrowheads="1"/>
                    </pic:cNvPicPr>
                  </pic:nvPicPr>
                  <pic:blipFill>
                    <a:blip r:embed="rId8" cstate="print"/>
                    <a:srcRect/>
                    <a:stretch>
                      <a:fillRect/>
                    </a:stretch>
                  </pic:blipFill>
                  <pic:spPr bwMode="auto">
                    <a:xfrm>
                      <a:off x="0" y="0"/>
                      <a:ext cx="1389888" cy="1163117"/>
                    </a:xfrm>
                    <a:prstGeom prst="rect">
                      <a:avLst/>
                    </a:prstGeom>
                    <a:noFill/>
                    <a:ln w="9525">
                      <a:noFill/>
                      <a:miter lim="800000"/>
                      <a:headEnd/>
                      <a:tailEnd/>
                    </a:ln>
                  </pic:spPr>
                </pic:pic>
              </a:graphicData>
            </a:graphic>
          </wp:anchor>
        </w:drawing>
      </w: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7C08A0" w:rsidRPr="00565D2C" w:rsidRDefault="007C08A0" w:rsidP="00565D2C">
      <w:pPr>
        <w:jc w:val="both"/>
        <w:rPr>
          <w:rFonts w:ascii="Times New Roman" w:hAnsi="Times New Roman" w:cs="Times New Roman"/>
          <w:b/>
          <w:sz w:val="24"/>
          <w:szCs w:val="24"/>
        </w:rPr>
      </w:pPr>
    </w:p>
    <w:p w:rsidR="007C08A0" w:rsidRPr="00565D2C" w:rsidRDefault="007C08A0" w:rsidP="00565D2C">
      <w:pPr>
        <w:jc w:val="both"/>
        <w:rPr>
          <w:rFonts w:ascii="Times New Roman" w:hAnsi="Times New Roman" w:cs="Times New Roman"/>
          <w:b/>
          <w:sz w:val="24"/>
          <w:szCs w:val="24"/>
        </w:rPr>
      </w:pPr>
    </w:p>
    <w:p w:rsidR="007C08A0" w:rsidRPr="00565D2C" w:rsidRDefault="007C08A0" w:rsidP="00565D2C">
      <w:pPr>
        <w:jc w:val="both"/>
        <w:rPr>
          <w:rFonts w:ascii="Times New Roman" w:hAnsi="Times New Roman" w:cs="Times New Roman"/>
          <w:b/>
          <w:sz w:val="24"/>
          <w:szCs w:val="24"/>
        </w:rPr>
      </w:pPr>
    </w:p>
    <w:p w:rsidR="00E467EB" w:rsidRDefault="00DB19D7" w:rsidP="00E467EB">
      <w:pPr>
        <w:jc w:val="center"/>
        <w:rPr>
          <w:rFonts w:ascii="Times New Roman" w:hAnsi="Times New Roman" w:cs="Times New Roman"/>
          <w:b/>
          <w:sz w:val="36"/>
          <w:szCs w:val="24"/>
        </w:rPr>
      </w:pPr>
      <w:r w:rsidRPr="000A00D7">
        <w:rPr>
          <w:rFonts w:ascii="Times New Roman" w:hAnsi="Times New Roman" w:cs="Times New Roman"/>
          <w:b/>
          <w:sz w:val="36"/>
          <w:szCs w:val="24"/>
        </w:rPr>
        <w:t xml:space="preserve">Informe de </w:t>
      </w:r>
      <w:r w:rsidR="00FA3978" w:rsidRPr="000A00D7">
        <w:rPr>
          <w:rFonts w:ascii="Times New Roman" w:hAnsi="Times New Roman" w:cs="Times New Roman"/>
          <w:b/>
          <w:sz w:val="36"/>
          <w:szCs w:val="24"/>
        </w:rPr>
        <w:t xml:space="preserve">seguimiento y </w:t>
      </w:r>
      <w:r w:rsidRPr="000A00D7">
        <w:rPr>
          <w:rFonts w:ascii="Times New Roman" w:hAnsi="Times New Roman" w:cs="Times New Roman"/>
          <w:b/>
          <w:sz w:val="36"/>
          <w:szCs w:val="24"/>
        </w:rPr>
        <w:t xml:space="preserve">evaluación </w:t>
      </w:r>
      <w:r w:rsidR="00644BFB" w:rsidRPr="000A00D7">
        <w:rPr>
          <w:rFonts w:ascii="Times New Roman" w:hAnsi="Times New Roman" w:cs="Times New Roman"/>
          <w:b/>
          <w:sz w:val="36"/>
          <w:szCs w:val="24"/>
        </w:rPr>
        <w:t xml:space="preserve">del </w:t>
      </w:r>
      <w:r w:rsidR="00E1325C" w:rsidRPr="000A00D7">
        <w:rPr>
          <w:rFonts w:ascii="Times New Roman" w:hAnsi="Times New Roman" w:cs="Times New Roman"/>
          <w:b/>
          <w:sz w:val="36"/>
          <w:szCs w:val="24"/>
        </w:rPr>
        <w:t xml:space="preserve">plan </w:t>
      </w:r>
      <w:r w:rsidR="00E467EB">
        <w:rPr>
          <w:rFonts w:ascii="Times New Roman" w:hAnsi="Times New Roman" w:cs="Times New Roman"/>
          <w:b/>
          <w:sz w:val="36"/>
          <w:szCs w:val="24"/>
        </w:rPr>
        <w:t>o</w:t>
      </w:r>
      <w:r w:rsidR="00053CD3" w:rsidRPr="000A00D7">
        <w:rPr>
          <w:rFonts w:ascii="Times New Roman" w:hAnsi="Times New Roman" w:cs="Times New Roman"/>
          <w:b/>
          <w:sz w:val="36"/>
          <w:szCs w:val="24"/>
        </w:rPr>
        <w:t>perativo anual</w:t>
      </w:r>
    </w:p>
    <w:p w:rsidR="00F35AB2" w:rsidRPr="000A00D7" w:rsidRDefault="00053CD3" w:rsidP="00E467EB">
      <w:pPr>
        <w:jc w:val="center"/>
        <w:rPr>
          <w:rFonts w:ascii="Times New Roman" w:hAnsi="Times New Roman" w:cs="Times New Roman"/>
          <w:b/>
          <w:sz w:val="36"/>
          <w:szCs w:val="24"/>
        </w:rPr>
      </w:pPr>
      <w:r w:rsidRPr="000A00D7">
        <w:rPr>
          <w:rFonts w:ascii="Times New Roman" w:hAnsi="Times New Roman" w:cs="Times New Roman"/>
          <w:b/>
          <w:sz w:val="36"/>
          <w:szCs w:val="24"/>
        </w:rPr>
        <w:t>Superintendencia</w:t>
      </w:r>
      <w:r w:rsidR="008800D7" w:rsidRPr="000A00D7">
        <w:rPr>
          <w:rFonts w:ascii="Times New Roman" w:hAnsi="Times New Roman" w:cs="Times New Roman"/>
          <w:b/>
          <w:sz w:val="36"/>
          <w:szCs w:val="24"/>
        </w:rPr>
        <w:t xml:space="preserve"> de Competencia </w:t>
      </w:r>
      <w:r w:rsidR="00E467EB">
        <w:rPr>
          <w:rFonts w:ascii="Times New Roman" w:hAnsi="Times New Roman" w:cs="Times New Roman"/>
          <w:b/>
          <w:sz w:val="36"/>
          <w:szCs w:val="24"/>
        </w:rPr>
        <w:t xml:space="preserve">tercer trimestre </w:t>
      </w:r>
      <w:r w:rsidR="00FB6DD5" w:rsidRPr="000A00D7">
        <w:rPr>
          <w:rFonts w:ascii="Times New Roman" w:hAnsi="Times New Roman" w:cs="Times New Roman"/>
          <w:b/>
          <w:sz w:val="36"/>
          <w:szCs w:val="24"/>
        </w:rPr>
        <w:t>2018</w:t>
      </w:r>
      <w:r w:rsidR="00F34171" w:rsidRPr="000A00D7">
        <w:rPr>
          <w:rFonts w:ascii="Times New Roman" w:hAnsi="Times New Roman" w:cs="Times New Roman"/>
          <w:b/>
          <w:sz w:val="36"/>
          <w:szCs w:val="24"/>
        </w:rPr>
        <w:t>.</w:t>
      </w: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Default="00FB2F17" w:rsidP="00565D2C">
      <w:pPr>
        <w:jc w:val="both"/>
        <w:rPr>
          <w:rFonts w:ascii="Times New Roman" w:hAnsi="Times New Roman" w:cs="Times New Roman"/>
          <w:b/>
          <w:sz w:val="24"/>
          <w:szCs w:val="24"/>
        </w:rPr>
      </w:pPr>
    </w:p>
    <w:p w:rsidR="0001555F" w:rsidRPr="00565D2C" w:rsidRDefault="0001555F"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sdt>
      <w:sdtPr>
        <w:rPr>
          <w:rFonts w:ascii="Times New Roman" w:eastAsiaTheme="minorEastAsia" w:hAnsi="Times New Roman" w:cs="Times New Roman"/>
          <w:color w:val="auto"/>
          <w:sz w:val="24"/>
          <w:szCs w:val="24"/>
          <w:lang w:val="es-ES"/>
        </w:rPr>
        <w:id w:val="220329640"/>
        <w:docPartObj>
          <w:docPartGallery w:val="Table of Contents"/>
          <w:docPartUnique/>
        </w:docPartObj>
      </w:sdtPr>
      <w:sdtEndPr>
        <w:rPr>
          <w:b/>
          <w:bCs/>
        </w:rPr>
      </w:sdtEndPr>
      <w:sdtContent>
        <w:p w:rsidR="00FB2F17" w:rsidRPr="00565D2C" w:rsidRDefault="00FB2F17" w:rsidP="00565D2C">
          <w:pPr>
            <w:pStyle w:val="TtuloTDC"/>
            <w:jc w:val="both"/>
            <w:rPr>
              <w:rFonts w:ascii="Times New Roman" w:hAnsi="Times New Roman" w:cs="Times New Roman"/>
              <w:sz w:val="24"/>
              <w:szCs w:val="24"/>
            </w:rPr>
          </w:pPr>
          <w:r w:rsidRPr="00565D2C">
            <w:rPr>
              <w:rFonts w:ascii="Times New Roman" w:hAnsi="Times New Roman" w:cs="Times New Roman"/>
              <w:sz w:val="24"/>
              <w:szCs w:val="24"/>
              <w:lang w:val="es-ES"/>
            </w:rPr>
            <w:t>Contenido</w:t>
          </w:r>
        </w:p>
        <w:p w:rsidR="003D73FA" w:rsidRDefault="00FB2F17">
          <w:pPr>
            <w:pStyle w:val="TDC1"/>
            <w:tabs>
              <w:tab w:val="left" w:pos="440"/>
              <w:tab w:val="right" w:leader="dot" w:pos="8828"/>
            </w:tabs>
            <w:rPr>
              <w:noProof/>
            </w:rPr>
          </w:pPr>
          <w:r w:rsidRPr="00565D2C">
            <w:rPr>
              <w:rFonts w:ascii="Times New Roman" w:hAnsi="Times New Roman" w:cs="Times New Roman"/>
              <w:sz w:val="24"/>
              <w:szCs w:val="24"/>
            </w:rPr>
            <w:fldChar w:fldCharType="begin"/>
          </w:r>
          <w:r w:rsidRPr="00565D2C">
            <w:rPr>
              <w:rFonts w:ascii="Times New Roman" w:hAnsi="Times New Roman" w:cs="Times New Roman"/>
              <w:sz w:val="24"/>
              <w:szCs w:val="24"/>
            </w:rPr>
            <w:instrText xml:space="preserve"> TOC \o "1-3" \h \z \u </w:instrText>
          </w:r>
          <w:r w:rsidRPr="00565D2C">
            <w:rPr>
              <w:rFonts w:ascii="Times New Roman" w:hAnsi="Times New Roman" w:cs="Times New Roman"/>
              <w:sz w:val="24"/>
              <w:szCs w:val="24"/>
            </w:rPr>
            <w:fldChar w:fldCharType="separate"/>
          </w:r>
          <w:hyperlink w:anchor="_Toc530046485" w:history="1">
            <w:r w:rsidR="003D73FA" w:rsidRPr="00B22D0D">
              <w:rPr>
                <w:rStyle w:val="Hipervnculo"/>
                <w:rFonts w:ascii="Times New Roman" w:hAnsi="Times New Roman" w:cs="Times New Roman"/>
                <w:noProof/>
              </w:rPr>
              <w:t>I.</w:t>
            </w:r>
            <w:r w:rsidR="003D73FA">
              <w:rPr>
                <w:noProof/>
              </w:rPr>
              <w:tab/>
            </w:r>
            <w:r w:rsidR="003D73FA" w:rsidRPr="00B22D0D">
              <w:rPr>
                <w:rStyle w:val="Hipervnculo"/>
                <w:rFonts w:ascii="Times New Roman" w:hAnsi="Times New Roman" w:cs="Times New Roman"/>
                <w:noProof/>
              </w:rPr>
              <w:t>Introducción.</w:t>
            </w:r>
            <w:r w:rsidR="003D73FA">
              <w:rPr>
                <w:noProof/>
                <w:webHidden/>
              </w:rPr>
              <w:tab/>
            </w:r>
            <w:r w:rsidR="003D73FA">
              <w:rPr>
                <w:noProof/>
                <w:webHidden/>
              </w:rPr>
              <w:fldChar w:fldCharType="begin"/>
            </w:r>
            <w:r w:rsidR="003D73FA">
              <w:rPr>
                <w:noProof/>
                <w:webHidden/>
              </w:rPr>
              <w:instrText xml:space="preserve"> PAGEREF _Toc530046485 \h </w:instrText>
            </w:r>
            <w:r w:rsidR="003D73FA">
              <w:rPr>
                <w:noProof/>
                <w:webHidden/>
              </w:rPr>
            </w:r>
            <w:r w:rsidR="003D73FA">
              <w:rPr>
                <w:noProof/>
                <w:webHidden/>
              </w:rPr>
              <w:fldChar w:fldCharType="separate"/>
            </w:r>
            <w:r w:rsidR="004D258E">
              <w:rPr>
                <w:noProof/>
                <w:webHidden/>
              </w:rPr>
              <w:t>3</w:t>
            </w:r>
            <w:r w:rsidR="003D73FA">
              <w:rPr>
                <w:noProof/>
                <w:webHidden/>
              </w:rPr>
              <w:fldChar w:fldCharType="end"/>
            </w:r>
          </w:hyperlink>
        </w:p>
        <w:p w:rsidR="003D73FA" w:rsidRDefault="004E1C60">
          <w:pPr>
            <w:pStyle w:val="TDC1"/>
            <w:tabs>
              <w:tab w:val="left" w:pos="440"/>
              <w:tab w:val="right" w:leader="dot" w:pos="8828"/>
            </w:tabs>
            <w:rPr>
              <w:noProof/>
            </w:rPr>
          </w:pPr>
          <w:hyperlink w:anchor="_Toc530046486" w:history="1">
            <w:r w:rsidR="003D73FA" w:rsidRPr="00B22D0D">
              <w:rPr>
                <w:rStyle w:val="Hipervnculo"/>
                <w:rFonts w:ascii="Times New Roman" w:hAnsi="Times New Roman" w:cs="Times New Roman"/>
                <w:noProof/>
              </w:rPr>
              <w:t>II.</w:t>
            </w:r>
            <w:r w:rsidR="003D73FA">
              <w:rPr>
                <w:noProof/>
              </w:rPr>
              <w:tab/>
            </w:r>
            <w:r w:rsidR="003D73FA" w:rsidRPr="00B22D0D">
              <w:rPr>
                <w:rStyle w:val="Hipervnculo"/>
                <w:rFonts w:ascii="Times New Roman" w:hAnsi="Times New Roman" w:cs="Times New Roman"/>
                <w:noProof/>
              </w:rPr>
              <w:t>Resultados de la evaluación de plan operativo por unidad</w:t>
            </w:r>
            <w:r w:rsidR="003D73FA">
              <w:rPr>
                <w:noProof/>
                <w:webHidden/>
              </w:rPr>
              <w:tab/>
            </w:r>
            <w:r w:rsidR="003D73FA">
              <w:rPr>
                <w:noProof/>
                <w:webHidden/>
              </w:rPr>
              <w:fldChar w:fldCharType="begin"/>
            </w:r>
            <w:r w:rsidR="003D73FA">
              <w:rPr>
                <w:noProof/>
                <w:webHidden/>
              </w:rPr>
              <w:instrText xml:space="preserve"> PAGEREF _Toc530046486 \h </w:instrText>
            </w:r>
            <w:r w:rsidR="003D73FA">
              <w:rPr>
                <w:noProof/>
                <w:webHidden/>
              </w:rPr>
            </w:r>
            <w:r w:rsidR="003D73FA">
              <w:rPr>
                <w:noProof/>
                <w:webHidden/>
              </w:rPr>
              <w:fldChar w:fldCharType="separate"/>
            </w:r>
            <w:r w:rsidR="004D258E">
              <w:rPr>
                <w:noProof/>
                <w:webHidden/>
              </w:rPr>
              <w:t>4</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87" w:history="1">
            <w:r w:rsidR="003D73FA" w:rsidRPr="00B22D0D">
              <w:rPr>
                <w:rStyle w:val="Hipervnculo"/>
                <w:rFonts w:ascii="Times New Roman" w:hAnsi="Times New Roman" w:cs="Times New Roman"/>
                <w:noProof/>
              </w:rPr>
              <w:t>1.</w:t>
            </w:r>
            <w:r w:rsidR="003D73FA">
              <w:rPr>
                <w:noProof/>
              </w:rPr>
              <w:tab/>
            </w:r>
            <w:r w:rsidR="003D73FA" w:rsidRPr="00B22D0D">
              <w:rPr>
                <w:rStyle w:val="Hipervnculo"/>
                <w:rFonts w:ascii="Times New Roman" w:hAnsi="Times New Roman" w:cs="Times New Roman"/>
                <w:noProof/>
              </w:rPr>
              <w:t>Intendencia de Abogacía de la Competencia (IAC)</w:t>
            </w:r>
            <w:r w:rsidR="003D73FA">
              <w:rPr>
                <w:noProof/>
                <w:webHidden/>
              </w:rPr>
              <w:tab/>
            </w:r>
            <w:r w:rsidR="003D73FA">
              <w:rPr>
                <w:noProof/>
                <w:webHidden/>
              </w:rPr>
              <w:fldChar w:fldCharType="begin"/>
            </w:r>
            <w:r w:rsidR="003D73FA">
              <w:rPr>
                <w:noProof/>
                <w:webHidden/>
              </w:rPr>
              <w:instrText xml:space="preserve"> PAGEREF _Toc530046487 \h </w:instrText>
            </w:r>
            <w:r w:rsidR="003D73FA">
              <w:rPr>
                <w:noProof/>
                <w:webHidden/>
              </w:rPr>
            </w:r>
            <w:r w:rsidR="003D73FA">
              <w:rPr>
                <w:noProof/>
                <w:webHidden/>
              </w:rPr>
              <w:fldChar w:fldCharType="separate"/>
            </w:r>
            <w:r w:rsidR="004D258E">
              <w:rPr>
                <w:noProof/>
                <w:webHidden/>
              </w:rPr>
              <w:t>4</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88" w:history="1">
            <w:r w:rsidR="003D73FA" w:rsidRPr="00B22D0D">
              <w:rPr>
                <w:rStyle w:val="Hipervnculo"/>
                <w:rFonts w:ascii="Times New Roman" w:hAnsi="Times New Roman" w:cs="Times New Roman"/>
                <w:noProof/>
              </w:rPr>
              <w:t>2.</w:t>
            </w:r>
            <w:r w:rsidR="003D73FA">
              <w:rPr>
                <w:noProof/>
              </w:rPr>
              <w:tab/>
            </w:r>
            <w:r w:rsidR="003D73FA" w:rsidRPr="00B22D0D">
              <w:rPr>
                <w:rStyle w:val="Hipervnculo"/>
                <w:rFonts w:ascii="Times New Roman" w:hAnsi="Times New Roman" w:cs="Times New Roman"/>
                <w:noProof/>
              </w:rPr>
              <w:t>Intendencia Económica (IE)</w:t>
            </w:r>
            <w:r w:rsidR="003D73FA">
              <w:rPr>
                <w:noProof/>
                <w:webHidden/>
              </w:rPr>
              <w:tab/>
            </w:r>
            <w:r w:rsidR="003D73FA">
              <w:rPr>
                <w:noProof/>
                <w:webHidden/>
              </w:rPr>
              <w:fldChar w:fldCharType="begin"/>
            </w:r>
            <w:r w:rsidR="003D73FA">
              <w:rPr>
                <w:noProof/>
                <w:webHidden/>
              </w:rPr>
              <w:instrText xml:space="preserve"> PAGEREF _Toc530046488 \h </w:instrText>
            </w:r>
            <w:r w:rsidR="003D73FA">
              <w:rPr>
                <w:noProof/>
                <w:webHidden/>
              </w:rPr>
            </w:r>
            <w:r w:rsidR="003D73FA">
              <w:rPr>
                <w:noProof/>
                <w:webHidden/>
              </w:rPr>
              <w:fldChar w:fldCharType="separate"/>
            </w:r>
            <w:r w:rsidR="004D258E">
              <w:rPr>
                <w:noProof/>
                <w:webHidden/>
              </w:rPr>
              <w:t>6</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89" w:history="1">
            <w:r w:rsidR="003D73FA" w:rsidRPr="00B22D0D">
              <w:rPr>
                <w:rStyle w:val="Hipervnculo"/>
                <w:rFonts w:ascii="Times New Roman" w:hAnsi="Times New Roman" w:cs="Times New Roman"/>
                <w:noProof/>
              </w:rPr>
              <w:t>3.</w:t>
            </w:r>
            <w:r w:rsidR="003D73FA">
              <w:rPr>
                <w:noProof/>
              </w:rPr>
              <w:tab/>
            </w:r>
            <w:r w:rsidR="003D73FA" w:rsidRPr="00B22D0D">
              <w:rPr>
                <w:rStyle w:val="Hipervnculo"/>
                <w:rFonts w:ascii="Times New Roman" w:hAnsi="Times New Roman" w:cs="Times New Roman"/>
                <w:noProof/>
              </w:rPr>
              <w:t>Intendencia de Investigaciones (II)</w:t>
            </w:r>
            <w:r w:rsidR="003D73FA">
              <w:rPr>
                <w:noProof/>
                <w:webHidden/>
              </w:rPr>
              <w:tab/>
            </w:r>
            <w:r w:rsidR="003D73FA">
              <w:rPr>
                <w:noProof/>
                <w:webHidden/>
              </w:rPr>
              <w:fldChar w:fldCharType="begin"/>
            </w:r>
            <w:r w:rsidR="003D73FA">
              <w:rPr>
                <w:noProof/>
                <w:webHidden/>
              </w:rPr>
              <w:instrText xml:space="preserve"> PAGEREF _Toc530046489 \h </w:instrText>
            </w:r>
            <w:r w:rsidR="003D73FA">
              <w:rPr>
                <w:noProof/>
                <w:webHidden/>
              </w:rPr>
            </w:r>
            <w:r w:rsidR="003D73FA">
              <w:rPr>
                <w:noProof/>
                <w:webHidden/>
              </w:rPr>
              <w:fldChar w:fldCharType="separate"/>
            </w:r>
            <w:r w:rsidR="004D258E">
              <w:rPr>
                <w:noProof/>
                <w:webHidden/>
              </w:rPr>
              <w:t>7</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0" w:history="1">
            <w:r w:rsidR="003D73FA" w:rsidRPr="00B22D0D">
              <w:rPr>
                <w:rStyle w:val="Hipervnculo"/>
                <w:rFonts w:ascii="Times New Roman" w:hAnsi="Times New Roman" w:cs="Times New Roman"/>
                <w:noProof/>
              </w:rPr>
              <w:t>4.</w:t>
            </w:r>
            <w:r w:rsidR="003D73FA">
              <w:rPr>
                <w:noProof/>
              </w:rPr>
              <w:tab/>
            </w:r>
            <w:r w:rsidR="003D73FA" w:rsidRPr="00B22D0D">
              <w:rPr>
                <w:rStyle w:val="Hipervnculo"/>
                <w:rFonts w:ascii="Times New Roman" w:hAnsi="Times New Roman" w:cs="Times New Roman"/>
                <w:noProof/>
              </w:rPr>
              <w:t>Unidad de Comunicaciones (UC)</w:t>
            </w:r>
            <w:r w:rsidR="003D73FA">
              <w:rPr>
                <w:noProof/>
                <w:webHidden/>
              </w:rPr>
              <w:tab/>
            </w:r>
            <w:r w:rsidR="003D73FA">
              <w:rPr>
                <w:noProof/>
                <w:webHidden/>
              </w:rPr>
              <w:fldChar w:fldCharType="begin"/>
            </w:r>
            <w:r w:rsidR="003D73FA">
              <w:rPr>
                <w:noProof/>
                <w:webHidden/>
              </w:rPr>
              <w:instrText xml:space="preserve"> PAGEREF _Toc530046490 \h </w:instrText>
            </w:r>
            <w:r w:rsidR="003D73FA">
              <w:rPr>
                <w:noProof/>
                <w:webHidden/>
              </w:rPr>
            </w:r>
            <w:r w:rsidR="003D73FA">
              <w:rPr>
                <w:noProof/>
                <w:webHidden/>
              </w:rPr>
              <w:fldChar w:fldCharType="separate"/>
            </w:r>
            <w:r w:rsidR="004D258E">
              <w:rPr>
                <w:noProof/>
                <w:webHidden/>
              </w:rPr>
              <w:t>8</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1" w:history="1">
            <w:r w:rsidR="003D73FA" w:rsidRPr="00B22D0D">
              <w:rPr>
                <w:rStyle w:val="Hipervnculo"/>
                <w:rFonts w:ascii="Times New Roman" w:hAnsi="Times New Roman" w:cs="Times New Roman"/>
                <w:noProof/>
              </w:rPr>
              <w:t>5.</w:t>
            </w:r>
            <w:r w:rsidR="003D73FA">
              <w:rPr>
                <w:noProof/>
              </w:rPr>
              <w:tab/>
            </w:r>
            <w:r w:rsidR="003D73FA" w:rsidRPr="00B22D0D">
              <w:rPr>
                <w:rStyle w:val="Hipervnculo"/>
                <w:rFonts w:ascii="Times New Roman" w:hAnsi="Times New Roman" w:cs="Times New Roman"/>
                <w:noProof/>
              </w:rPr>
              <w:t>Unidad de Informática (UI)</w:t>
            </w:r>
            <w:r w:rsidR="003D73FA">
              <w:rPr>
                <w:noProof/>
                <w:webHidden/>
              </w:rPr>
              <w:tab/>
            </w:r>
            <w:r w:rsidR="003D73FA">
              <w:rPr>
                <w:noProof/>
                <w:webHidden/>
              </w:rPr>
              <w:fldChar w:fldCharType="begin"/>
            </w:r>
            <w:r w:rsidR="003D73FA">
              <w:rPr>
                <w:noProof/>
                <w:webHidden/>
              </w:rPr>
              <w:instrText xml:space="preserve"> PAGEREF _Toc530046491 \h </w:instrText>
            </w:r>
            <w:r w:rsidR="003D73FA">
              <w:rPr>
                <w:noProof/>
                <w:webHidden/>
              </w:rPr>
            </w:r>
            <w:r w:rsidR="003D73FA">
              <w:rPr>
                <w:noProof/>
                <w:webHidden/>
              </w:rPr>
              <w:fldChar w:fldCharType="separate"/>
            </w:r>
            <w:r w:rsidR="004D258E">
              <w:rPr>
                <w:noProof/>
                <w:webHidden/>
              </w:rPr>
              <w:t>9</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2" w:history="1">
            <w:r w:rsidR="003D73FA" w:rsidRPr="00B22D0D">
              <w:rPr>
                <w:rStyle w:val="Hipervnculo"/>
                <w:rFonts w:ascii="Times New Roman" w:hAnsi="Times New Roman" w:cs="Times New Roman"/>
                <w:noProof/>
              </w:rPr>
              <w:t>6.</w:t>
            </w:r>
            <w:r w:rsidR="003D73FA">
              <w:rPr>
                <w:noProof/>
              </w:rPr>
              <w:tab/>
            </w:r>
            <w:r w:rsidR="003D73FA" w:rsidRPr="00B22D0D">
              <w:rPr>
                <w:rStyle w:val="Hipervnculo"/>
                <w:rFonts w:ascii="Times New Roman" w:hAnsi="Times New Roman" w:cs="Times New Roman"/>
                <w:noProof/>
              </w:rPr>
              <w:t>Unidad de Administración y Recursos Humanos</w:t>
            </w:r>
            <w:r w:rsidR="003D73FA">
              <w:rPr>
                <w:noProof/>
                <w:webHidden/>
              </w:rPr>
              <w:tab/>
            </w:r>
            <w:r w:rsidR="003D73FA">
              <w:rPr>
                <w:noProof/>
                <w:webHidden/>
              </w:rPr>
              <w:fldChar w:fldCharType="begin"/>
            </w:r>
            <w:r w:rsidR="003D73FA">
              <w:rPr>
                <w:noProof/>
                <w:webHidden/>
              </w:rPr>
              <w:instrText xml:space="preserve"> PAGEREF _Toc530046492 \h </w:instrText>
            </w:r>
            <w:r w:rsidR="003D73FA">
              <w:rPr>
                <w:noProof/>
                <w:webHidden/>
              </w:rPr>
            </w:r>
            <w:r w:rsidR="003D73FA">
              <w:rPr>
                <w:noProof/>
                <w:webHidden/>
              </w:rPr>
              <w:fldChar w:fldCharType="separate"/>
            </w:r>
            <w:r w:rsidR="004D258E">
              <w:rPr>
                <w:noProof/>
                <w:webHidden/>
              </w:rPr>
              <w:t>12</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3" w:history="1">
            <w:r w:rsidR="003D73FA" w:rsidRPr="00B22D0D">
              <w:rPr>
                <w:rStyle w:val="Hipervnculo"/>
                <w:rFonts w:ascii="Times New Roman" w:hAnsi="Times New Roman" w:cs="Times New Roman"/>
                <w:noProof/>
              </w:rPr>
              <w:t>7.</w:t>
            </w:r>
            <w:r w:rsidR="003D73FA">
              <w:rPr>
                <w:noProof/>
              </w:rPr>
              <w:tab/>
            </w:r>
            <w:r w:rsidR="003D73FA" w:rsidRPr="00B22D0D">
              <w:rPr>
                <w:rStyle w:val="Hipervnculo"/>
                <w:rFonts w:ascii="Times New Roman" w:hAnsi="Times New Roman" w:cs="Times New Roman"/>
                <w:noProof/>
              </w:rPr>
              <w:t>Unidad de Adquisiciones y contrataciones</w:t>
            </w:r>
            <w:r w:rsidR="003D73FA">
              <w:rPr>
                <w:noProof/>
                <w:webHidden/>
              </w:rPr>
              <w:tab/>
            </w:r>
            <w:r w:rsidR="003D73FA">
              <w:rPr>
                <w:noProof/>
                <w:webHidden/>
              </w:rPr>
              <w:fldChar w:fldCharType="begin"/>
            </w:r>
            <w:r w:rsidR="003D73FA">
              <w:rPr>
                <w:noProof/>
                <w:webHidden/>
              </w:rPr>
              <w:instrText xml:space="preserve"> PAGEREF _Toc530046493 \h </w:instrText>
            </w:r>
            <w:r w:rsidR="003D73FA">
              <w:rPr>
                <w:noProof/>
                <w:webHidden/>
              </w:rPr>
            </w:r>
            <w:r w:rsidR="003D73FA">
              <w:rPr>
                <w:noProof/>
                <w:webHidden/>
              </w:rPr>
              <w:fldChar w:fldCharType="separate"/>
            </w:r>
            <w:r w:rsidR="004D258E">
              <w:rPr>
                <w:noProof/>
                <w:webHidden/>
              </w:rPr>
              <w:t>12</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4" w:history="1">
            <w:r w:rsidR="003D73FA" w:rsidRPr="00B22D0D">
              <w:rPr>
                <w:rStyle w:val="Hipervnculo"/>
                <w:rFonts w:ascii="Times New Roman" w:hAnsi="Times New Roman" w:cs="Times New Roman"/>
                <w:noProof/>
              </w:rPr>
              <w:t>3)</w:t>
            </w:r>
            <w:r w:rsidR="003D73FA">
              <w:rPr>
                <w:noProof/>
              </w:rPr>
              <w:tab/>
            </w:r>
            <w:r w:rsidR="003D73FA" w:rsidRPr="00B22D0D">
              <w:rPr>
                <w:rStyle w:val="Hipervnculo"/>
                <w:rFonts w:ascii="Times New Roman" w:hAnsi="Times New Roman" w:cs="Times New Roman"/>
                <w:noProof/>
              </w:rPr>
              <w:t>Unidad de Auditoría Interna</w:t>
            </w:r>
            <w:r w:rsidR="003D73FA">
              <w:rPr>
                <w:noProof/>
                <w:webHidden/>
              </w:rPr>
              <w:tab/>
            </w:r>
            <w:r w:rsidR="003D73FA">
              <w:rPr>
                <w:noProof/>
                <w:webHidden/>
              </w:rPr>
              <w:fldChar w:fldCharType="begin"/>
            </w:r>
            <w:r w:rsidR="003D73FA">
              <w:rPr>
                <w:noProof/>
                <w:webHidden/>
              </w:rPr>
              <w:instrText xml:space="preserve"> PAGEREF _Toc530046494 \h </w:instrText>
            </w:r>
            <w:r w:rsidR="003D73FA">
              <w:rPr>
                <w:noProof/>
                <w:webHidden/>
              </w:rPr>
            </w:r>
            <w:r w:rsidR="003D73FA">
              <w:rPr>
                <w:noProof/>
                <w:webHidden/>
              </w:rPr>
              <w:fldChar w:fldCharType="separate"/>
            </w:r>
            <w:r w:rsidR="004D258E">
              <w:rPr>
                <w:noProof/>
                <w:webHidden/>
              </w:rPr>
              <w:t>13</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5" w:history="1">
            <w:r w:rsidR="003D73FA" w:rsidRPr="00B22D0D">
              <w:rPr>
                <w:rStyle w:val="Hipervnculo"/>
                <w:rFonts w:ascii="Times New Roman" w:hAnsi="Times New Roman" w:cs="Times New Roman"/>
                <w:noProof/>
              </w:rPr>
              <w:t>4)</w:t>
            </w:r>
            <w:r w:rsidR="003D73FA">
              <w:rPr>
                <w:noProof/>
              </w:rPr>
              <w:tab/>
            </w:r>
            <w:r w:rsidR="003D73FA" w:rsidRPr="00B22D0D">
              <w:rPr>
                <w:rStyle w:val="Hipervnculo"/>
                <w:rFonts w:ascii="Times New Roman" w:hAnsi="Times New Roman" w:cs="Times New Roman"/>
                <w:noProof/>
              </w:rPr>
              <w:t>Unidad Financiera Institucional</w:t>
            </w:r>
            <w:r w:rsidR="003D73FA">
              <w:rPr>
                <w:noProof/>
                <w:webHidden/>
              </w:rPr>
              <w:tab/>
            </w:r>
            <w:r w:rsidR="003D73FA">
              <w:rPr>
                <w:noProof/>
                <w:webHidden/>
              </w:rPr>
              <w:fldChar w:fldCharType="begin"/>
            </w:r>
            <w:r w:rsidR="003D73FA">
              <w:rPr>
                <w:noProof/>
                <w:webHidden/>
              </w:rPr>
              <w:instrText xml:space="preserve"> PAGEREF _Toc530046495 \h </w:instrText>
            </w:r>
            <w:r w:rsidR="003D73FA">
              <w:rPr>
                <w:noProof/>
                <w:webHidden/>
              </w:rPr>
            </w:r>
            <w:r w:rsidR="003D73FA">
              <w:rPr>
                <w:noProof/>
                <w:webHidden/>
              </w:rPr>
              <w:fldChar w:fldCharType="separate"/>
            </w:r>
            <w:r w:rsidR="004D258E">
              <w:rPr>
                <w:noProof/>
                <w:webHidden/>
              </w:rPr>
              <w:t>13</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6" w:history="1">
            <w:r w:rsidR="003D73FA" w:rsidRPr="00B22D0D">
              <w:rPr>
                <w:rStyle w:val="Hipervnculo"/>
                <w:rFonts w:ascii="Times New Roman" w:hAnsi="Times New Roman" w:cs="Times New Roman"/>
                <w:noProof/>
              </w:rPr>
              <w:t>5)</w:t>
            </w:r>
            <w:r w:rsidR="003D73FA">
              <w:rPr>
                <w:noProof/>
              </w:rPr>
              <w:tab/>
            </w:r>
            <w:r w:rsidR="003D73FA" w:rsidRPr="00B22D0D">
              <w:rPr>
                <w:rStyle w:val="Hipervnculo"/>
                <w:rFonts w:ascii="Times New Roman" w:hAnsi="Times New Roman" w:cs="Times New Roman"/>
                <w:noProof/>
              </w:rPr>
              <w:t>Secretaría General</w:t>
            </w:r>
            <w:r w:rsidR="003D73FA">
              <w:rPr>
                <w:noProof/>
                <w:webHidden/>
              </w:rPr>
              <w:tab/>
            </w:r>
            <w:r w:rsidR="003D73FA">
              <w:rPr>
                <w:noProof/>
                <w:webHidden/>
              </w:rPr>
              <w:fldChar w:fldCharType="begin"/>
            </w:r>
            <w:r w:rsidR="003D73FA">
              <w:rPr>
                <w:noProof/>
                <w:webHidden/>
              </w:rPr>
              <w:instrText xml:space="preserve"> PAGEREF _Toc530046496 \h </w:instrText>
            </w:r>
            <w:r w:rsidR="003D73FA">
              <w:rPr>
                <w:noProof/>
                <w:webHidden/>
              </w:rPr>
            </w:r>
            <w:r w:rsidR="003D73FA">
              <w:rPr>
                <w:noProof/>
                <w:webHidden/>
              </w:rPr>
              <w:fldChar w:fldCharType="separate"/>
            </w:r>
            <w:r w:rsidR="004D258E">
              <w:rPr>
                <w:noProof/>
                <w:webHidden/>
              </w:rPr>
              <w:t>14</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7" w:history="1">
            <w:r w:rsidR="003D73FA" w:rsidRPr="00B22D0D">
              <w:rPr>
                <w:rStyle w:val="Hipervnculo"/>
                <w:rFonts w:ascii="Times New Roman" w:hAnsi="Times New Roman" w:cs="Times New Roman"/>
                <w:noProof/>
              </w:rPr>
              <w:t>6)</w:t>
            </w:r>
            <w:r w:rsidR="003D73FA">
              <w:rPr>
                <w:noProof/>
              </w:rPr>
              <w:tab/>
            </w:r>
            <w:r w:rsidR="003D73FA" w:rsidRPr="00B22D0D">
              <w:rPr>
                <w:rStyle w:val="Hipervnculo"/>
                <w:rFonts w:ascii="Times New Roman" w:hAnsi="Times New Roman" w:cs="Times New Roman"/>
                <w:noProof/>
              </w:rPr>
              <w:t>Unidad de Planificación</w:t>
            </w:r>
            <w:r w:rsidR="003D73FA">
              <w:rPr>
                <w:noProof/>
                <w:webHidden/>
              </w:rPr>
              <w:tab/>
            </w:r>
            <w:r w:rsidR="003D73FA">
              <w:rPr>
                <w:noProof/>
                <w:webHidden/>
              </w:rPr>
              <w:fldChar w:fldCharType="begin"/>
            </w:r>
            <w:r w:rsidR="003D73FA">
              <w:rPr>
                <w:noProof/>
                <w:webHidden/>
              </w:rPr>
              <w:instrText xml:space="preserve"> PAGEREF _Toc530046497 \h </w:instrText>
            </w:r>
            <w:r w:rsidR="003D73FA">
              <w:rPr>
                <w:noProof/>
                <w:webHidden/>
              </w:rPr>
            </w:r>
            <w:r w:rsidR="003D73FA">
              <w:rPr>
                <w:noProof/>
                <w:webHidden/>
              </w:rPr>
              <w:fldChar w:fldCharType="separate"/>
            </w:r>
            <w:r w:rsidR="004D258E">
              <w:rPr>
                <w:noProof/>
                <w:webHidden/>
              </w:rPr>
              <w:t>15</w:t>
            </w:r>
            <w:r w:rsidR="003D73FA">
              <w:rPr>
                <w:noProof/>
                <w:webHidden/>
              </w:rPr>
              <w:fldChar w:fldCharType="end"/>
            </w:r>
          </w:hyperlink>
        </w:p>
        <w:p w:rsidR="003D73FA" w:rsidRDefault="004E1C60">
          <w:pPr>
            <w:pStyle w:val="TDC2"/>
            <w:tabs>
              <w:tab w:val="left" w:pos="660"/>
              <w:tab w:val="right" w:leader="dot" w:pos="8828"/>
            </w:tabs>
            <w:rPr>
              <w:noProof/>
            </w:rPr>
          </w:pPr>
          <w:hyperlink w:anchor="_Toc530046498" w:history="1">
            <w:r w:rsidR="003D73FA" w:rsidRPr="00B22D0D">
              <w:rPr>
                <w:rStyle w:val="Hipervnculo"/>
                <w:rFonts w:ascii="Times New Roman" w:hAnsi="Times New Roman" w:cs="Times New Roman"/>
                <w:noProof/>
              </w:rPr>
              <w:t>7)</w:t>
            </w:r>
            <w:r w:rsidR="003D73FA">
              <w:rPr>
                <w:noProof/>
              </w:rPr>
              <w:tab/>
            </w:r>
            <w:r w:rsidR="003D73FA" w:rsidRPr="00B22D0D">
              <w:rPr>
                <w:rStyle w:val="Hipervnculo"/>
                <w:rFonts w:ascii="Times New Roman" w:hAnsi="Times New Roman" w:cs="Times New Roman"/>
                <w:noProof/>
              </w:rPr>
              <w:t>Unidad de Acceso a la Información Pública</w:t>
            </w:r>
            <w:r w:rsidR="003D73FA">
              <w:rPr>
                <w:noProof/>
                <w:webHidden/>
              </w:rPr>
              <w:tab/>
            </w:r>
            <w:r w:rsidR="003D73FA">
              <w:rPr>
                <w:noProof/>
                <w:webHidden/>
              </w:rPr>
              <w:fldChar w:fldCharType="begin"/>
            </w:r>
            <w:r w:rsidR="003D73FA">
              <w:rPr>
                <w:noProof/>
                <w:webHidden/>
              </w:rPr>
              <w:instrText xml:space="preserve"> PAGEREF _Toc530046498 \h </w:instrText>
            </w:r>
            <w:r w:rsidR="003D73FA">
              <w:rPr>
                <w:noProof/>
                <w:webHidden/>
              </w:rPr>
            </w:r>
            <w:r w:rsidR="003D73FA">
              <w:rPr>
                <w:noProof/>
                <w:webHidden/>
              </w:rPr>
              <w:fldChar w:fldCharType="separate"/>
            </w:r>
            <w:r w:rsidR="004D258E">
              <w:rPr>
                <w:noProof/>
                <w:webHidden/>
              </w:rPr>
              <w:t>15</w:t>
            </w:r>
            <w:r w:rsidR="003D73FA">
              <w:rPr>
                <w:noProof/>
                <w:webHidden/>
              </w:rPr>
              <w:fldChar w:fldCharType="end"/>
            </w:r>
          </w:hyperlink>
        </w:p>
        <w:p w:rsidR="003D73FA" w:rsidRDefault="004E1C60">
          <w:pPr>
            <w:pStyle w:val="TDC1"/>
            <w:tabs>
              <w:tab w:val="left" w:pos="660"/>
              <w:tab w:val="right" w:leader="dot" w:pos="8828"/>
            </w:tabs>
            <w:rPr>
              <w:noProof/>
            </w:rPr>
          </w:pPr>
          <w:hyperlink w:anchor="_Toc530046499" w:history="1">
            <w:r w:rsidR="003D73FA" w:rsidRPr="00B22D0D">
              <w:rPr>
                <w:rStyle w:val="Hipervnculo"/>
                <w:rFonts w:ascii="Times New Roman" w:hAnsi="Times New Roman" w:cs="Times New Roman"/>
                <w:noProof/>
              </w:rPr>
              <w:t>III.</w:t>
            </w:r>
            <w:r w:rsidR="003D73FA">
              <w:rPr>
                <w:noProof/>
              </w:rPr>
              <w:tab/>
            </w:r>
            <w:r w:rsidR="003D73FA" w:rsidRPr="00B22D0D">
              <w:rPr>
                <w:rStyle w:val="Hipervnculo"/>
                <w:rFonts w:ascii="Times New Roman" w:hAnsi="Times New Roman" w:cs="Times New Roman"/>
                <w:noProof/>
              </w:rPr>
              <w:t>Consolidado de la evaluación de POA institucional</w:t>
            </w:r>
            <w:r w:rsidR="003D73FA">
              <w:rPr>
                <w:noProof/>
                <w:webHidden/>
              </w:rPr>
              <w:tab/>
            </w:r>
            <w:r w:rsidR="003D73FA">
              <w:rPr>
                <w:noProof/>
                <w:webHidden/>
              </w:rPr>
              <w:fldChar w:fldCharType="begin"/>
            </w:r>
            <w:r w:rsidR="003D73FA">
              <w:rPr>
                <w:noProof/>
                <w:webHidden/>
              </w:rPr>
              <w:instrText xml:space="preserve"> PAGEREF _Toc530046499 \h </w:instrText>
            </w:r>
            <w:r w:rsidR="003D73FA">
              <w:rPr>
                <w:noProof/>
                <w:webHidden/>
              </w:rPr>
            </w:r>
            <w:r w:rsidR="003D73FA">
              <w:rPr>
                <w:noProof/>
                <w:webHidden/>
              </w:rPr>
              <w:fldChar w:fldCharType="separate"/>
            </w:r>
            <w:r w:rsidR="004D258E">
              <w:rPr>
                <w:noProof/>
                <w:webHidden/>
              </w:rPr>
              <w:t>16</w:t>
            </w:r>
            <w:r w:rsidR="003D73FA">
              <w:rPr>
                <w:noProof/>
                <w:webHidden/>
              </w:rPr>
              <w:fldChar w:fldCharType="end"/>
            </w:r>
          </w:hyperlink>
        </w:p>
        <w:p w:rsidR="00FB2F17" w:rsidRPr="00565D2C" w:rsidRDefault="00FB2F17" w:rsidP="00565D2C">
          <w:pPr>
            <w:jc w:val="both"/>
            <w:rPr>
              <w:rFonts w:ascii="Times New Roman" w:hAnsi="Times New Roman" w:cs="Times New Roman"/>
              <w:sz w:val="24"/>
              <w:szCs w:val="24"/>
            </w:rPr>
          </w:pPr>
          <w:r w:rsidRPr="00565D2C">
            <w:rPr>
              <w:rFonts w:ascii="Times New Roman" w:hAnsi="Times New Roman" w:cs="Times New Roman"/>
              <w:b/>
              <w:bCs/>
              <w:sz w:val="24"/>
              <w:szCs w:val="24"/>
              <w:lang w:val="es-ES"/>
            </w:rPr>
            <w:fldChar w:fldCharType="end"/>
          </w:r>
        </w:p>
      </w:sdtContent>
    </w:sdt>
    <w:p w:rsidR="0074366F" w:rsidRPr="00565D2C" w:rsidRDefault="00856091"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bCs/>
          <w:sz w:val="24"/>
          <w:szCs w:val="24"/>
        </w:rPr>
        <w:br w:type="page"/>
      </w:r>
    </w:p>
    <w:p w:rsidR="00BE5AAE" w:rsidRPr="00565D2C" w:rsidRDefault="00566F00" w:rsidP="00565D2C">
      <w:pPr>
        <w:pStyle w:val="Ttulo1"/>
        <w:numPr>
          <w:ilvl w:val="0"/>
          <w:numId w:val="11"/>
        </w:numPr>
        <w:rPr>
          <w:rFonts w:ascii="Times New Roman" w:hAnsi="Times New Roman" w:cs="Times New Roman"/>
          <w:sz w:val="24"/>
        </w:rPr>
      </w:pPr>
      <w:bookmarkStart w:id="0" w:name="_Toc530046485"/>
      <w:r w:rsidRPr="00565D2C">
        <w:rPr>
          <w:rFonts w:ascii="Times New Roman" w:hAnsi="Times New Roman" w:cs="Times New Roman"/>
          <w:sz w:val="24"/>
        </w:rPr>
        <w:t>Int</w:t>
      </w:r>
      <w:r w:rsidR="006A3B6A" w:rsidRPr="00565D2C">
        <w:rPr>
          <w:rFonts w:ascii="Times New Roman" w:hAnsi="Times New Roman" w:cs="Times New Roman"/>
          <w:sz w:val="24"/>
        </w:rPr>
        <w:t>roducción.</w:t>
      </w:r>
      <w:bookmarkEnd w:id="0"/>
    </w:p>
    <w:p w:rsidR="006A3B6A" w:rsidRPr="00565D2C" w:rsidRDefault="006A3B6A" w:rsidP="00565D2C">
      <w:pPr>
        <w:spacing w:after="0" w:line="240" w:lineRule="auto"/>
        <w:jc w:val="both"/>
        <w:rPr>
          <w:rFonts w:ascii="Times New Roman" w:hAnsi="Times New Roman" w:cs="Times New Roman"/>
          <w:b/>
          <w:sz w:val="24"/>
          <w:szCs w:val="24"/>
        </w:rPr>
      </w:pPr>
    </w:p>
    <w:p w:rsidR="00AB09F7" w:rsidRPr="00565D2C" w:rsidRDefault="00B87E38"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w:t>
      </w:r>
      <w:r w:rsidR="00AB09F7" w:rsidRPr="00565D2C">
        <w:rPr>
          <w:rFonts w:ascii="Times New Roman" w:hAnsi="Times New Roman" w:cs="Times New Roman"/>
          <w:sz w:val="24"/>
          <w:szCs w:val="24"/>
        </w:rPr>
        <w:t xml:space="preserve">n cumplimiento de la función de monitorear, dar seguimiento y evaluar sus actuaciones, la Superintendencia de Competencia (SC) presenta el siguiente </w:t>
      </w:r>
      <w:r w:rsidRPr="00565D2C">
        <w:rPr>
          <w:rFonts w:ascii="Times New Roman" w:hAnsi="Times New Roman" w:cs="Times New Roman"/>
          <w:sz w:val="24"/>
          <w:szCs w:val="24"/>
        </w:rPr>
        <w:t>documento</w:t>
      </w:r>
      <w:r w:rsidR="00AB09F7"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r w:rsidR="00AB09F7" w:rsidRPr="00565D2C">
        <w:rPr>
          <w:rFonts w:ascii="Times New Roman" w:hAnsi="Times New Roman" w:cs="Times New Roman"/>
          <w:sz w:val="24"/>
          <w:szCs w:val="24"/>
        </w:rPr>
        <w:t xml:space="preserve">que </w:t>
      </w:r>
      <w:r w:rsidRPr="00565D2C">
        <w:rPr>
          <w:rFonts w:ascii="Times New Roman" w:hAnsi="Times New Roman" w:cs="Times New Roman"/>
          <w:sz w:val="24"/>
          <w:szCs w:val="24"/>
        </w:rPr>
        <w:t xml:space="preserve">contiene los resultados obtenidos </w:t>
      </w:r>
      <w:r w:rsidR="00AB09F7" w:rsidRPr="00565D2C">
        <w:rPr>
          <w:rFonts w:ascii="Times New Roman" w:hAnsi="Times New Roman" w:cs="Times New Roman"/>
          <w:sz w:val="24"/>
          <w:szCs w:val="24"/>
        </w:rPr>
        <w:t xml:space="preserve">en la evaluación del cumplimiento </w:t>
      </w:r>
      <w:r w:rsidRPr="00565D2C">
        <w:rPr>
          <w:rFonts w:ascii="Times New Roman" w:hAnsi="Times New Roman" w:cs="Times New Roman"/>
          <w:sz w:val="24"/>
          <w:szCs w:val="24"/>
        </w:rPr>
        <w:t xml:space="preserve">del </w:t>
      </w:r>
      <w:r w:rsidR="008800D7" w:rsidRPr="00565D2C">
        <w:rPr>
          <w:rFonts w:ascii="Times New Roman" w:hAnsi="Times New Roman" w:cs="Times New Roman"/>
          <w:sz w:val="24"/>
          <w:szCs w:val="24"/>
        </w:rPr>
        <w:t>plan estratégico</w:t>
      </w:r>
      <w:r w:rsidR="00D0395C" w:rsidRPr="00565D2C">
        <w:rPr>
          <w:rFonts w:ascii="Times New Roman" w:hAnsi="Times New Roman" w:cs="Times New Roman"/>
          <w:sz w:val="24"/>
          <w:szCs w:val="24"/>
        </w:rPr>
        <w:t xml:space="preserve"> institucional (PEI)</w:t>
      </w:r>
      <w:r w:rsidR="008800D7" w:rsidRPr="00565D2C">
        <w:rPr>
          <w:rFonts w:ascii="Times New Roman" w:hAnsi="Times New Roman" w:cs="Times New Roman"/>
          <w:sz w:val="24"/>
          <w:szCs w:val="24"/>
        </w:rPr>
        <w:t xml:space="preserve">, del </w:t>
      </w:r>
      <w:r w:rsidR="00EE56BA" w:rsidRPr="00565D2C">
        <w:rPr>
          <w:rFonts w:ascii="Times New Roman" w:hAnsi="Times New Roman" w:cs="Times New Roman"/>
          <w:sz w:val="24"/>
          <w:szCs w:val="24"/>
        </w:rPr>
        <w:t>p</w:t>
      </w:r>
      <w:r w:rsidRPr="00565D2C">
        <w:rPr>
          <w:rFonts w:ascii="Times New Roman" w:hAnsi="Times New Roman" w:cs="Times New Roman"/>
          <w:sz w:val="24"/>
          <w:szCs w:val="24"/>
        </w:rPr>
        <w:t xml:space="preserve">lan </w:t>
      </w:r>
      <w:r w:rsidR="00EE56BA" w:rsidRPr="00565D2C">
        <w:rPr>
          <w:rFonts w:ascii="Times New Roman" w:hAnsi="Times New Roman" w:cs="Times New Roman"/>
          <w:sz w:val="24"/>
          <w:szCs w:val="24"/>
        </w:rPr>
        <w:t>o</w:t>
      </w:r>
      <w:r w:rsidRPr="00565D2C">
        <w:rPr>
          <w:rFonts w:ascii="Times New Roman" w:hAnsi="Times New Roman" w:cs="Times New Roman"/>
          <w:sz w:val="24"/>
          <w:szCs w:val="24"/>
        </w:rPr>
        <w:t>perativo</w:t>
      </w:r>
      <w:r w:rsidR="00D0395C" w:rsidRPr="00565D2C">
        <w:rPr>
          <w:rFonts w:ascii="Times New Roman" w:hAnsi="Times New Roman" w:cs="Times New Roman"/>
          <w:sz w:val="24"/>
          <w:szCs w:val="24"/>
        </w:rPr>
        <w:t xml:space="preserve"> anual (POA)</w:t>
      </w:r>
      <w:r w:rsidRPr="00565D2C">
        <w:rPr>
          <w:rFonts w:ascii="Times New Roman" w:hAnsi="Times New Roman" w:cs="Times New Roman"/>
          <w:sz w:val="24"/>
          <w:szCs w:val="24"/>
        </w:rPr>
        <w:t xml:space="preserve"> </w:t>
      </w:r>
      <w:r w:rsidR="008800D7" w:rsidRPr="00565D2C">
        <w:rPr>
          <w:rFonts w:ascii="Times New Roman" w:hAnsi="Times New Roman" w:cs="Times New Roman"/>
          <w:sz w:val="24"/>
          <w:szCs w:val="24"/>
        </w:rPr>
        <w:t xml:space="preserve">y de la matriz de riesgos </w:t>
      </w:r>
      <w:r w:rsidR="00414DD1" w:rsidRPr="00565D2C">
        <w:rPr>
          <w:rFonts w:ascii="Times New Roman" w:hAnsi="Times New Roman" w:cs="Times New Roman"/>
          <w:sz w:val="24"/>
          <w:szCs w:val="24"/>
        </w:rPr>
        <w:t xml:space="preserve">de la institución </w:t>
      </w:r>
      <w:r w:rsidR="00AB09F7" w:rsidRPr="00565D2C">
        <w:rPr>
          <w:rFonts w:ascii="Times New Roman" w:hAnsi="Times New Roman" w:cs="Times New Roman"/>
          <w:sz w:val="24"/>
          <w:szCs w:val="24"/>
        </w:rPr>
        <w:t xml:space="preserve">durante el </w:t>
      </w:r>
      <w:r w:rsidR="004D258E">
        <w:rPr>
          <w:rFonts w:ascii="Times New Roman" w:hAnsi="Times New Roman" w:cs="Times New Roman"/>
          <w:sz w:val="24"/>
          <w:szCs w:val="24"/>
        </w:rPr>
        <w:t>tercer trimestre</w:t>
      </w:r>
      <w:r w:rsidR="00FB6DD5" w:rsidRPr="00565D2C">
        <w:rPr>
          <w:rFonts w:ascii="Times New Roman" w:hAnsi="Times New Roman" w:cs="Times New Roman"/>
          <w:sz w:val="24"/>
          <w:szCs w:val="24"/>
        </w:rPr>
        <w:t xml:space="preserve"> 2018</w:t>
      </w:r>
      <w:r w:rsidR="00AB09F7" w:rsidRPr="00565D2C">
        <w:rPr>
          <w:rFonts w:ascii="Times New Roman" w:hAnsi="Times New Roman" w:cs="Times New Roman"/>
          <w:sz w:val="24"/>
          <w:szCs w:val="24"/>
        </w:rPr>
        <w:t>.</w:t>
      </w:r>
    </w:p>
    <w:p w:rsidR="00AB09F7" w:rsidRPr="00565D2C" w:rsidRDefault="00AB09F7" w:rsidP="00565D2C">
      <w:pPr>
        <w:autoSpaceDE w:val="0"/>
        <w:autoSpaceDN w:val="0"/>
        <w:adjustRightInd w:val="0"/>
        <w:spacing w:after="0" w:line="240" w:lineRule="auto"/>
        <w:jc w:val="both"/>
        <w:rPr>
          <w:rFonts w:ascii="Times New Roman" w:hAnsi="Times New Roman" w:cs="Times New Roman"/>
          <w:sz w:val="24"/>
          <w:szCs w:val="24"/>
        </w:rPr>
      </w:pPr>
    </w:p>
    <w:p w:rsidR="009B47B0" w:rsidRPr="00565D2C" w:rsidRDefault="00EE56BA"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El plan de</w:t>
      </w:r>
      <w:r w:rsidR="00BD73C3" w:rsidRPr="00565D2C">
        <w:rPr>
          <w:rFonts w:ascii="Times New Roman" w:hAnsi="Times New Roman" w:cs="Times New Roman"/>
          <w:sz w:val="24"/>
          <w:szCs w:val="24"/>
        </w:rPr>
        <w:t xml:space="preserve"> trabajo de</w:t>
      </w:r>
      <w:r w:rsidRPr="00565D2C">
        <w:rPr>
          <w:rFonts w:ascii="Times New Roman" w:hAnsi="Times New Roman" w:cs="Times New Roman"/>
          <w:sz w:val="24"/>
          <w:szCs w:val="24"/>
        </w:rPr>
        <w:t xml:space="preserve"> la SC define objetivos est</w:t>
      </w:r>
      <w:r w:rsidR="009B47B0" w:rsidRPr="00565D2C">
        <w:rPr>
          <w:rFonts w:ascii="Times New Roman" w:hAnsi="Times New Roman" w:cs="Times New Roman"/>
          <w:sz w:val="24"/>
          <w:szCs w:val="24"/>
        </w:rPr>
        <w:t>r</w:t>
      </w:r>
      <w:r w:rsidRPr="00565D2C">
        <w:rPr>
          <w:rFonts w:ascii="Times New Roman" w:hAnsi="Times New Roman" w:cs="Times New Roman"/>
          <w:sz w:val="24"/>
          <w:szCs w:val="24"/>
        </w:rPr>
        <w:t>atégicos</w:t>
      </w:r>
      <w:r w:rsidR="009B47B0" w:rsidRPr="00565D2C">
        <w:rPr>
          <w:rFonts w:ascii="Times New Roman" w:hAnsi="Times New Roman" w:cs="Times New Roman"/>
          <w:sz w:val="24"/>
          <w:szCs w:val="24"/>
        </w:rPr>
        <w:t xml:space="preserve">, </w:t>
      </w:r>
      <w:r w:rsidR="008800D7" w:rsidRPr="00565D2C">
        <w:rPr>
          <w:rFonts w:ascii="Times New Roman" w:hAnsi="Times New Roman" w:cs="Times New Roman"/>
          <w:sz w:val="24"/>
          <w:szCs w:val="24"/>
        </w:rPr>
        <w:t xml:space="preserve">resultados por objetivos, </w:t>
      </w:r>
      <w:r w:rsidR="009B47B0" w:rsidRPr="00565D2C">
        <w:rPr>
          <w:rFonts w:ascii="Times New Roman" w:hAnsi="Times New Roman" w:cs="Times New Roman"/>
          <w:sz w:val="24"/>
          <w:szCs w:val="24"/>
        </w:rPr>
        <w:t>acciones estratégicas</w:t>
      </w:r>
      <w:r w:rsidR="008800D7" w:rsidRPr="00565D2C">
        <w:rPr>
          <w:rFonts w:ascii="Times New Roman" w:hAnsi="Times New Roman" w:cs="Times New Roman"/>
          <w:sz w:val="24"/>
          <w:szCs w:val="24"/>
        </w:rPr>
        <w:t xml:space="preserve"> y acti</w:t>
      </w:r>
      <w:r w:rsidR="009B47B0" w:rsidRPr="00565D2C">
        <w:rPr>
          <w:rFonts w:ascii="Times New Roman" w:hAnsi="Times New Roman" w:cs="Times New Roman"/>
          <w:sz w:val="24"/>
          <w:szCs w:val="24"/>
        </w:rPr>
        <w:t>vidades</w:t>
      </w:r>
      <w:r w:rsidR="00BD73C3" w:rsidRPr="00565D2C">
        <w:rPr>
          <w:rFonts w:ascii="Times New Roman" w:hAnsi="Times New Roman" w:cs="Times New Roman"/>
          <w:sz w:val="24"/>
          <w:szCs w:val="24"/>
        </w:rPr>
        <w:t>.</w:t>
      </w:r>
      <w:r w:rsidR="00050EE6" w:rsidRPr="00565D2C">
        <w:rPr>
          <w:rFonts w:ascii="Times New Roman" w:hAnsi="Times New Roman" w:cs="Times New Roman"/>
          <w:sz w:val="24"/>
          <w:szCs w:val="24"/>
        </w:rPr>
        <w:t xml:space="preserve"> El proceso seguido evalúa el cumplimiento de las actividades y </w:t>
      </w:r>
      <w:r w:rsidR="008800D7" w:rsidRPr="00565D2C">
        <w:rPr>
          <w:rFonts w:ascii="Times New Roman" w:hAnsi="Times New Roman" w:cs="Times New Roman"/>
          <w:sz w:val="24"/>
          <w:szCs w:val="24"/>
        </w:rPr>
        <w:t xml:space="preserve">de los resultados </w:t>
      </w:r>
      <w:r w:rsidR="00FB2F17" w:rsidRPr="00565D2C">
        <w:rPr>
          <w:rFonts w:ascii="Times New Roman" w:hAnsi="Times New Roman" w:cs="Times New Roman"/>
          <w:sz w:val="24"/>
          <w:szCs w:val="24"/>
        </w:rPr>
        <w:t>que coadyuven al logro de los objetivos.</w:t>
      </w:r>
    </w:p>
    <w:p w:rsidR="009B47B0" w:rsidRPr="00565D2C" w:rsidRDefault="009B47B0" w:rsidP="00565D2C">
      <w:pPr>
        <w:autoSpaceDE w:val="0"/>
        <w:autoSpaceDN w:val="0"/>
        <w:adjustRightInd w:val="0"/>
        <w:spacing w:after="0" w:line="240" w:lineRule="auto"/>
        <w:jc w:val="both"/>
        <w:rPr>
          <w:rFonts w:ascii="Times New Roman" w:hAnsi="Times New Roman" w:cs="Times New Roman"/>
          <w:sz w:val="24"/>
          <w:szCs w:val="24"/>
        </w:rPr>
      </w:pPr>
    </w:p>
    <w:p w:rsidR="001B6025" w:rsidRPr="00565D2C" w:rsidRDefault="005D62BF"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Con el objetivo de lograr una buena visualización del nivel de cumplimiento de</w:t>
      </w:r>
      <w:r w:rsidR="00A97D06" w:rsidRPr="00565D2C">
        <w:rPr>
          <w:rFonts w:ascii="Times New Roman" w:hAnsi="Times New Roman" w:cs="Times New Roman"/>
          <w:sz w:val="24"/>
          <w:szCs w:val="24"/>
        </w:rPr>
        <w:t xml:space="preserve"> las actividades</w:t>
      </w:r>
      <w:r w:rsidRPr="00565D2C">
        <w:rPr>
          <w:rFonts w:ascii="Times New Roman" w:hAnsi="Times New Roman" w:cs="Times New Roman"/>
          <w:sz w:val="24"/>
          <w:szCs w:val="24"/>
        </w:rPr>
        <w:t xml:space="preserve">, en el informe se muestra el porcentaje de ejecución por medio de colores, utilizando la </w:t>
      </w:r>
      <w:r w:rsidR="00063034" w:rsidRPr="00565D2C">
        <w:rPr>
          <w:rFonts w:ascii="Times New Roman" w:hAnsi="Times New Roman" w:cs="Times New Roman"/>
          <w:sz w:val="24"/>
          <w:szCs w:val="24"/>
        </w:rPr>
        <w:t xml:space="preserve">técnica </w:t>
      </w:r>
      <w:r w:rsidRPr="00565D2C">
        <w:rPr>
          <w:rFonts w:ascii="Times New Roman" w:hAnsi="Times New Roman" w:cs="Times New Roman"/>
          <w:sz w:val="24"/>
          <w:szCs w:val="24"/>
        </w:rPr>
        <w:t>del semáforo</w:t>
      </w:r>
      <w:r w:rsidR="00063034" w:rsidRPr="00565D2C">
        <w:rPr>
          <w:rFonts w:ascii="Times New Roman" w:hAnsi="Times New Roman" w:cs="Times New Roman"/>
          <w:sz w:val="24"/>
          <w:szCs w:val="24"/>
        </w:rPr>
        <w:t xml:space="preserve"> así</w:t>
      </w:r>
      <w:r w:rsidR="001B6025" w:rsidRPr="00565D2C">
        <w:rPr>
          <w:rFonts w:ascii="Times New Roman" w:hAnsi="Times New Roman" w:cs="Times New Roman"/>
          <w:sz w:val="24"/>
          <w:szCs w:val="24"/>
        </w:rPr>
        <w:t>:</w:t>
      </w:r>
    </w:p>
    <w:p w:rsidR="00F9657B" w:rsidRPr="00565D2C" w:rsidRDefault="00F9657B" w:rsidP="00565D2C">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75"/>
        <w:gridCol w:w="2711"/>
        <w:gridCol w:w="2942"/>
      </w:tblGrid>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proofErr w:type="spellStart"/>
            <w:r w:rsidRPr="00565D2C">
              <w:rPr>
                <w:b/>
                <w:sz w:val="24"/>
                <w:szCs w:val="24"/>
              </w:rPr>
              <w:t>Rango</w:t>
            </w:r>
            <w:proofErr w:type="spellEnd"/>
            <w:r w:rsidRPr="00565D2C">
              <w:rPr>
                <w:b/>
                <w:sz w:val="24"/>
                <w:szCs w:val="24"/>
              </w:rPr>
              <w:t xml:space="preserve"> de </w:t>
            </w:r>
            <w:proofErr w:type="spellStart"/>
            <w:r w:rsidRPr="00565D2C">
              <w:rPr>
                <w:b/>
                <w:sz w:val="24"/>
                <w:szCs w:val="24"/>
              </w:rPr>
              <w:t>evaluación</w:t>
            </w:r>
            <w:proofErr w:type="spellEnd"/>
          </w:p>
        </w:tc>
        <w:tc>
          <w:tcPr>
            <w:tcW w:w="2711" w:type="dxa"/>
          </w:tcPr>
          <w:p w:rsidR="00F9657B" w:rsidRPr="00565D2C" w:rsidRDefault="00F9657B" w:rsidP="00565D2C">
            <w:pPr>
              <w:autoSpaceDE w:val="0"/>
              <w:autoSpaceDN w:val="0"/>
              <w:adjustRightInd w:val="0"/>
              <w:jc w:val="both"/>
              <w:rPr>
                <w:b/>
                <w:sz w:val="24"/>
                <w:szCs w:val="24"/>
              </w:rPr>
            </w:pPr>
            <w:r w:rsidRPr="00565D2C">
              <w:rPr>
                <w:b/>
                <w:sz w:val="24"/>
                <w:szCs w:val="24"/>
              </w:rPr>
              <w:t>Color</w:t>
            </w:r>
          </w:p>
        </w:tc>
        <w:tc>
          <w:tcPr>
            <w:tcW w:w="2942" w:type="dxa"/>
          </w:tcPr>
          <w:p w:rsidR="00F9657B" w:rsidRPr="00565D2C" w:rsidRDefault="00F9657B" w:rsidP="00565D2C">
            <w:pPr>
              <w:autoSpaceDE w:val="0"/>
              <w:autoSpaceDN w:val="0"/>
              <w:adjustRightInd w:val="0"/>
              <w:jc w:val="both"/>
              <w:rPr>
                <w:b/>
                <w:sz w:val="24"/>
                <w:szCs w:val="24"/>
              </w:rPr>
            </w:pPr>
            <w:proofErr w:type="spellStart"/>
            <w:r w:rsidRPr="00565D2C">
              <w:rPr>
                <w:b/>
                <w:sz w:val="24"/>
                <w:szCs w:val="24"/>
              </w:rPr>
              <w:t>Ejecución</w:t>
            </w:r>
            <w:proofErr w:type="spellEnd"/>
          </w:p>
        </w:tc>
      </w:tr>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r w:rsidRPr="00565D2C">
              <w:rPr>
                <w:b/>
                <w:sz w:val="24"/>
                <w:szCs w:val="24"/>
              </w:rPr>
              <w:t>Más de 75%</w:t>
            </w:r>
          </w:p>
        </w:tc>
        <w:tc>
          <w:tcPr>
            <w:tcW w:w="2711" w:type="dxa"/>
            <w:shd w:val="clear" w:color="auto" w:fill="92D05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proofErr w:type="spellStart"/>
            <w:r w:rsidRPr="00565D2C">
              <w:rPr>
                <w:sz w:val="24"/>
                <w:szCs w:val="24"/>
              </w:rPr>
              <w:t>Satisfactoria</w:t>
            </w:r>
            <w:proofErr w:type="spellEnd"/>
          </w:p>
        </w:tc>
      </w:tr>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r w:rsidRPr="00565D2C">
              <w:rPr>
                <w:b/>
                <w:sz w:val="24"/>
                <w:szCs w:val="24"/>
              </w:rPr>
              <w:t xml:space="preserve">Entre </w:t>
            </w:r>
            <w:r w:rsidR="006D43F6" w:rsidRPr="00565D2C">
              <w:rPr>
                <w:b/>
                <w:sz w:val="24"/>
                <w:szCs w:val="24"/>
              </w:rPr>
              <w:t>50.00%</w:t>
            </w:r>
            <w:r w:rsidRPr="00565D2C">
              <w:rPr>
                <w:b/>
                <w:sz w:val="24"/>
                <w:szCs w:val="24"/>
              </w:rPr>
              <w:t xml:space="preserve"> y 74.99%</w:t>
            </w:r>
          </w:p>
        </w:tc>
        <w:tc>
          <w:tcPr>
            <w:tcW w:w="2711" w:type="dxa"/>
            <w:shd w:val="clear" w:color="auto" w:fill="FFFF0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r w:rsidRPr="00565D2C">
              <w:rPr>
                <w:sz w:val="24"/>
                <w:szCs w:val="24"/>
              </w:rPr>
              <w:t>Media</w:t>
            </w:r>
          </w:p>
        </w:tc>
      </w:tr>
      <w:tr w:rsidR="00F9657B" w:rsidRPr="00565D2C" w:rsidTr="00F9657B">
        <w:tc>
          <w:tcPr>
            <w:tcW w:w="3175" w:type="dxa"/>
            <w:shd w:val="clear" w:color="auto" w:fill="auto"/>
          </w:tcPr>
          <w:p w:rsidR="00F9657B" w:rsidRPr="00565D2C" w:rsidRDefault="00F9657B" w:rsidP="00565D2C">
            <w:pPr>
              <w:autoSpaceDE w:val="0"/>
              <w:autoSpaceDN w:val="0"/>
              <w:adjustRightInd w:val="0"/>
              <w:jc w:val="both"/>
              <w:rPr>
                <w:b/>
                <w:sz w:val="24"/>
                <w:szCs w:val="24"/>
              </w:rPr>
            </w:pPr>
            <w:r w:rsidRPr="00565D2C">
              <w:rPr>
                <w:b/>
                <w:sz w:val="24"/>
                <w:szCs w:val="24"/>
              </w:rPr>
              <w:t>Entre 0% y 49.99%</w:t>
            </w:r>
          </w:p>
        </w:tc>
        <w:tc>
          <w:tcPr>
            <w:tcW w:w="2711" w:type="dxa"/>
            <w:shd w:val="clear" w:color="auto" w:fill="FF000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r w:rsidRPr="00565D2C">
              <w:rPr>
                <w:sz w:val="24"/>
                <w:szCs w:val="24"/>
              </w:rPr>
              <w:t>Baja</w:t>
            </w:r>
          </w:p>
        </w:tc>
      </w:tr>
    </w:tbl>
    <w:p w:rsidR="005D62BF" w:rsidRPr="00565D2C" w:rsidRDefault="00063034"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113757" w:rsidRPr="00565D2C" w:rsidRDefault="00BA424D"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Para establecer el desempeño de las 1</w:t>
      </w:r>
      <w:r w:rsidR="00414DD1" w:rsidRPr="00565D2C">
        <w:rPr>
          <w:rFonts w:ascii="Times New Roman" w:hAnsi="Times New Roman" w:cs="Times New Roman"/>
          <w:sz w:val="24"/>
          <w:szCs w:val="24"/>
        </w:rPr>
        <w:t>2</w:t>
      </w:r>
      <w:r w:rsidRPr="00565D2C">
        <w:rPr>
          <w:rFonts w:ascii="Times New Roman" w:hAnsi="Times New Roman" w:cs="Times New Roman"/>
          <w:sz w:val="24"/>
          <w:szCs w:val="24"/>
        </w:rPr>
        <w:t xml:space="preserve"> unidades organizativas institucionales, </w:t>
      </w:r>
      <w:r w:rsidR="00113757" w:rsidRPr="00565D2C">
        <w:rPr>
          <w:rFonts w:ascii="Times New Roman" w:hAnsi="Times New Roman" w:cs="Times New Roman"/>
          <w:sz w:val="24"/>
          <w:szCs w:val="24"/>
        </w:rPr>
        <w:t xml:space="preserve">se ha verificado el </w:t>
      </w:r>
      <w:r w:rsidR="00C66A33" w:rsidRPr="00565D2C">
        <w:rPr>
          <w:rFonts w:ascii="Times New Roman" w:hAnsi="Times New Roman" w:cs="Times New Roman"/>
          <w:sz w:val="24"/>
          <w:szCs w:val="24"/>
        </w:rPr>
        <w:t xml:space="preserve">cumplimiento de sus actividades </w:t>
      </w:r>
      <w:r w:rsidR="00113757" w:rsidRPr="00565D2C">
        <w:rPr>
          <w:rFonts w:ascii="Times New Roman" w:hAnsi="Times New Roman" w:cs="Times New Roman"/>
          <w:sz w:val="24"/>
          <w:szCs w:val="24"/>
        </w:rPr>
        <w:t>y el resultado de esa evaluación se presenta en el consolidado que se incorpora también en este documento.</w:t>
      </w:r>
    </w:p>
    <w:p w:rsidR="00113757" w:rsidRPr="00565D2C" w:rsidRDefault="00113757"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A partir de la consecución de estos resultados, la SC </w:t>
      </w:r>
      <w:r w:rsidR="00AC309F" w:rsidRPr="00565D2C">
        <w:rPr>
          <w:rFonts w:ascii="Times New Roman" w:hAnsi="Times New Roman" w:cs="Times New Roman"/>
          <w:sz w:val="24"/>
          <w:szCs w:val="24"/>
        </w:rPr>
        <w:t>avanza más como</w:t>
      </w:r>
      <w:r w:rsidRPr="00565D2C">
        <w:rPr>
          <w:rFonts w:ascii="Times New Roman" w:hAnsi="Times New Roman" w:cs="Times New Roman"/>
          <w:sz w:val="24"/>
          <w:szCs w:val="24"/>
        </w:rPr>
        <w:t xml:space="preserve"> una institución eficiente y eficaz</w:t>
      </w:r>
      <w:r w:rsidR="00AC309F"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r w:rsidR="00AC309F" w:rsidRPr="00565D2C">
        <w:rPr>
          <w:rFonts w:ascii="Times New Roman" w:hAnsi="Times New Roman" w:cs="Times New Roman"/>
          <w:sz w:val="24"/>
          <w:szCs w:val="24"/>
        </w:rPr>
        <w:t xml:space="preserve">que promueve y protege la competencia buscando incrementar la </w:t>
      </w:r>
      <w:r w:rsidRPr="00565D2C">
        <w:rPr>
          <w:rFonts w:ascii="Times New Roman" w:hAnsi="Times New Roman" w:cs="Times New Roman"/>
          <w:sz w:val="24"/>
          <w:szCs w:val="24"/>
        </w:rPr>
        <w:t>eficiencia económica y el bienestar de los consumidores</w:t>
      </w:r>
      <w:r w:rsidR="00AC309F" w:rsidRPr="00565D2C">
        <w:rPr>
          <w:rFonts w:ascii="Times New Roman" w:hAnsi="Times New Roman" w:cs="Times New Roman"/>
          <w:sz w:val="24"/>
          <w:szCs w:val="24"/>
        </w:rPr>
        <w:t>.</w:t>
      </w:r>
    </w:p>
    <w:p w:rsidR="00AC309F" w:rsidRPr="00565D2C" w:rsidRDefault="00AC309F" w:rsidP="00565D2C">
      <w:pPr>
        <w:autoSpaceDE w:val="0"/>
        <w:autoSpaceDN w:val="0"/>
        <w:adjustRightInd w:val="0"/>
        <w:spacing w:after="0" w:line="240" w:lineRule="auto"/>
        <w:jc w:val="both"/>
        <w:rPr>
          <w:rFonts w:ascii="Times New Roman" w:hAnsi="Times New Roman" w:cs="Times New Roman"/>
          <w:sz w:val="24"/>
          <w:szCs w:val="24"/>
        </w:rPr>
      </w:pPr>
    </w:p>
    <w:p w:rsidR="00AC309F" w:rsidRPr="00565D2C" w:rsidRDefault="00AC309F"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p>
    <w:p w:rsidR="00FC3440" w:rsidRPr="00565D2C" w:rsidRDefault="00FC3440" w:rsidP="00565D2C">
      <w:pPr>
        <w:spacing w:after="0" w:line="240" w:lineRule="auto"/>
        <w:jc w:val="both"/>
        <w:rPr>
          <w:rFonts w:ascii="Times New Roman" w:hAnsi="Times New Roman" w:cs="Times New Roman"/>
          <w:sz w:val="24"/>
          <w:szCs w:val="24"/>
        </w:rPr>
      </w:pPr>
    </w:p>
    <w:p w:rsidR="006A3B6A" w:rsidRPr="00565D2C" w:rsidRDefault="006A3B6A" w:rsidP="00565D2C">
      <w:pPr>
        <w:jc w:val="both"/>
        <w:rPr>
          <w:rFonts w:ascii="Times New Roman" w:hAnsi="Times New Roman" w:cs="Times New Roman"/>
          <w:sz w:val="24"/>
          <w:szCs w:val="24"/>
        </w:rPr>
      </w:pPr>
      <w:r w:rsidRPr="00565D2C">
        <w:rPr>
          <w:rFonts w:ascii="Times New Roman" w:hAnsi="Times New Roman" w:cs="Times New Roman"/>
          <w:sz w:val="24"/>
          <w:szCs w:val="24"/>
        </w:rPr>
        <w:br w:type="page"/>
      </w:r>
    </w:p>
    <w:p w:rsidR="00C22FEC" w:rsidRPr="00565D2C" w:rsidRDefault="00C22FEC" w:rsidP="00565D2C">
      <w:pPr>
        <w:jc w:val="both"/>
        <w:rPr>
          <w:rFonts w:ascii="Times New Roman" w:hAnsi="Times New Roman" w:cs="Times New Roman"/>
          <w:sz w:val="24"/>
          <w:szCs w:val="24"/>
        </w:rPr>
      </w:pPr>
    </w:p>
    <w:p w:rsidR="00C41A91" w:rsidRPr="00565D2C" w:rsidRDefault="00CB5676" w:rsidP="00565D2C">
      <w:pPr>
        <w:pStyle w:val="Ttulo1"/>
        <w:numPr>
          <w:ilvl w:val="0"/>
          <w:numId w:val="11"/>
        </w:numPr>
        <w:rPr>
          <w:rFonts w:ascii="Times New Roman" w:hAnsi="Times New Roman" w:cs="Times New Roman"/>
          <w:sz w:val="24"/>
        </w:rPr>
      </w:pPr>
      <w:bookmarkStart w:id="1" w:name="_Toc530046486"/>
      <w:r w:rsidRPr="00565D2C">
        <w:rPr>
          <w:rFonts w:ascii="Times New Roman" w:hAnsi="Times New Roman" w:cs="Times New Roman"/>
          <w:sz w:val="24"/>
        </w:rPr>
        <w:t xml:space="preserve">Resultados de </w:t>
      </w:r>
      <w:r w:rsidR="004450CB" w:rsidRPr="00565D2C">
        <w:rPr>
          <w:rFonts w:ascii="Times New Roman" w:hAnsi="Times New Roman" w:cs="Times New Roman"/>
          <w:sz w:val="24"/>
        </w:rPr>
        <w:t xml:space="preserve">la </w:t>
      </w:r>
      <w:r w:rsidRPr="00565D2C">
        <w:rPr>
          <w:rFonts w:ascii="Times New Roman" w:hAnsi="Times New Roman" w:cs="Times New Roman"/>
          <w:sz w:val="24"/>
        </w:rPr>
        <w:t>evaluación de plan operativo</w:t>
      </w:r>
      <w:r w:rsidR="00D01241" w:rsidRPr="00565D2C">
        <w:rPr>
          <w:rFonts w:ascii="Times New Roman" w:hAnsi="Times New Roman" w:cs="Times New Roman"/>
          <w:sz w:val="24"/>
        </w:rPr>
        <w:t xml:space="preserve"> por unidad</w:t>
      </w:r>
      <w:bookmarkEnd w:id="1"/>
    </w:p>
    <w:p w:rsidR="007251B9" w:rsidRPr="00565D2C" w:rsidRDefault="007251B9" w:rsidP="00565D2C">
      <w:pPr>
        <w:tabs>
          <w:tab w:val="left" w:pos="-3544"/>
        </w:tabs>
        <w:spacing w:after="0" w:line="240" w:lineRule="auto"/>
        <w:jc w:val="both"/>
        <w:rPr>
          <w:rFonts w:ascii="Times New Roman" w:hAnsi="Times New Roman" w:cs="Times New Roman"/>
          <w:sz w:val="24"/>
          <w:szCs w:val="24"/>
        </w:rPr>
      </w:pPr>
    </w:p>
    <w:p w:rsidR="00EE6BD0" w:rsidRPr="00565D2C" w:rsidRDefault="00EE6BD0" w:rsidP="00565D2C">
      <w:pPr>
        <w:tabs>
          <w:tab w:val="left" w:pos="-3544"/>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Como ya se ha indicado, el plan de la SC </w:t>
      </w:r>
      <w:r w:rsidR="00C615E6" w:rsidRPr="00565D2C">
        <w:rPr>
          <w:rFonts w:ascii="Times New Roman" w:hAnsi="Times New Roman" w:cs="Times New Roman"/>
          <w:sz w:val="24"/>
          <w:szCs w:val="24"/>
        </w:rPr>
        <w:t>establece</w:t>
      </w:r>
      <w:r w:rsidRPr="00565D2C">
        <w:rPr>
          <w:rFonts w:ascii="Times New Roman" w:hAnsi="Times New Roman" w:cs="Times New Roman"/>
          <w:sz w:val="24"/>
          <w:szCs w:val="24"/>
        </w:rPr>
        <w:t xml:space="preserve"> objetivos estratégicos, </w:t>
      </w:r>
      <w:r w:rsidR="008800D7" w:rsidRPr="00565D2C">
        <w:rPr>
          <w:rFonts w:ascii="Times New Roman" w:hAnsi="Times New Roman" w:cs="Times New Roman"/>
          <w:sz w:val="24"/>
          <w:szCs w:val="24"/>
        </w:rPr>
        <w:t xml:space="preserve">resultados, </w:t>
      </w:r>
      <w:r w:rsidRPr="00565D2C">
        <w:rPr>
          <w:rFonts w:ascii="Times New Roman" w:hAnsi="Times New Roman" w:cs="Times New Roman"/>
          <w:sz w:val="24"/>
          <w:szCs w:val="24"/>
        </w:rPr>
        <w:t>acciones estratégicas y actividades. Para darle cumplimiento a la evaluación del plan operativo es necesario determinar cómo se cumplieron las actividades contenidas en cada una de las acciones estratégicas</w:t>
      </w:r>
      <w:r w:rsidR="00414DD1" w:rsidRPr="00565D2C">
        <w:rPr>
          <w:rFonts w:ascii="Times New Roman" w:hAnsi="Times New Roman" w:cs="Times New Roman"/>
          <w:sz w:val="24"/>
          <w:szCs w:val="24"/>
        </w:rPr>
        <w:t xml:space="preserve"> por unidad organizativa</w:t>
      </w:r>
      <w:r w:rsidR="00D90B8C" w:rsidRPr="00565D2C">
        <w:rPr>
          <w:rFonts w:ascii="Times New Roman" w:hAnsi="Times New Roman" w:cs="Times New Roman"/>
          <w:sz w:val="24"/>
          <w:szCs w:val="24"/>
        </w:rPr>
        <w:t xml:space="preserve">. A </w:t>
      </w:r>
      <w:r w:rsidR="009B1F63" w:rsidRPr="00565D2C">
        <w:rPr>
          <w:rFonts w:ascii="Times New Roman" w:hAnsi="Times New Roman" w:cs="Times New Roman"/>
          <w:sz w:val="24"/>
          <w:szCs w:val="24"/>
        </w:rPr>
        <w:t>continuación,</w:t>
      </w:r>
      <w:r w:rsidR="00D90B8C" w:rsidRPr="00565D2C">
        <w:rPr>
          <w:rFonts w:ascii="Times New Roman" w:hAnsi="Times New Roman" w:cs="Times New Roman"/>
          <w:sz w:val="24"/>
          <w:szCs w:val="24"/>
        </w:rPr>
        <w:t xml:space="preserve"> se describen por medio de los cuadros la</w:t>
      </w:r>
      <w:r w:rsidR="009B1F63" w:rsidRPr="00565D2C">
        <w:rPr>
          <w:rFonts w:ascii="Times New Roman" w:hAnsi="Times New Roman" w:cs="Times New Roman"/>
          <w:sz w:val="24"/>
          <w:szCs w:val="24"/>
        </w:rPr>
        <w:t>s</w:t>
      </w:r>
      <w:r w:rsidR="00D90B8C" w:rsidRPr="00565D2C">
        <w:rPr>
          <w:rFonts w:ascii="Times New Roman" w:hAnsi="Times New Roman" w:cs="Times New Roman"/>
          <w:sz w:val="24"/>
          <w:szCs w:val="24"/>
        </w:rPr>
        <w:t xml:space="preserve"> actividades que se desempeñaron con una ejecución </w:t>
      </w:r>
      <w:r w:rsidR="006D43F6" w:rsidRPr="00565D2C">
        <w:rPr>
          <w:rFonts w:ascii="Times New Roman" w:hAnsi="Times New Roman" w:cs="Times New Roman"/>
          <w:sz w:val="24"/>
          <w:szCs w:val="24"/>
        </w:rPr>
        <w:t xml:space="preserve">“satisfactoria”, </w:t>
      </w:r>
      <w:r w:rsidR="00D90B8C" w:rsidRPr="00565D2C">
        <w:rPr>
          <w:rFonts w:ascii="Times New Roman" w:hAnsi="Times New Roman" w:cs="Times New Roman"/>
          <w:sz w:val="24"/>
          <w:szCs w:val="24"/>
        </w:rPr>
        <w:t>“media”</w:t>
      </w:r>
      <w:r w:rsidR="006D43F6" w:rsidRPr="00565D2C">
        <w:rPr>
          <w:rFonts w:ascii="Times New Roman" w:hAnsi="Times New Roman" w:cs="Times New Roman"/>
          <w:sz w:val="24"/>
          <w:szCs w:val="24"/>
        </w:rPr>
        <w:t xml:space="preserve">, </w:t>
      </w:r>
      <w:r w:rsidR="00C91FD1" w:rsidRPr="00565D2C">
        <w:rPr>
          <w:rFonts w:ascii="Times New Roman" w:hAnsi="Times New Roman" w:cs="Times New Roman"/>
          <w:sz w:val="24"/>
          <w:szCs w:val="24"/>
        </w:rPr>
        <w:t>o “</w:t>
      </w:r>
      <w:r w:rsidR="00D90B8C" w:rsidRPr="00565D2C">
        <w:rPr>
          <w:rFonts w:ascii="Times New Roman" w:hAnsi="Times New Roman" w:cs="Times New Roman"/>
          <w:sz w:val="24"/>
          <w:szCs w:val="24"/>
        </w:rPr>
        <w:t>baja”, y se relatan las actividades más sustantivas ejecutadas exitosamente.</w:t>
      </w:r>
    </w:p>
    <w:p w:rsidR="00F04F60" w:rsidRPr="00565D2C" w:rsidRDefault="00F04F60" w:rsidP="00565D2C">
      <w:pPr>
        <w:pStyle w:val="Ttulo1"/>
        <w:rPr>
          <w:rFonts w:ascii="Times New Roman" w:hAnsi="Times New Roman" w:cs="Times New Roman"/>
          <w:sz w:val="24"/>
        </w:rPr>
      </w:pPr>
    </w:p>
    <w:p w:rsidR="00414DD1" w:rsidRPr="00565D2C" w:rsidRDefault="00414DD1" w:rsidP="00565D2C">
      <w:pPr>
        <w:pStyle w:val="Ttulo2"/>
        <w:numPr>
          <w:ilvl w:val="0"/>
          <w:numId w:val="12"/>
        </w:numPr>
        <w:rPr>
          <w:rFonts w:ascii="Times New Roman" w:hAnsi="Times New Roman" w:cs="Times New Roman"/>
          <w:szCs w:val="24"/>
        </w:rPr>
      </w:pPr>
      <w:bookmarkStart w:id="2" w:name="_Toc530046487"/>
      <w:r w:rsidRPr="00565D2C">
        <w:rPr>
          <w:rFonts w:ascii="Times New Roman" w:hAnsi="Times New Roman" w:cs="Times New Roman"/>
          <w:szCs w:val="24"/>
        </w:rPr>
        <w:t>Intendencia de Abogacía de la Competencia (IAC)</w:t>
      </w:r>
      <w:bookmarkEnd w:id="2"/>
    </w:p>
    <w:p w:rsidR="007534AE" w:rsidRPr="00565D2C" w:rsidRDefault="008B5BEC" w:rsidP="00565D2C">
      <w:pPr>
        <w:tabs>
          <w:tab w:val="left" w:pos="-3544"/>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E1692D" w:rsidRDefault="000A12E5" w:rsidP="00565D2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99552" behindDoc="1" locked="0" layoutInCell="1" allowOverlap="1">
            <wp:simplePos x="0" y="0"/>
            <wp:positionH relativeFrom="column">
              <wp:posOffset>3148965</wp:posOffset>
            </wp:positionH>
            <wp:positionV relativeFrom="paragraph">
              <wp:posOffset>18415</wp:posOffset>
            </wp:positionV>
            <wp:extent cx="2379980" cy="581025"/>
            <wp:effectExtent l="0" t="0" r="1270" b="0"/>
            <wp:wrapTight wrapText="bothSides">
              <wp:wrapPolygon edited="0">
                <wp:start x="0" y="0"/>
                <wp:lineTo x="0" y="20538"/>
                <wp:lineTo x="21439" y="20538"/>
                <wp:lineTo x="21439"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980" cy="5810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inline distT="0" distB="0" distL="0" distR="0" wp14:anchorId="2CF27A44">
            <wp:extent cx="2443480" cy="571459"/>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879" cy="579270"/>
                    </a:xfrm>
                    <a:prstGeom prst="rect">
                      <a:avLst/>
                    </a:prstGeom>
                    <a:noFill/>
                  </pic:spPr>
                </pic:pic>
              </a:graphicData>
            </a:graphic>
          </wp:inline>
        </w:drawing>
      </w:r>
    </w:p>
    <w:p w:rsidR="000A12E5" w:rsidRDefault="000A12E5" w:rsidP="00565D2C">
      <w:pPr>
        <w:spacing w:after="0" w:line="240" w:lineRule="auto"/>
        <w:jc w:val="both"/>
        <w:rPr>
          <w:rFonts w:ascii="Times New Roman" w:hAnsi="Times New Roman" w:cs="Times New Roman"/>
          <w:sz w:val="24"/>
          <w:szCs w:val="24"/>
        </w:rPr>
      </w:pPr>
    </w:p>
    <w:p w:rsidR="000A12E5" w:rsidRDefault="000A12E5" w:rsidP="00565D2C">
      <w:pPr>
        <w:spacing w:after="0" w:line="240" w:lineRule="auto"/>
        <w:jc w:val="both"/>
        <w:rPr>
          <w:rFonts w:ascii="Times New Roman" w:hAnsi="Times New Roman" w:cs="Times New Roman"/>
          <w:sz w:val="24"/>
          <w:szCs w:val="24"/>
        </w:rPr>
      </w:pPr>
    </w:p>
    <w:p w:rsidR="002C1735" w:rsidRPr="00565D2C" w:rsidRDefault="000A12E5" w:rsidP="00565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2C1735" w:rsidRPr="00565D2C">
        <w:rPr>
          <w:rFonts w:ascii="Times New Roman" w:hAnsi="Times New Roman" w:cs="Times New Roman"/>
          <w:sz w:val="24"/>
          <w:szCs w:val="24"/>
        </w:rPr>
        <w:t xml:space="preserve">a IAC tuvo un logro del </w:t>
      </w:r>
      <w:r w:rsidR="007F3B1C">
        <w:rPr>
          <w:rFonts w:ascii="Times New Roman" w:hAnsi="Times New Roman" w:cs="Times New Roman"/>
          <w:sz w:val="24"/>
          <w:szCs w:val="24"/>
        </w:rPr>
        <w:t>91.16</w:t>
      </w:r>
      <w:r w:rsidR="002C1735" w:rsidRPr="00565D2C">
        <w:rPr>
          <w:rFonts w:ascii="Times New Roman" w:hAnsi="Times New Roman" w:cs="Times New Roman"/>
          <w:sz w:val="24"/>
          <w:szCs w:val="24"/>
        </w:rPr>
        <w:t xml:space="preserve">% en las actividades planificadas en el </w:t>
      </w:r>
      <w:r w:rsidR="007F3B1C">
        <w:rPr>
          <w:rFonts w:ascii="Times New Roman" w:hAnsi="Times New Roman" w:cs="Times New Roman"/>
          <w:sz w:val="24"/>
          <w:szCs w:val="24"/>
        </w:rPr>
        <w:t>tercer trimestre</w:t>
      </w:r>
      <w:r w:rsidR="002C1735" w:rsidRPr="00565D2C">
        <w:rPr>
          <w:rFonts w:ascii="Times New Roman" w:hAnsi="Times New Roman" w:cs="Times New Roman"/>
          <w:sz w:val="24"/>
          <w:szCs w:val="24"/>
        </w:rPr>
        <w:t>.</w:t>
      </w:r>
    </w:p>
    <w:p w:rsidR="002C1735" w:rsidRPr="00565D2C" w:rsidRDefault="002C1735" w:rsidP="00565D2C">
      <w:pPr>
        <w:spacing w:after="0" w:line="240" w:lineRule="auto"/>
        <w:jc w:val="both"/>
        <w:rPr>
          <w:rFonts w:ascii="Times New Roman" w:hAnsi="Times New Roman" w:cs="Times New Roman"/>
          <w:sz w:val="24"/>
          <w:szCs w:val="24"/>
        </w:rPr>
      </w:pPr>
    </w:p>
    <w:p w:rsidR="0003186F" w:rsidRPr="00565D2C" w:rsidRDefault="00DE063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w:t>
      </w:r>
      <w:r w:rsidR="0003186F" w:rsidRPr="00565D2C">
        <w:rPr>
          <w:rFonts w:ascii="Times New Roman" w:hAnsi="Times New Roman" w:cs="Times New Roman"/>
          <w:sz w:val="24"/>
          <w:szCs w:val="24"/>
        </w:rPr>
        <w:t xml:space="preserve">as actividades más relevantes ejecutadas exitosamente </w:t>
      </w:r>
      <w:r w:rsidR="00065650" w:rsidRPr="00565D2C">
        <w:rPr>
          <w:rFonts w:ascii="Times New Roman" w:hAnsi="Times New Roman" w:cs="Times New Roman"/>
          <w:sz w:val="24"/>
          <w:szCs w:val="24"/>
        </w:rPr>
        <w:t>por la IAC son las siguientes:</w:t>
      </w:r>
      <w:r w:rsidR="0003186F" w:rsidRPr="00565D2C">
        <w:rPr>
          <w:rFonts w:ascii="Times New Roman" w:hAnsi="Times New Roman" w:cs="Times New Roman"/>
          <w:sz w:val="24"/>
          <w:szCs w:val="24"/>
        </w:rPr>
        <w:t xml:space="preserve"> </w:t>
      </w:r>
    </w:p>
    <w:p w:rsidR="00F34171" w:rsidRPr="00565D2C" w:rsidRDefault="00F34171" w:rsidP="00565D2C">
      <w:pPr>
        <w:spacing w:after="0" w:line="240" w:lineRule="auto"/>
        <w:jc w:val="both"/>
        <w:rPr>
          <w:rFonts w:ascii="Times New Roman" w:hAnsi="Times New Roman" w:cs="Times New Roman"/>
          <w:sz w:val="24"/>
          <w:szCs w:val="24"/>
        </w:rPr>
      </w:pPr>
    </w:p>
    <w:p w:rsidR="002131D6" w:rsidRPr="00565D2C" w:rsidRDefault="002131D6" w:rsidP="00565D2C">
      <w:pPr>
        <w:pStyle w:val="Prrafodelista"/>
        <w:spacing w:after="0" w:line="240" w:lineRule="auto"/>
        <w:ind w:left="1080"/>
        <w:jc w:val="both"/>
        <w:rPr>
          <w:rFonts w:ascii="Times New Roman" w:hAnsi="Times New Roman" w:cs="Times New Roman"/>
          <w:sz w:val="24"/>
          <w:szCs w:val="24"/>
        </w:rPr>
      </w:pPr>
    </w:p>
    <w:p w:rsidR="00AA6781" w:rsidRDefault="00C015B9" w:rsidP="00565D2C">
      <w:pPr>
        <w:pStyle w:val="Default"/>
        <w:numPr>
          <w:ilvl w:val="0"/>
          <w:numId w:val="13"/>
        </w:numPr>
        <w:jc w:val="both"/>
        <w:rPr>
          <w:rFonts w:ascii="Times New Roman" w:hAnsi="Times New Roman" w:cs="Times New Roman"/>
        </w:rPr>
      </w:pPr>
      <w:r w:rsidRPr="00565D2C">
        <w:rPr>
          <w:rFonts w:ascii="Times New Roman" w:hAnsi="Times New Roman" w:cs="Times New Roman"/>
        </w:rPr>
        <w:t xml:space="preserve">Seguimiento a plan de </w:t>
      </w:r>
      <w:r w:rsidR="00AA6781" w:rsidRPr="00565D2C">
        <w:rPr>
          <w:rFonts w:ascii="Times New Roman" w:hAnsi="Times New Roman" w:cs="Times New Roman"/>
        </w:rPr>
        <w:t>cabildeo de reformas a la L</w:t>
      </w:r>
      <w:r w:rsidR="006A2F34" w:rsidRPr="00565D2C">
        <w:rPr>
          <w:rFonts w:ascii="Times New Roman" w:hAnsi="Times New Roman" w:cs="Times New Roman"/>
        </w:rPr>
        <w:t xml:space="preserve">ey de </w:t>
      </w:r>
      <w:r w:rsidR="00AA6781" w:rsidRPr="00565D2C">
        <w:rPr>
          <w:rFonts w:ascii="Times New Roman" w:hAnsi="Times New Roman" w:cs="Times New Roman"/>
        </w:rPr>
        <w:t>C</w:t>
      </w:r>
      <w:r w:rsidR="006A2F34" w:rsidRPr="00565D2C">
        <w:rPr>
          <w:rFonts w:ascii="Times New Roman" w:hAnsi="Times New Roman" w:cs="Times New Roman"/>
        </w:rPr>
        <w:t>ompetencia</w:t>
      </w:r>
      <w:r w:rsidRPr="00565D2C">
        <w:rPr>
          <w:rFonts w:ascii="Times New Roman" w:hAnsi="Times New Roman" w:cs="Times New Roman"/>
        </w:rPr>
        <w:t xml:space="preserve">. </w:t>
      </w:r>
      <w:r w:rsidR="00544151">
        <w:rPr>
          <w:rFonts w:ascii="Times New Roman" w:hAnsi="Times New Roman" w:cs="Times New Roman"/>
        </w:rPr>
        <w:t xml:space="preserve">La Unidad de Abogacía de la Competencia notifica que remitieron un correo a </w:t>
      </w:r>
      <w:r w:rsidR="0034720B">
        <w:rPr>
          <w:rFonts w:ascii="Times New Roman" w:hAnsi="Times New Roman" w:cs="Times New Roman"/>
        </w:rPr>
        <w:t xml:space="preserve">la </w:t>
      </w:r>
      <w:r w:rsidR="00544151">
        <w:rPr>
          <w:rFonts w:ascii="Times New Roman" w:hAnsi="Times New Roman" w:cs="Times New Roman"/>
        </w:rPr>
        <w:t>S</w:t>
      </w:r>
      <w:r w:rsidR="0034720B">
        <w:rPr>
          <w:rFonts w:ascii="Times New Roman" w:hAnsi="Times New Roman" w:cs="Times New Roman"/>
        </w:rPr>
        <w:t xml:space="preserve">ecretaría de </w:t>
      </w:r>
      <w:r w:rsidR="00544151">
        <w:rPr>
          <w:rFonts w:ascii="Times New Roman" w:hAnsi="Times New Roman" w:cs="Times New Roman"/>
        </w:rPr>
        <w:t>A</w:t>
      </w:r>
      <w:r w:rsidR="0034720B">
        <w:rPr>
          <w:rFonts w:ascii="Times New Roman" w:hAnsi="Times New Roman" w:cs="Times New Roman"/>
        </w:rPr>
        <w:t xml:space="preserve">suntos </w:t>
      </w:r>
      <w:r w:rsidR="00544151">
        <w:rPr>
          <w:rFonts w:ascii="Times New Roman" w:hAnsi="Times New Roman" w:cs="Times New Roman"/>
        </w:rPr>
        <w:t>L</w:t>
      </w:r>
      <w:r w:rsidR="0034720B">
        <w:rPr>
          <w:rFonts w:ascii="Times New Roman" w:hAnsi="Times New Roman" w:cs="Times New Roman"/>
        </w:rPr>
        <w:t xml:space="preserve">egislativos y </w:t>
      </w:r>
      <w:r w:rsidR="00544151">
        <w:rPr>
          <w:rFonts w:ascii="Times New Roman" w:hAnsi="Times New Roman" w:cs="Times New Roman"/>
        </w:rPr>
        <w:t>J</w:t>
      </w:r>
      <w:r w:rsidR="0034720B">
        <w:rPr>
          <w:rFonts w:ascii="Times New Roman" w:hAnsi="Times New Roman" w:cs="Times New Roman"/>
        </w:rPr>
        <w:t xml:space="preserve">urídicos, </w:t>
      </w:r>
      <w:r w:rsidR="00544151">
        <w:rPr>
          <w:rFonts w:ascii="Times New Roman" w:hAnsi="Times New Roman" w:cs="Times New Roman"/>
        </w:rPr>
        <w:t>del cual no recibieron respuesta y que también se reunieron con el Superintendente para exponerle el proyecto.</w:t>
      </w:r>
    </w:p>
    <w:p w:rsidR="0034720B" w:rsidRDefault="0034720B" w:rsidP="0034720B">
      <w:pPr>
        <w:pStyle w:val="Default"/>
        <w:jc w:val="both"/>
        <w:rPr>
          <w:rFonts w:ascii="Times New Roman" w:hAnsi="Times New Roman" w:cs="Times New Roman"/>
        </w:rPr>
      </w:pPr>
    </w:p>
    <w:p w:rsidR="00285E9F" w:rsidRPr="00565D2C" w:rsidRDefault="0034720B" w:rsidP="0034720B">
      <w:pPr>
        <w:pStyle w:val="Default"/>
        <w:numPr>
          <w:ilvl w:val="0"/>
          <w:numId w:val="13"/>
        </w:numPr>
        <w:rPr>
          <w:rFonts w:ascii="Times New Roman" w:hAnsi="Times New Roman" w:cs="Times New Roman"/>
        </w:rPr>
      </w:pPr>
      <w:r>
        <w:rPr>
          <w:rFonts w:ascii="Times New Roman" w:hAnsi="Times New Roman" w:cs="Times New Roman"/>
        </w:rPr>
        <w:t xml:space="preserve">En cuanto a las reformas al Reglamento de la Ley de Competencia la IAC notifica      que </w:t>
      </w:r>
      <w:r w:rsidRPr="0034720B">
        <w:rPr>
          <w:rFonts w:ascii="Times New Roman" w:hAnsi="Times New Roman" w:cs="Times New Roman"/>
        </w:rPr>
        <w:t>se ha optado por revisar la propuesta de actualización del reglamento durante el último trimestre, dado que aún se encuentran mejoras pendientes de realizar al docume</w:t>
      </w:r>
      <w:r>
        <w:rPr>
          <w:rFonts w:ascii="Times New Roman" w:hAnsi="Times New Roman" w:cs="Times New Roman"/>
        </w:rPr>
        <w:t>nto de reformas lo cual afectara</w:t>
      </w:r>
      <w:r w:rsidRPr="0034720B">
        <w:rPr>
          <w:rFonts w:ascii="Times New Roman" w:hAnsi="Times New Roman" w:cs="Times New Roman"/>
        </w:rPr>
        <w:t xml:space="preserve"> a su vez el texto de reglamento propuesto</w:t>
      </w:r>
      <w:r>
        <w:rPr>
          <w:rFonts w:ascii="Times New Roman" w:hAnsi="Times New Roman" w:cs="Times New Roman"/>
        </w:rPr>
        <w:t>.</w:t>
      </w:r>
    </w:p>
    <w:p w:rsidR="00285E9F" w:rsidRPr="00565D2C" w:rsidRDefault="00285E9F" w:rsidP="00565D2C">
      <w:pPr>
        <w:pStyle w:val="Default"/>
        <w:ind w:left="709" w:hanging="709"/>
        <w:jc w:val="both"/>
        <w:rPr>
          <w:rFonts w:ascii="Times New Roman" w:hAnsi="Times New Roman" w:cs="Times New Roman"/>
        </w:rPr>
      </w:pPr>
      <w:r w:rsidRPr="00565D2C">
        <w:rPr>
          <w:rFonts w:ascii="Times New Roman" w:hAnsi="Times New Roman" w:cs="Times New Roman"/>
        </w:rPr>
        <w:t xml:space="preserve">            </w:t>
      </w:r>
    </w:p>
    <w:p w:rsidR="00772E4F" w:rsidRPr="0034720B" w:rsidRDefault="00772E4F" w:rsidP="0034720B">
      <w:pPr>
        <w:pStyle w:val="Prrafodelista"/>
        <w:numPr>
          <w:ilvl w:val="0"/>
          <w:numId w:val="13"/>
        </w:numPr>
        <w:spacing w:after="0" w:line="240" w:lineRule="auto"/>
        <w:jc w:val="both"/>
        <w:rPr>
          <w:rFonts w:ascii="Times New Roman" w:hAnsi="Times New Roman" w:cs="Times New Roman"/>
          <w:sz w:val="24"/>
          <w:szCs w:val="24"/>
        </w:rPr>
      </w:pPr>
      <w:r w:rsidRPr="0034720B">
        <w:rPr>
          <w:rFonts w:ascii="Times New Roman" w:hAnsi="Times New Roman" w:cs="Times New Roman"/>
          <w:sz w:val="24"/>
          <w:szCs w:val="24"/>
        </w:rPr>
        <w:t xml:space="preserve">Insumos para boletín N°. </w:t>
      </w:r>
      <w:r w:rsidR="0008564A">
        <w:rPr>
          <w:rFonts w:ascii="Times New Roman" w:hAnsi="Times New Roman" w:cs="Times New Roman"/>
          <w:sz w:val="24"/>
          <w:szCs w:val="24"/>
        </w:rPr>
        <w:t>10</w:t>
      </w:r>
      <w:r w:rsidR="00646EB7" w:rsidRPr="0034720B">
        <w:rPr>
          <w:rFonts w:ascii="Times New Roman" w:hAnsi="Times New Roman" w:cs="Times New Roman"/>
          <w:sz w:val="24"/>
          <w:szCs w:val="24"/>
        </w:rPr>
        <w:t xml:space="preserve"> </w:t>
      </w:r>
      <w:r w:rsidRPr="0034720B">
        <w:rPr>
          <w:rFonts w:ascii="Times New Roman" w:hAnsi="Times New Roman" w:cs="Times New Roman"/>
          <w:sz w:val="24"/>
          <w:szCs w:val="24"/>
        </w:rPr>
        <w:t>del boletín “Competencia en Centroamérica”.</w:t>
      </w:r>
    </w:p>
    <w:p w:rsidR="002131D6" w:rsidRPr="00565D2C" w:rsidRDefault="002131D6" w:rsidP="00565D2C">
      <w:pPr>
        <w:pStyle w:val="Prrafodelista"/>
        <w:spacing w:after="0" w:line="240" w:lineRule="auto"/>
        <w:ind w:left="1080"/>
        <w:jc w:val="both"/>
        <w:rPr>
          <w:rFonts w:ascii="Times New Roman" w:hAnsi="Times New Roman" w:cs="Times New Roman"/>
          <w:sz w:val="24"/>
          <w:szCs w:val="24"/>
        </w:rPr>
      </w:pPr>
    </w:p>
    <w:p w:rsidR="00185AD8" w:rsidRDefault="00185AD8" w:rsidP="00185AD8">
      <w:pPr>
        <w:pStyle w:val="Prrafodelista"/>
        <w:numPr>
          <w:ilvl w:val="0"/>
          <w:numId w:val="13"/>
        </w:numPr>
        <w:rPr>
          <w:rFonts w:ascii="Times New Roman" w:hAnsi="Times New Roman" w:cs="Times New Roman"/>
        </w:rPr>
      </w:pPr>
      <w:r>
        <w:rPr>
          <w:rFonts w:ascii="Times New Roman" w:hAnsi="Times New Roman" w:cs="Times New Roman"/>
        </w:rPr>
        <w:t>Actualización de la página web de la RECAC donde se incorporó el nombre del nuevo Superintendente.</w:t>
      </w:r>
    </w:p>
    <w:p w:rsidR="00890C3E" w:rsidRDefault="00890C3E" w:rsidP="00890C3E">
      <w:pPr>
        <w:pStyle w:val="Prrafodelista"/>
        <w:rPr>
          <w:rFonts w:ascii="Times New Roman" w:hAnsi="Times New Roman" w:cs="Times New Roman"/>
        </w:rPr>
      </w:pPr>
    </w:p>
    <w:p w:rsidR="00FA53AB" w:rsidRDefault="00A54307" w:rsidP="00AE253F">
      <w:pPr>
        <w:pStyle w:val="Prrafodelista"/>
        <w:numPr>
          <w:ilvl w:val="0"/>
          <w:numId w:val="13"/>
        </w:numPr>
        <w:rPr>
          <w:rFonts w:ascii="Times New Roman" w:hAnsi="Times New Roman" w:cs="Times New Roman"/>
          <w:lang w:val="fr-FR"/>
        </w:rPr>
      </w:pPr>
      <w:r>
        <w:rPr>
          <w:rFonts w:ascii="Times New Roman" w:hAnsi="Times New Roman" w:cs="Times New Roman"/>
        </w:rPr>
        <w:t xml:space="preserve">Se </w:t>
      </w:r>
      <w:r w:rsidR="00F255DD">
        <w:rPr>
          <w:rFonts w:ascii="Times New Roman" w:hAnsi="Times New Roman" w:cs="Times New Roman"/>
        </w:rPr>
        <w:t>respondió</w:t>
      </w:r>
      <w:r>
        <w:rPr>
          <w:rFonts w:ascii="Times New Roman" w:hAnsi="Times New Roman" w:cs="Times New Roman"/>
        </w:rPr>
        <w:t xml:space="preserve"> a 5 cuestionarios y se </w:t>
      </w:r>
      <w:r w:rsidR="00F255DD">
        <w:rPr>
          <w:rFonts w:ascii="Times New Roman" w:hAnsi="Times New Roman" w:cs="Times New Roman"/>
        </w:rPr>
        <w:t>brindó</w:t>
      </w:r>
      <w:r>
        <w:rPr>
          <w:rFonts w:ascii="Times New Roman" w:hAnsi="Times New Roman" w:cs="Times New Roman"/>
        </w:rPr>
        <w:t xml:space="preserve"> 1 contribución</w:t>
      </w:r>
      <w:r w:rsidR="00F255DD">
        <w:rPr>
          <w:rFonts w:ascii="Times New Roman" w:hAnsi="Times New Roman" w:cs="Times New Roman"/>
        </w:rPr>
        <w:t>.</w:t>
      </w:r>
      <w:r w:rsidR="0003024C">
        <w:rPr>
          <w:rFonts w:ascii="Times New Roman" w:hAnsi="Times New Roman" w:cs="Times New Roman"/>
        </w:rPr>
        <w:t xml:space="preserve"> </w:t>
      </w:r>
      <w:r w:rsidR="00AE253F" w:rsidRPr="00C11A93">
        <w:rPr>
          <w:rFonts w:ascii="Times New Roman" w:hAnsi="Times New Roman" w:cs="Times New Roman"/>
          <w:lang w:val="en-US"/>
        </w:rPr>
        <w:t xml:space="preserve">(1. ICN – Survey on participation in the International Competition Network, 2. </w:t>
      </w:r>
      <w:proofErr w:type="spellStart"/>
      <w:r w:rsidR="00AE253F" w:rsidRPr="00AE253F">
        <w:rPr>
          <w:rFonts w:ascii="Times New Roman" w:hAnsi="Times New Roman" w:cs="Times New Roman"/>
          <w:lang w:val="fr-FR"/>
        </w:rPr>
        <w:t>Handbook</w:t>
      </w:r>
      <w:proofErr w:type="spellEnd"/>
      <w:r w:rsidR="00AE253F" w:rsidRPr="00AE253F">
        <w:rPr>
          <w:rFonts w:ascii="Times New Roman" w:hAnsi="Times New Roman" w:cs="Times New Roman"/>
          <w:lang w:val="fr-FR"/>
        </w:rPr>
        <w:t xml:space="preserve"> of </w:t>
      </w:r>
      <w:proofErr w:type="spellStart"/>
      <w:r w:rsidR="00AE253F" w:rsidRPr="00AE253F">
        <w:rPr>
          <w:rFonts w:ascii="Times New Roman" w:hAnsi="Times New Roman" w:cs="Times New Roman"/>
          <w:lang w:val="fr-FR"/>
        </w:rPr>
        <w:t>competition</w:t>
      </w:r>
      <w:proofErr w:type="spellEnd"/>
      <w:r w:rsidR="00AE253F" w:rsidRPr="00AE253F">
        <w:rPr>
          <w:rFonts w:ascii="Times New Roman" w:hAnsi="Times New Roman" w:cs="Times New Roman"/>
          <w:lang w:val="fr-FR"/>
        </w:rPr>
        <w:t xml:space="preserve"> </w:t>
      </w:r>
      <w:proofErr w:type="spellStart"/>
      <w:r w:rsidR="00AE253F" w:rsidRPr="00AE253F">
        <w:rPr>
          <w:rFonts w:ascii="Times New Roman" w:hAnsi="Times New Roman" w:cs="Times New Roman"/>
          <w:lang w:val="fr-FR"/>
        </w:rPr>
        <w:t>economics</w:t>
      </w:r>
      <w:proofErr w:type="spellEnd"/>
      <w:r w:rsidR="00AE253F" w:rsidRPr="00AE253F">
        <w:rPr>
          <w:rFonts w:ascii="Times New Roman" w:hAnsi="Times New Roman" w:cs="Times New Roman"/>
          <w:lang w:val="fr-FR"/>
        </w:rPr>
        <w:t xml:space="preserve"> 2019, 3. </w:t>
      </w:r>
      <w:r w:rsidR="00AE253F" w:rsidRPr="00C11A93">
        <w:rPr>
          <w:rFonts w:ascii="Times New Roman" w:hAnsi="Times New Roman" w:cs="Times New Roman"/>
          <w:lang w:val="en-US"/>
        </w:rPr>
        <w:t xml:space="preserve">ICN CWG SG1 Supplementary Questions - Proyecto “key elements for an efficient and effective leniency programme”, 4. </w:t>
      </w:r>
      <w:r w:rsidR="00AE253F" w:rsidRPr="00AE253F">
        <w:rPr>
          <w:rFonts w:ascii="Times New Roman" w:hAnsi="Times New Roman" w:cs="Times New Roman"/>
          <w:lang w:val="fr-FR"/>
        </w:rPr>
        <w:t xml:space="preserve">Use of the </w:t>
      </w:r>
      <w:proofErr w:type="spellStart"/>
      <w:r w:rsidR="00AE253F" w:rsidRPr="00AE253F">
        <w:rPr>
          <w:rFonts w:ascii="Times New Roman" w:hAnsi="Times New Roman" w:cs="Times New Roman"/>
          <w:lang w:val="fr-FR"/>
        </w:rPr>
        <w:t>merger</w:t>
      </w:r>
      <w:proofErr w:type="spellEnd"/>
      <w:r w:rsidR="00AE253F" w:rsidRPr="00AE253F">
        <w:rPr>
          <w:rFonts w:ascii="Times New Roman" w:hAnsi="Times New Roman" w:cs="Times New Roman"/>
          <w:lang w:val="fr-FR"/>
        </w:rPr>
        <w:t xml:space="preserve"> </w:t>
      </w:r>
      <w:proofErr w:type="spellStart"/>
      <w:r w:rsidR="00AE253F" w:rsidRPr="00AE253F">
        <w:rPr>
          <w:rFonts w:ascii="Times New Roman" w:hAnsi="Times New Roman" w:cs="Times New Roman"/>
          <w:lang w:val="fr-FR"/>
        </w:rPr>
        <w:t>framework</w:t>
      </w:r>
      <w:proofErr w:type="spellEnd"/>
      <w:r w:rsidR="00AE253F" w:rsidRPr="00AE253F">
        <w:rPr>
          <w:rFonts w:ascii="Times New Roman" w:hAnsi="Times New Roman" w:cs="Times New Roman"/>
          <w:lang w:val="fr-FR"/>
        </w:rPr>
        <w:t xml:space="preserve">, 5.Project Self </w:t>
      </w:r>
      <w:proofErr w:type="spellStart"/>
      <w:r w:rsidR="00AE253F" w:rsidRPr="00AE253F">
        <w:rPr>
          <w:rFonts w:ascii="Times New Roman" w:hAnsi="Times New Roman" w:cs="Times New Roman"/>
          <w:lang w:val="fr-FR"/>
        </w:rPr>
        <w:t>Asessment</w:t>
      </w:r>
      <w:proofErr w:type="spellEnd"/>
      <w:r w:rsidR="00AE253F" w:rsidRPr="00AE253F">
        <w:rPr>
          <w:rFonts w:ascii="Times New Roman" w:hAnsi="Times New Roman" w:cs="Times New Roman"/>
          <w:lang w:val="fr-FR"/>
        </w:rPr>
        <w:t xml:space="preserve"> Dominance  y 1 </w:t>
      </w:r>
      <w:proofErr w:type="spellStart"/>
      <w:r w:rsidR="00AE253F" w:rsidRPr="00AE253F">
        <w:rPr>
          <w:rFonts w:ascii="Times New Roman" w:hAnsi="Times New Roman" w:cs="Times New Roman"/>
          <w:lang w:val="fr-FR"/>
        </w:rPr>
        <w:t>contribución</w:t>
      </w:r>
      <w:proofErr w:type="spellEnd"/>
      <w:r w:rsidR="00AE253F" w:rsidRPr="00AE253F">
        <w:rPr>
          <w:rFonts w:ascii="Times New Roman" w:hAnsi="Times New Roman" w:cs="Times New Roman"/>
          <w:lang w:val="fr-FR"/>
        </w:rPr>
        <w:t xml:space="preserve"> </w:t>
      </w:r>
      <w:r w:rsidR="0084260C">
        <w:rPr>
          <w:rFonts w:ascii="Times New Roman" w:hAnsi="Times New Roman" w:cs="Times New Roman"/>
          <w:lang w:val="fr-FR"/>
        </w:rPr>
        <w:t xml:space="preserve">para </w:t>
      </w:r>
      <w:proofErr w:type="spellStart"/>
      <w:r w:rsidR="00AE253F" w:rsidRPr="00AE253F">
        <w:rPr>
          <w:rFonts w:ascii="Times New Roman" w:hAnsi="Times New Roman" w:cs="Times New Roman"/>
          <w:lang w:val="fr-FR"/>
        </w:rPr>
        <w:t>Draft</w:t>
      </w:r>
      <w:proofErr w:type="spellEnd"/>
      <w:r w:rsidR="00AE253F" w:rsidRPr="00AE253F">
        <w:rPr>
          <w:rFonts w:ascii="Times New Roman" w:hAnsi="Times New Roman" w:cs="Times New Roman"/>
          <w:lang w:val="fr-FR"/>
        </w:rPr>
        <w:t xml:space="preserve"> </w:t>
      </w:r>
      <w:proofErr w:type="spellStart"/>
      <w:r w:rsidR="00AE253F" w:rsidRPr="00AE253F">
        <w:rPr>
          <w:rFonts w:ascii="Times New Roman" w:hAnsi="Times New Roman" w:cs="Times New Roman"/>
          <w:lang w:val="fr-FR"/>
        </w:rPr>
        <w:t>Multilateral</w:t>
      </w:r>
      <w:proofErr w:type="spellEnd"/>
      <w:r w:rsidR="00AE253F" w:rsidRPr="00AE253F">
        <w:rPr>
          <w:rFonts w:ascii="Times New Roman" w:hAnsi="Times New Roman" w:cs="Times New Roman"/>
          <w:lang w:val="fr-FR"/>
        </w:rPr>
        <w:t xml:space="preserve"> Framework on </w:t>
      </w:r>
      <w:proofErr w:type="spellStart"/>
      <w:r w:rsidR="00AE253F" w:rsidRPr="00AE253F">
        <w:rPr>
          <w:rFonts w:ascii="Times New Roman" w:hAnsi="Times New Roman" w:cs="Times New Roman"/>
          <w:lang w:val="fr-FR"/>
        </w:rPr>
        <w:t>Procedures</w:t>
      </w:r>
      <w:proofErr w:type="spellEnd"/>
      <w:r w:rsidR="00AE253F" w:rsidRPr="00AE253F">
        <w:rPr>
          <w:rFonts w:ascii="Times New Roman" w:hAnsi="Times New Roman" w:cs="Times New Roman"/>
          <w:lang w:val="fr-FR"/>
        </w:rPr>
        <w:t xml:space="preserve"> in the Field of Investigation and Application of </w:t>
      </w:r>
      <w:proofErr w:type="spellStart"/>
      <w:r w:rsidR="00AE253F" w:rsidRPr="00AE253F">
        <w:rPr>
          <w:rFonts w:ascii="Times New Roman" w:hAnsi="Times New Roman" w:cs="Times New Roman"/>
          <w:lang w:val="fr-FR"/>
        </w:rPr>
        <w:t>Competition</w:t>
      </w:r>
      <w:proofErr w:type="spellEnd"/>
      <w:r w:rsidR="00AE253F" w:rsidRPr="00AE253F">
        <w:rPr>
          <w:rFonts w:ascii="Times New Roman" w:hAnsi="Times New Roman" w:cs="Times New Roman"/>
          <w:lang w:val="fr-FR"/>
        </w:rPr>
        <w:t xml:space="preserve"> Law)</w:t>
      </w:r>
      <w:r w:rsidR="0084260C">
        <w:rPr>
          <w:rFonts w:ascii="Times New Roman" w:hAnsi="Times New Roman" w:cs="Times New Roman"/>
          <w:lang w:val="fr-FR"/>
        </w:rPr>
        <w:t>.</w:t>
      </w:r>
    </w:p>
    <w:p w:rsidR="00890C3E" w:rsidRPr="00890C3E" w:rsidRDefault="00890C3E" w:rsidP="00890C3E">
      <w:pPr>
        <w:pStyle w:val="Prrafodelista"/>
        <w:rPr>
          <w:rFonts w:ascii="Times New Roman" w:hAnsi="Times New Roman" w:cs="Times New Roman"/>
          <w:lang w:val="fr-FR"/>
        </w:rPr>
      </w:pPr>
    </w:p>
    <w:p w:rsidR="00890C3E" w:rsidRPr="00AE253F" w:rsidRDefault="00890C3E" w:rsidP="00890C3E">
      <w:pPr>
        <w:pStyle w:val="Prrafodelista"/>
        <w:rPr>
          <w:rFonts w:ascii="Times New Roman" w:hAnsi="Times New Roman" w:cs="Times New Roman"/>
          <w:lang w:val="fr-FR"/>
        </w:rPr>
      </w:pPr>
    </w:p>
    <w:p w:rsidR="00F255DD" w:rsidRDefault="00001A8E" w:rsidP="00F255DD">
      <w:pPr>
        <w:pStyle w:val="Prrafodelista"/>
        <w:numPr>
          <w:ilvl w:val="0"/>
          <w:numId w:val="13"/>
        </w:numPr>
        <w:rPr>
          <w:rFonts w:ascii="Times New Roman" w:hAnsi="Times New Roman" w:cs="Times New Roman"/>
        </w:rPr>
      </w:pPr>
      <w:r>
        <w:rPr>
          <w:rFonts w:ascii="Times New Roman" w:hAnsi="Times New Roman" w:cs="Times New Roman"/>
        </w:rPr>
        <w:t xml:space="preserve">Se reporta la </w:t>
      </w:r>
      <w:r w:rsidR="00E52B46">
        <w:rPr>
          <w:rFonts w:ascii="Times New Roman" w:hAnsi="Times New Roman" w:cs="Times New Roman"/>
        </w:rPr>
        <w:t>gestión</w:t>
      </w:r>
      <w:r>
        <w:rPr>
          <w:rFonts w:ascii="Times New Roman" w:hAnsi="Times New Roman" w:cs="Times New Roman"/>
        </w:rPr>
        <w:t xml:space="preserve"> de </w:t>
      </w:r>
      <w:r w:rsidR="00E52B46">
        <w:rPr>
          <w:rFonts w:ascii="Times New Roman" w:hAnsi="Times New Roman" w:cs="Times New Roman"/>
        </w:rPr>
        <w:t xml:space="preserve">7 misiones oficiales: Día de la competencia y semana de la competencia en Honduras, reunión ordinaria de comité ejecutivo SICA, foro latinoamericano e iberoamericano de competencia, VII reunión anual del grupo de trabajo sobre competencia y comercio, Escuela de verano latinoamericana sobre política económica de competencia, ICN Unilateral </w:t>
      </w:r>
      <w:proofErr w:type="spellStart"/>
      <w:r w:rsidR="00E52B46">
        <w:rPr>
          <w:rFonts w:ascii="Times New Roman" w:hAnsi="Times New Roman" w:cs="Times New Roman"/>
        </w:rPr>
        <w:t>Conduct</w:t>
      </w:r>
      <w:proofErr w:type="spellEnd"/>
      <w:r w:rsidR="00E52B46">
        <w:rPr>
          <w:rFonts w:ascii="Times New Roman" w:hAnsi="Times New Roman" w:cs="Times New Roman"/>
        </w:rPr>
        <w:t xml:space="preserve"> y curso técnicas de predicción de ingresos públicos.</w:t>
      </w:r>
    </w:p>
    <w:p w:rsidR="00890C3E" w:rsidRDefault="00890C3E" w:rsidP="00890C3E">
      <w:pPr>
        <w:pStyle w:val="Prrafodelista"/>
        <w:rPr>
          <w:rFonts w:ascii="Times New Roman" w:hAnsi="Times New Roman" w:cs="Times New Roman"/>
        </w:rPr>
      </w:pPr>
    </w:p>
    <w:p w:rsidR="00477E00" w:rsidRDefault="00477E00" w:rsidP="00F255DD">
      <w:pPr>
        <w:pStyle w:val="Prrafodelista"/>
        <w:numPr>
          <w:ilvl w:val="0"/>
          <w:numId w:val="13"/>
        </w:numPr>
        <w:rPr>
          <w:rFonts w:ascii="Times New Roman" w:hAnsi="Times New Roman" w:cs="Times New Roman"/>
        </w:rPr>
      </w:pPr>
      <w:r>
        <w:rPr>
          <w:rFonts w:ascii="Times New Roman" w:hAnsi="Times New Roman" w:cs="Times New Roman"/>
        </w:rPr>
        <w:t>La IAC reporta la asistencia a 13 reuniones del SNPC.</w:t>
      </w:r>
    </w:p>
    <w:p w:rsidR="00890C3E" w:rsidRDefault="00890C3E" w:rsidP="00890C3E">
      <w:pPr>
        <w:pStyle w:val="Prrafodelista"/>
        <w:rPr>
          <w:rFonts w:ascii="Times New Roman" w:hAnsi="Times New Roman" w:cs="Times New Roman"/>
        </w:rPr>
      </w:pPr>
    </w:p>
    <w:p w:rsidR="00477E00" w:rsidRDefault="00C170A8" w:rsidP="00F255DD">
      <w:pPr>
        <w:pStyle w:val="Prrafodelista"/>
        <w:numPr>
          <w:ilvl w:val="0"/>
          <w:numId w:val="13"/>
        </w:numPr>
        <w:rPr>
          <w:rFonts w:ascii="Times New Roman" w:hAnsi="Times New Roman" w:cs="Times New Roman"/>
        </w:rPr>
      </w:pPr>
      <w:r>
        <w:rPr>
          <w:rFonts w:ascii="Times New Roman" w:hAnsi="Times New Roman" w:cs="Times New Roman"/>
        </w:rPr>
        <w:t>19 eventos realizados.</w:t>
      </w:r>
    </w:p>
    <w:p w:rsidR="00890C3E" w:rsidRDefault="00890C3E" w:rsidP="00890C3E">
      <w:pPr>
        <w:pStyle w:val="Prrafodelista"/>
        <w:rPr>
          <w:rFonts w:ascii="Times New Roman" w:hAnsi="Times New Roman" w:cs="Times New Roman"/>
        </w:rPr>
      </w:pPr>
    </w:p>
    <w:p w:rsidR="00C170A8" w:rsidRDefault="00CC0B68" w:rsidP="00F255DD">
      <w:pPr>
        <w:pStyle w:val="Prrafodelista"/>
        <w:numPr>
          <w:ilvl w:val="0"/>
          <w:numId w:val="13"/>
        </w:numPr>
        <w:rPr>
          <w:rFonts w:ascii="Times New Roman" w:hAnsi="Times New Roman" w:cs="Times New Roman"/>
        </w:rPr>
      </w:pPr>
      <w:r>
        <w:rPr>
          <w:rFonts w:ascii="Times New Roman" w:hAnsi="Times New Roman" w:cs="Times New Roman"/>
        </w:rPr>
        <w:t xml:space="preserve">Se realizaron eventos de participación ciudadana: en </w:t>
      </w:r>
      <w:proofErr w:type="spellStart"/>
      <w:r>
        <w:rPr>
          <w:rFonts w:ascii="Times New Roman" w:hAnsi="Times New Roman" w:cs="Times New Roman"/>
        </w:rPr>
        <w:t>expoferia</w:t>
      </w:r>
      <w:proofErr w:type="spellEnd"/>
      <w:r>
        <w:rPr>
          <w:rFonts w:ascii="Times New Roman" w:hAnsi="Times New Roman" w:cs="Times New Roman"/>
        </w:rPr>
        <w:t xml:space="preserve"> de la Defensoría del Consumidor, primer congreso nacional de la micro y pequeña empresa y realización de audiencia pública de rendición de cuentas.</w:t>
      </w:r>
    </w:p>
    <w:p w:rsidR="00890C3E" w:rsidRPr="00890C3E" w:rsidRDefault="00890C3E" w:rsidP="00890C3E">
      <w:pPr>
        <w:pStyle w:val="Prrafodelista"/>
        <w:rPr>
          <w:rFonts w:ascii="Times New Roman" w:hAnsi="Times New Roman" w:cs="Times New Roman"/>
        </w:rPr>
      </w:pPr>
    </w:p>
    <w:p w:rsidR="00CC0B68" w:rsidRDefault="00A43F94" w:rsidP="00F255DD">
      <w:pPr>
        <w:pStyle w:val="Prrafodelista"/>
        <w:numPr>
          <w:ilvl w:val="0"/>
          <w:numId w:val="13"/>
        </w:numPr>
        <w:rPr>
          <w:rFonts w:ascii="Times New Roman" w:hAnsi="Times New Roman" w:cs="Times New Roman"/>
        </w:rPr>
      </w:pPr>
      <w:r>
        <w:rPr>
          <w:rFonts w:ascii="Times New Roman" w:hAnsi="Times New Roman" w:cs="Times New Roman"/>
        </w:rPr>
        <w:t>Se atendieron 18 consultas ciudadanas.</w:t>
      </w:r>
    </w:p>
    <w:p w:rsidR="00890C3E" w:rsidRPr="00890C3E" w:rsidRDefault="00890C3E" w:rsidP="00890C3E">
      <w:pPr>
        <w:pStyle w:val="Prrafodelista"/>
        <w:rPr>
          <w:rFonts w:ascii="Times New Roman" w:hAnsi="Times New Roman" w:cs="Times New Roman"/>
        </w:rPr>
      </w:pPr>
    </w:p>
    <w:p w:rsidR="00A43F94" w:rsidRDefault="003B785D" w:rsidP="003B785D">
      <w:pPr>
        <w:pStyle w:val="Prrafodelista"/>
        <w:numPr>
          <w:ilvl w:val="0"/>
          <w:numId w:val="13"/>
        </w:numPr>
        <w:rPr>
          <w:rFonts w:ascii="Times New Roman" w:hAnsi="Times New Roman" w:cs="Times New Roman"/>
        </w:rPr>
      </w:pPr>
      <w:r w:rsidRPr="003B785D">
        <w:rPr>
          <w:rFonts w:ascii="Times New Roman" w:hAnsi="Times New Roman" w:cs="Times New Roman"/>
        </w:rPr>
        <w:t xml:space="preserve">Creación del contenido para fomentar la participación de las MYPE en condiciones de competencia en las compras públicas (material sobre competencia y compras públicas dirigido a la MYPE). Material digital: 1) </w:t>
      </w:r>
      <w:proofErr w:type="spellStart"/>
      <w:r w:rsidRPr="003B785D">
        <w:rPr>
          <w:rFonts w:ascii="Times New Roman" w:hAnsi="Times New Roman" w:cs="Times New Roman"/>
        </w:rPr>
        <w:t>Landing</w:t>
      </w:r>
      <w:proofErr w:type="spellEnd"/>
      <w:r w:rsidRPr="003B785D">
        <w:rPr>
          <w:rFonts w:ascii="Times New Roman" w:hAnsi="Times New Roman" w:cs="Times New Roman"/>
        </w:rPr>
        <w:t xml:space="preserve"> Espaciomype.com, </w:t>
      </w:r>
      <w:r w:rsidR="00D67227" w:rsidRPr="003B785D">
        <w:rPr>
          <w:rFonts w:ascii="Times New Roman" w:hAnsi="Times New Roman" w:cs="Times New Roman"/>
        </w:rPr>
        <w:t>2. Video</w:t>
      </w:r>
      <w:r w:rsidRPr="003B785D">
        <w:rPr>
          <w:rFonts w:ascii="Times New Roman" w:hAnsi="Times New Roman" w:cs="Times New Roman"/>
        </w:rPr>
        <w:t xml:space="preserve">: </w:t>
      </w:r>
      <w:r w:rsidR="00D67227" w:rsidRPr="003B785D">
        <w:rPr>
          <w:rFonts w:ascii="Times New Roman" w:hAnsi="Times New Roman" w:cs="Times New Roman"/>
        </w:rPr>
        <w:t>¿Quieres venderle al gobierno?</w:t>
      </w:r>
      <w:r w:rsidRPr="003B785D">
        <w:rPr>
          <w:rFonts w:ascii="Times New Roman" w:hAnsi="Times New Roman" w:cs="Times New Roman"/>
        </w:rPr>
        <w:t xml:space="preserve">, Material impreso: 3) </w:t>
      </w:r>
      <w:proofErr w:type="spellStart"/>
      <w:r w:rsidRPr="003B785D">
        <w:rPr>
          <w:rFonts w:ascii="Times New Roman" w:hAnsi="Times New Roman" w:cs="Times New Roman"/>
        </w:rPr>
        <w:t>bifoliar</w:t>
      </w:r>
      <w:proofErr w:type="spellEnd"/>
      <w:r w:rsidRPr="003B785D">
        <w:rPr>
          <w:rFonts w:ascii="Times New Roman" w:hAnsi="Times New Roman" w:cs="Times New Roman"/>
        </w:rPr>
        <w:t xml:space="preserve"> "Venderle al gobierno es fácil. Conoce cómo venderle al gobierno en 3 pasos y los beneficios de venderle al Estado". Se adjunta: 1. imágenes del </w:t>
      </w:r>
      <w:proofErr w:type="spellStart"/>
      <w:r w:rsidRPr="003B785D">
        <w:rPr>
          <w:rFonts w:ascii="Times New Roman" w:hAnsi="Times New Roman" w:cs="Times New Roman"/>
        </w:rPr>
        <w:t>Landing</w:t>
      </w:r>
      <w:proofErr w:type="spellEnd"/>
      <w:r w:rsidRPr="003B785D">
        <w:rPr>
          <w:rFonts w:ascii="Times New Roman" w:hAnsi="Times New Roman" w:cs="Times New Roman"/>
        </w:rPr>
        <w:t xml:space="preserve"> y del video y 2. </w:t>
      </w:r>
      <w:proofErr w:type="spellStart"/>
      <w:r w:rsidRPr="003B785D">
        <w:rPr>
          <w:rFonts w:ascii="Times New Roman" w:hAnsi="Times New Roman" w:cs="Times New Roman"/>
        </w:rPr>
        <w:t>bifoliar</w:t>
      </w:r>
      <w:proofErr w:type="spellEnd"/>
      <w:r w:rsidRPr="003B785D">
        <w:rPr>
          <w:rFonts w:ascii="Times New Roman" w:hAnsi="Times New Roman" w:cs="Times New Roman"/>
        </w:rPr>
        <w:t>.</w:t>
      </w:r>
    </w:p>
    <w:p w:rsidR="00890C3E" w:rsidRPr="00890C3E" w:rsidRDefault="00890C3E" w:rsidP="00890C3E">
      <w:pPr>
        <w:pStyle w:val="Prrafodelista"/>
        <w:rPr>
          <w:rFonts w:ascii="Times New Roman" w:hAnsi="Times New Roman" w:cs="Times New Roman"/>
        </w:rPr>
      </w:pPr>
    </w:p>
    <w:p w:rsidR="00D67227" w:rsidRDefault="00D67227" w:rsidP="003B785D">
      <w:pPr>
        <w:pStyle w:val="Prrafodelista"/>
        <w:numPr>
          <w:ilvl w:val="0"/>
          <w:numId w:val="13"/>
        </w:numPr>
        <w:rPr>
          <w:rFonts w:ascii="Times New Roman" w:hAnsi="Times New Roman" w:cs="Times New Roman"/>
        </w:rPr>
      </w:pPr>
      <w:r>
        <w:rPr>
          <w:rFonts w:ascii="Times New Roman" w:hAnsi="Times New Roman" w:cs="Times New Roman"/>
        </w:rPr>
        <w:t xml:space="preserve">Medición de impacto en el sector </w:t>
      </w:r>
      <w:r w:rsidR="009B47B9">
        <w:rPr>
          <w:rFonts w:ascii="Times New Roman" w:hAnsi="Times New Roman" w:cs="Times New Roman"/>
        </w:rPr>
        <w:t>gasolinera</w:t>
      </w:r>
      <w:r>
        <w:rPr>
          <w:rFonts w:ascii="Times New Roman" w:hAnsi="Times New Roman" w:cs="Times New Roman"/>
        </w:rPr>
        <w:t>.</w:t>
      </w:r>
    </w:p>
    <w:p w:rsidR="00890C3E" w:rsidRPr="00890C3E" w:rsidRDefault="00890C3E" w:rsidP="00890C3E">
      <w:pPr>
        <w:pStyle w:val="Prrafodelista"/>
        <w:rPr>
          <w:rFonts w:ascii="Times New Roman" w:hAnsi="Times New Roman" w:cs="Times New Roman"/>
        </w:rPr>
      </w:pPr>
    </w:p>
    <w:p w:rsidR="00D67227" w:rsidRDefault="00D67227" w:rsidP="003B785D">
      <w:pPr>
        <w:pStyle w:val="Prrafodelista"/>
        <w:numPr>
          <w:ilvl w:val="0"/>
          <w:numId w:val="13"/>
        </w:numPr>
        <w:rPr>
          <w:rFonts w:ascii="Times New Roman" w:hAnsi="Times New Roman" w:cs="Times New Roman"/>
        </w:rPr>
      </w:pPr>
      <w:r>
        <w:rPr>
          <w:rFonts w:ascii="Times New Roman" w:hAnsi="Times New Roman" w:cs="Times New Roman"/>
        </w:rPr>
        <w:t>Cooperaci</w:t>
      </w:r>
      <w:r w:rsidR="00E00F70">
        <w:rPr>
          <w:rFonts w:ascii="Times New Roman" w:hAnsi="Times New Roman" w:cs="Times New Roman"/>
        </w:rPr>
        <w:t>ón obtenida</w:t>
      </w:r>
      <w:r>
        <w:rPr>
          <w:rFonts w:ascii="Times New Roman" w:hAnsi="Times New Roman" w:cs="Times New Roman"/>
        </w:rPr>
        <w:t>: 1. P</w:t>
      </w:r>
      <w:r w:rsidRPr="00D67227">
        <w:rPr>
          <w:rFonts w:ascii="Times New Roman" w:hAnsi="Times New Roman" w:cs="Times New Roman"/>
        </w:rPr>
        <w:t xml:space="preserve">royecto "superando los obstáculos de las </w:t>
      </w:r>
      <w:r>
        <w:rPr>
          <w:rFonts w:ascii="Times New Roman" w:hAnsi="Times New Roman" w:cs="Times New Roman"/>
        </w:rPr>
        <w:t>MYPE</w:t>
      </w:r>
      <w:r w:rsidRPr="00D67227">
        <w:rPr>
          <w:rFonts w:ascii="Times New Roman" w:hAnsi="Times New Roman" w:cs="Times New Roman"/>
        </w:rPr>
        <w:t xml:space="preserve"> como proveedores del sector público en el salvador; con un enfoque de competencia"</w:t>
      </w:r>
      <w:r>
        <w:rPr>
          <w:rFonts w:ascii="Times New Roman" w:hAnsi="Times New Roman" w:cs="Times New Roman"/>
        </w:rPr>
        <w:t xml:space="preserve">, 2. </w:t>
      </w:r>
      <w:r w:rsidR="00E00F70">
        <w:rPr>
          <w:rFonts w:ascii="Times New Roman" w:hAnsi="Times New Roman" w:cs="Times New Roman"/>
        </w:rPr>
        <w:t>Tres</w:t>
      </w:r>
      <w:r>
        <w:rPr>
          <w:rFonts w:ascii="Times New Roman" w:hAnsi="Times New Roman" w:cs="Times New Roman"/>
        </w:rPr>
        <w:t xml:space="preserve"> conferencias </w:t>
      </w:r>
      <w:r w:rsidR="00E00F70">
        <w:rPr>
          <w:rFonts w:ascii="Times New Roman" w:hAnsi="Times New Roman" w:cs="Times New Roman"/>
        </w:rPr>
        <w:t>vía</w:t>
      </w:r>
      <w:r>
        <w:rPr>
          <w:rFonts w:ascii="Times New Roman" w:hAnsi="Times New Roman" w:cs="Times New Roman"/>
        </w:rPr>
        <w:t xml:space="preserve"> telefónica </w:t>
      </w:r>
      <w:r w:rsidR="00E00F70">
        <w:rPr>
          <w:rFonts w:ascii="Times New Roman" w:hAnsi="Times New Roman" w:cs="Times New Roman"/>
        </w:rPr>
        <w:t xml:space="preserve">del International </w:t>
      </w:r>
      <w:proofErr w:type="spellStart"/>
      <w:r w:rsidR="00E00F70">
        <w:rPr>
          <w:rFonts w:ascii="Times New Roman" w:hAnsi="Times New Roman" w:cs="Times New Roman"/>
        </w:rPr>
        <w:t>Competition</w:t>
      </w:r>
      <w:proofErr w:type="spellEnd"/>
      <w:r w:rsidR="00E00F70">
        <w:rPr>
          <w:rFonts w:ascii="Times New Roman" w:hAnsi="Times New Roman" w:cs="Times New Roman"/>
        </w:rPr>
        <w:t xml:space="preserve"> Network, 3. Asistencia Técnica de la Comisión Federal de Comercio y del Departamento de Justicia en Taller sobre Remedios, 4. Misión Oficial a para el día de la competencia en Honduras cubierta por la Comisión para la Defensa y Promoción de la Competencia de Honduras y 5. Reorientación FORD </w:t>
      </w:r>
      <w:r w:rsidR="0065695D">
        <w:rPr>
          <w:rFonts w:ascii="Times New Roman" w:hAnsi="Times New Roman" w:cs="Times New Roman"/>
        </w:rPr>
        <w:t>para efectuar actividades de divulgación y comunicaciones.</w:t>
      </w:r>
    </w:p>
    <w:p w:rsidR="00BD4615" w:rsidRPr="0065695D" w:rsidRDefault="0065695D" w:rsidP="0065695D">
      <w:pPr>
        <w:pStyle w:val="Default"/>
        <w:jc w:val="both"/>
        <w:rPr>
          <w:rFonts w:ascii="Times New Roman" w:hAnsi="Times New Roman" w:cs="Times New Roman"/>
        </w:rPr>
      </w:pPr>
      <w:r w:rsidRPr="00890C3E">
        <w:rPr>
          <w:rFonts w:ascii="Times New Roman" w:hAnsi="Times New Roman" w:cs="Times New Roman"/>
          <w:b/>
          <w:noProof/>
          <w:lang w:val="es-SV"/>
        </w:rPr>
        <w:drawing>
          <wp:anchor distT="0" distB="0" distL="114300" distR="114300" simplePos="0" relativeHeight="251822080" behindDoc="1" locked="0" layoutInCell="1" allowOverlap="1">
            <wp:simplePos x="0" y="0"/>
            <wp:positionH relativeFrom="column">
              <wp:posOffset>-3810</wp:posOffset>
            </wp:positionH>
            <wp:positionV relativeFrom="paragraph">
              <wp:posOffset>295275</wp:posOffset>
            </wp:positionV>
            <wp:extent cx="5934710" cy="1384670"/>
            <wp:effectExtent l="0" t="0" r="0" b="6350"/>
            <wp:wrapTight wrapText="bothSides">
              <wp:wrapPolygon edited="0">
                <wp:start x="0" y="0"/>
                <wp:lineTo x="0" y="21402"/>
                <wp:lineTo x="21494" y="21402"/>
                <wp:lineTo x="2149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710" cy="1384670"/>
                    </a:xfrm>
                    <a:prstGeom prst="rect">
                      <a:avLst/>
                    </a:prstGeom>
                    <a:noFill/>
                  </pic:spPr>
                </pic:pic>
              </a:graphicData>
            </a:graphic>
          </wp:anchor>
        </w:drawing>
      </w:r>
      <w:r w:rsidR="00BD4615" w:rsidRPr="00890C3E">
        <w:rPr>
          <w:rFonts w:ascii="Times New Roman" w:hAnsi="Times New Roman" w:cs="Times New Roman"/>
          <w:b/>
        </w:rPr>
        <w:t>Detalle de las actividades con ejecución media o baja</w:t>
      </w:r>
      <w:r w:rsidR="002C1735" w:rsidRPr="00890C3E">
        <w:rPr>
          <w:rFonts w:ascii="Times New Roman" w:hAnsi="Times New Roman" w:cs="Times New Roman"/>
          <w:b/>
        </w:rPr>
        <w:t xml:space="preserve"> de la IAC</w:t>
      </w:r>
      <w:r w:rsidR="00BD4615" w:rsidRPr="00890C3E">
        <w:rPr>
          <w:rFonts w:ascii="Times New Roman" w:hAnsi="Times New Roman" w:cs="Times New Roman"/>
          <w:b/>
        </w:rPr>
        <w:t>:</w:t>
      </w:r>
    </w:p>
    <w:p w:rsidR="000A12E5" w:rsidRPr="009A3453" w:rsidRDefault="00AA0BF0" w:rsidP="009A3453">
      <w:pPr>
        <w:pStyle w:val="Prrafodelista"/>
        <w:numPr>
          <w:ilvl w:val="1"/>
          <w:numId w:val="11"/>
        </w:numPr>
        <w:spacing w:after="0" w:line="240" w:lineRule="auto"/>
        <w:jc w:val="both"/>
        <w:rPr>
          <w:rFonts w:ascii="Times New Roman" w:hAnsi="Times New Roman" w:cs="Times New Roman"/>
          <w:sz w:val="24"/>
          <w:szCs w:val="24"/>
        </w:rPr>
      </w:pPr>
      <w:r w:rsidRPr="009A3453">
        <w:rPr>
          <w:rFonts w:ascii="Times New Roman" w:hAnsi="Times New Roman" w:cs="Times New Roman"/>
          <w:sz w:val="24"/>
          <w:szCs w:val="24"/>
        </w:rPr>
        <w:t xml:space="preserve">En la AE.1.1.2, los documentos que se elaboran para el boletín aún están en estado de revisión. </w:t>
      </w:r>
    </w:p>
    <w:p w:rsidR="00AA0BF0" w:rsidRDefault="00AA0BF0" w:rsidP="009A3453">
      <w:pPr>
        <w:pStyle w:val="Prrafodelista"/>
        <w:numPr>
          <w:ilvl w:val="1"/>
          <w:numId w:val="11"/>
        </w:numPr>
        <w:spacing w:after="0" w:line="240" w:lineRule="auto"/>
        <w:jc w:val="both"/>
        <w:rPr>
          <w:rFonts w:ascii="Times New Roman" w:hAnsi="Times New Roman" w:cs="Times New Roman"/>
          <w:sz w:val="24"/>
          <w:szCs w:val="24"/>
        </w:rPr>
      </w:pPr>
      <w:r w:rsidRPr="009A3453">
        <w:rPr>
          <w:rFonts w:ascii="Times New Roman" w:hAnsi="Times New Roman" w:cs="Times New Roman"/>
          <w:sz w:val="24"/>
          <w:szCs w:val="24"/>
        </w:rPr>
        <w:t>En la AE.2.3.5, se contrataron 3 pasantes en lugar de 5.</w:t>
      </w:r>
    </w:p>
    <w:p w:rsidR="00890C3E" w:rsidRPr="009A3453" w:rsidRDefault="00890C3E" w:rsidP="00890C3E">
      <w:pPr>
        <w:pStyle w:val="Prrafodelista"/>
        <w:spacing w:after="0" w:line="240" w:lineRule="auto"/>
        <w:ind w:left="360"/>
        <w:jc w:val="both"/>
        <w:rPr>
          <w:rFonts w:ascii="Times New Roman" w:hAnsi="Times New Roman" w:cs="Times New Roman"/>
          <w:sz w:val="24"/>
          <w:szCs w:val="24"/>
        </w:rPr>
      </w:pPr>
    </w:p>
    <w:p w:rsidR="00AA0BF0" w:rsidRPr="009A3453" w:rsidRDefault="00AA0BF0" w:rsidP="009A3453">
      <w:pPr>
        <w:pStyle w:val="Prrafodelista"/>
        <w:numPr>
          <w:ilvl w:val="1"/>
          <w:numId w:val="11"/>
        </w:numPr>
        <w:spacing w:after="0" w:line="240" w:lineRule="auto"/>
        <w:jc w:val="both"/>
        <w:rPr>
          <w:rFonts w:ascii="Times New Roman" w:hAnsi="Times New Roman" w:cs="Times New Roman"/>
          <w:sz w:val="24"/>
          <w:szCs w:val="24"/>
        </w:rPr>
      </w:pPr>
      <w:r w:rsidRPr="009A3453">
        <w:rPr>
          <w:rFonts w:ascii="Times New Roman" w:hAnsi="Times New Roman" w:cs="Times New Roman"/>
          <w:sz w:val="24"/>
          <w:szCs w:val="24"/>
        </w:rPr>
        <w:t>En la AE.4.3.4, quedo un 15% pendiente en el diseño de la seguridad organizacional y el diseño de las TIC y la seguridad física de la información.</w:t>
      </w:r>
    </w:p>
    <w:p w:rsidR="00AA0BF0" w:rsidRPr="00565D2C" w:rsidRDefault="00AA0BF0" w:rsidP="00565D2C">
      <w:pPr>
        <w:spacing w:after="0" w:line="240" w:lineRule="auto"/>
        <w:jc w:val="both"/>
        <w:rPr>
          <w:rFonts w:ascii="Times New Roman" w:hAnsi="Times New Roman" w:cs="Times New Roman"/>
          <w:sz w:val="24"/>
          <w:szCs w:val="24"/>
        </w:rPr>
      </w:pPr>
    </w:p>
    <w:p w:rsidR="009A3453" w:rsidRDefault="009A3453" w:rsidP="00565D2C">
      <w:pPr>
        <w:pStyle w:val="Prrafodelista"/>
        <w:jc w:val="both"/>
        <w:rPr>
          <w:rFonts w:ascii="Times New Roman" w:hAnsi="Times New Roman" w:cs="Times New Roman"/>
          <w:sz w:val="24"/>
          <w:szCs w:val="24"/>
        </w:rPr>
      </w:pPr>
    </w:p>
    <w:p w:rsidR="00414DD1" w:rsidRPr="00565D2C" w:rsidRDefault="00B26991" w:rsidP="00565D2C">
      <w:pPr>
        <w:pStyle w:val="Ttulo2"/>
        <w:numPr>
          <w:ilvl w:val="0"/>
          <w:numId w:val="12"/>
        </w:numPr>
        <w:rPr>
          <w:rFonts w:ascii="Times New Roman" w:hAnsi="Times New Roman" w:cs="Times New Roman"/>
          <w:szCs w:val="24"/>
        </w:rPr>
      </w:pPr>
      <w:bookmarkStart w:id="3" w:name="_Toc530046488"/>
      <w:r w:rsidRPr="00565D2C">
        <w:rPr>
          <w:rFonts w:ascii="Times New Roman" w:hAnsi="Times New Roman" w:cs="Times New Roman"/>
          <w:szCs w:val="24"/>
        </w:rPr>
        <w:t>Intendencia Económica</w:t>
      </w:r>
      <w:r w:rsidR="002A250A" w:rsidRPr="00565D2C">
        <w:rPr>
          <w:rFonts w:ascii="Times New Roman" w:hAnsi="Times New Roman" w:cs="Times New Roman"/>
          <w:szCs w:val="24"/>
        </w:rPr>
        <w:t xml:space="preserve"> (IE)</w:t>
      </w:r>
      <w:bookmarkEnd w:id="3"/>
    </w:p>
    <w:p w:rsidR="000F5BA2" w:rsidRPr="00565D2C" w:rsidRDefault="000F5BA2" w:rsidP="00565D2C">
      <w:pPr>
        <w:spacing w:after="0" w:line="240" w:lineRule="auto"/>
        <w:jc w:val="both"/>
        <w:rPr>
          <w:rFonts w:ascii="Times New Roman" w:hAnsi="Times New Roman" w:cs="Times New Roman"/>
          <w:b/>
          <w:sz w:val="24"/>
          <w:szCs w:val="24"/>
        </w:rPr>
      </w:pPr>
    </w:p>
    <w:p w:rsidR="00414DD1" w:rsidRPr="00565D2C" w:rsidRDefault="000A12E5"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801600" behindDoc="1" locked="0" layoutInCell="1" allowOverlap="1">
            <wp:simplePos x="0" y="0"/>
            <wp:positionH relativeFrom="column">
              <wp:posOffset>-3810</wp:posOffset>
            </wp:positionH>
            <wp:positionV relativeFrom="paragraph">
              <wp:posOffset>0</wp:posOffset>
            </wp:positionV>
            <wp:extent cx="2386330" cy="557530"/>
            <wp:effectExtent l="0" t="0" r="0" b="0"/>
            <wp:wrapTight wrapText="bothSides">
              <wp:wrapPolygon edited="0">
                <wp:start x="0" y="0"/>
                <wp:lineTo x="0" y="20665"/>
                <wp:lineTo x="21382" y="20665"/>
                <wp:lineTo x="2138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6330" cy="557530"/>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800576" behindDoc="1" locked="0" layoutInCell="1" allowOverlap="1">
            <wp:simplePos x="0" y="0"/>
            <wp:positionH relativeFrom="column">
              <wp:posOffset>3138805</wp:posOffset>
            </wp:positionH>
            <wp:positionV relativeFrom="paragraph">
              <wp:posOffset>3810</wp:posOffset>
            </wp:positionV>
            <wp:extent cx="2277110" cy="557530"/>
            <wp:effectExtent l="0" t="0" r="8890" b="0"/>
            <wp:wrapTight wrapText="bothSides">
              <wp:wrapPolygon edited="0">
                <wp:start x="0" y="0"/>
                <wp:lineTo x="0" y="19927"/>
                <wp:lineTo x="21504" y="19927"/>
                <wp:lineTo x="21504"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7110" cy="557530"/>
                    </a:xfrm>
                    <a:prstGeom prst="rect">
                      <a:avLst/>
                    </a:prstGeom>
                    <a:noFill/>
                  </pic:spPr>
                </pic:pic>
              </a:graphicData>
            </a:graphic>
            <wp14:sizeRelH relativeFrom="margin">
              <wp14:pctWidth>0</wp14:pctWidth>
            </wp14:sizeRelH>
            <wp14:sizeRelV relativeFrom="margin">
              <wp14:pctHeight>0</wp14:pctHeight>
            </wp14:sizeRelV>
          </wp:anchor>
        </w:drawing>
      </w:r>
    </w:p>
    <w:p w:rsidR="00D57DFB" w:rsidRPr="00565D2C" w:rsidRDefault="00D57DFB" w:rsidP="00565D2C">
      <w:pPr>
        <w:spacing w:after="0" w:line="240" w:lineRule="auto"/>
        <w:jc w:val="both"/>
        <w:rPr>
          <w:rFonts w:ascii="Times New Roman" w:hAnsi="Times New Roman" w:cs="Times New Roman"/>
          <w:sz w:val="24"/>
          <w:szCs w:val="24"/>
        </w:rPr>
      </w:pPr>
    </w:p>
    <w:p w:rsidR="00D57DFB" w:rsidRPr="00565D2C" w:rsidRDefault="00D57DFB" w:rsidP="00565D2C">
      <w:pPr>
        <w:spacing w:after="0" w:line="240" w:lineRule="auto"/>
        <w:jc w:val="both"/>
        <w:rPr>
          <w:rFonts w:ascii="Times New Roman" w:hAnsi="Times New Roman" w:cs="Times New Roman"/>
          <w:sz w:val="24"/>
          <w:szCs w:val="24"/>
        </w:rPr>
      </w:pPr>
    </w:p>
    <w:p w:rsidR="002A250A" w:rsidRPr="00565D2C" w:rsidRDefault="002A250A" w:rsidP="00565D2C">
      <w:pPr>
        <w:spacing w:after="0" w:line="240" w:lineRule="auto"/>
        <w:jc w:val="both"/>
        <w:rPr>
          <w:rFonts w:ascii="Times New Roman" w:hAnsi="Times New Roman" w:cs="Times New Roman"/>
          <w:sz w:val="24"/>
          <w:szCs w:val="24"/>
        </w:rPr>
      </w:pPr>
    </w:p>
    <w:p w:rsidR="00241BAF" w:rsidRPr="00565D2C" w:rsidRDefault="00030A98" w:rsidP="00565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IE tuvo un logro del 96.84</w:t>
      </w:r>
      <w:r w:rsidR="00241BAF" w:rsidRPr="00565D2C">
        <w:rPr>
          <w:rFonts w:ascii="Times New Roman" w:hAnsi="Times New Roman" w:cs="Times New Roman"/>
          <w:sz w:val="24"/>
          <w:szCs w:val="24"/>
        </w:rPr>
        <w:t xml:space="preserve">% en las actividades planificadas en el </w:t>
      </w:r>
      <w:r>
        <w:rPr>
          <w:rFonts w:ascii="Times New Roman" w:hAnsi="Times New Roman" w:cs="Times New Roman"/>
          <w:sz w:val="24"/>
          <w:szCs w:val="24"/>
        </w:rPr>
        <w:t>tercer</w:t>
      </w:r>
      <w:r w:rsidR="00241BAF" w:rsidRPr="00565D2C">
        <w:rPr>
          <w:rFonts w:ascii="Times New Roman" w:hAnsi="Times New Roman" w:cs="Times New Roman"/>
          <w:sz w:val="24"/>
          <w:szCs w:val="24"/>
        </w:rPr>
        <w:t xml:space="preserve"> </w:t>
      </w:r>
      <w:r>
        <w:rPr>
          <w:rFonts w:ascii="Times New Roman" w:hAnsi="Times New Roman" w:cs="Times New Roman"/>
          <w:sz w:val="24"/>
          <w:szCs w:val="24"/>
        </w:rPr>
        <w:t>trimestre</w:t>
      </w:r>
      <w:r w:rsidR="00241BAF" w:rsidRPr="00565D2C">
        <w:rPr>
          <w:rFonts w:ascii="Times New Roman" w:hAnsi="Times New Roman" w:cs="Times New Roman"/>
          <w:sz w:val="24"/>
          <w:szCs w:val="24"/>
        </w:rPr>
        <w:t>.</w:t>
      </w:r>
    </w:p>
    <w:p w:rsidR="00241BAF" w:rsidRPr="00565D2C" w:rsidRDefault="00241BAF" w:rsidP="00565D2C">
      <w:pPr>
        <w:spacing w:after="0" w:line="240" w:lineRule="auto"/>
        <w:jc w:val="both"/>
        <w:rPr>
          <w:rFonts w:ascii="Times New Roman" w:hAnsi="Times New Roman" w:cs="Times New Roman"/>
          <w:sz w:val="24"/>
          <w:szCs w:val="24"/>
        </w:rPr>
      </w:pPr>
    </w:p>
    <w:p w:rsidR="00241BAF" w:rsidRPr="00565D2C" w:rsidRDefault="00241BAF"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Las actividades ejecutadas exitosamente por la IE son las siguientes: </w:t>
      </w:r>
    </w:p>
    <w:p w:rsidR="00123B28" w:rsidRPr="00565D2C" w:rsidRDefault="00123B2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F34171" w:rsidRPr="00565D2C" w:rsidRDefault="00F34171" w:rsidP="00565D2C">
      <w:pPr>
        <w:spacing w:after="0" w:line="240" w:lineRule="auto"/>
        <w:jc w:val="both"/>
        <w:rPr>
          <w:rFonts w:ascii="Times New Roman" w:hAnsi="Times New Roman" w:cs="Times New Roman"/>
          <w:sz w:val="24"/>
          <w:szCs w:val="24"/>
        </w:rPr>
      </w:pPr>
    </w:p>
    <w:p w:rsidR="00DD6ED9" w:rsidRDefault="00030A98"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Primer informe de</w:t>
      </w:r>
      <w:r w:rsidR="00A14852" w:rsidRPr="00565D2C">
        <w:rPr>
          <w:rFonts w:ascii="Times New Roman" w:hAnsi="Times New Roman" w:cs="Times New Roman"/>
          <w:sz w:val="24"/>
          <w:szCs w:val="24"/>
        </w:rPr>
        <w:t>l estudio de competencia en materiales de construcción: cemento, asfalto, y arrendamiento de maquinaria.</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135E73" w:rsidRDefault="00030A98"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 xml:space="preserve">Primer informe </w:t>
      </w:r>
      <w:r w:rsidR="00135E73" w:rsidRPr="00565D2C">
        <w:rPr>
          <w:rFonts w:ascii="Times New Roman" w:hAnsi="Times New Roman" w:cs="Times New Roman"/>
          <w:sz w:val="24"/>
          <w:szCs w:val="24"/>
        </w:rPr>
        <w:t>del estudio de competencia en la prestación de servicios financieros a las micro y pequeñas empresas (MYPES) en El Salvador.</w:t>
      </w:r>
    </w:p>
    <w:p w:rsidR="00030A98" w:rsidRPr="00030A98" w:rsidRDefault="00030A98" w:rsidP="00030A98">
      <w:pPr>
        <w:pStyle w:val="Prrafodelista"/>
        <w:rPr>
          <w:rFonts w:ascii="Times New Roman" w:hAnsi="Times New Roman" w:cs="Times New Roman"/>
          <w:sz w:val="24"/>
          <w:szCs w:val="24"/>
        </w:rPr>
      </w:pPr>
    </w:p>
    <w:p w:rsidR="00030A98" w:rsidRDefault="00030A98"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Resolución emitida del estudio de competencia sobre caracterización del mercado de carne bovina y sus condiciones de competencia en El Salvador.</w:t>
      </w:r>
    </w:p>
    <w:p w:rsidR="00535C43" w:rsidRPr="00535C43" w:rsidRDefault="00535C43" w:rsidP="00535C43">
      <w:pPr>
        <w:pStyle w:val="Prrafodelista"/>
        <w:rPr>
          <w:rFonts w:ascii="Times New Roman" w:hAnsi="Times New Roman" w:cs="Times New Roman"/>
          <w:sz w:val="24"/>
          <w:szCs w:val="24"/>
        </w:rPr>
      </w:pPr>
    </w:p>
    <w:p w:rsidR="00135E73" w:rsidRPr="00030A98" w:rsidRDefault="00030A98" w:rsidP="003D73FA">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030A98">
        <w:rPr>
          <w:rFonts w:ascii="Times New Roman" w:hAnsi="Times New Roman" w:cs="Times New Roman"/>
          <w:sz w:val="24"/>
          <w:szCs w:val="24"/>
        </w:rPr>
        <w:t>1</w:t>
      </w:r>
      <w:r w:rsidR="00135E73" w:rsidRPr="00030A98">
        <w:rPr>
          <w:rFonts w:ascii="Times New Roman" w:hAnsi="Times New Roman" w:cs="Times New Roman"/>
          <w:sz w:val="24"/>
          <w:szCs w:val="24"/>
        </w:rPr>
        <w:t xml:space="preserve"> sesi</w:t>
      </w:r>
      <w:r w:rsidRPr="00030A98">
        <w:rPr>
          <w:rFonts w:ascii="Times New Roman" w:hAnsi="Times New Roman" w:cs="Times New Roman"/>
          <w:sz w:val="24"/>
          <w:szCs w:val="24"/>
        </w:rPr>
        <w:t>ó</w:t>
      </w:r>
      <w:r w:rsidR="00135E73" w:rsidRPr="00030A98">
        <w:rPr>
          <w:rFonts w:ascii="Times New Roman" w:hAnsi="Times New Roman" w:cs="Times New Roman"/>
          <w:sz w:val="24"/>
          <w:szCs w:val="24"/>
        </w:rPr>
        <w:t xml:space="preserve">n de divulgación: presentación sobre </w:t>
      </w:r>
      <w:r w:rsidRPr="00030A98">
        <w:rPr>
          <w:rFonts w:ascii="Times New Roman" w:hAnsi="Times New Roman" w:cs="Times New Roman"/>
          <w:sz w:val="24"/>
          <w:szCs w:val="24"/>
        </w:rPr>
        <w:t>estudio de caracterización del mercado de financiamiento MYPE.</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097790" w:rsidRDefault="00030A98"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1</w:t>
      </w:r>
      <w:r w:rsidR="00097790" w:rsidRPr="00565D2C">
        <w:rPr>
          <w:rFonts w:ascii="Times New Roman" w:hAnsi="Times New Roman" w:cs="Times New Roman"/>
          <w:sz w:val="24"/>
          <w:szCs w:val="24"/>
        </w:rPr>
        <w:t xml:space="preserve"> artículo de difusión de contenido técnico </w:t>
      </w:r>
      <w:r>
        <w:rPr>
          <w:rFonts w:ascii="Times New Roman" w:hAnsi="Times New Roman" w:cs="Times New Roman"/>
          <w:sz w:val="24"/>
          <w:szCs w:val="24"/>
        </w:rPr>
        <w:t>sobre concentraciones económicas en mercados regulados.</w:t>
      </w:r>
    </w:p>
    <w:p w:rsidR="00535C43" w:rsidRPr="00535C43" w:rsidRDefault="00535C43" w:rsidP="00535C43">
      <w:pPr>
        <w:pStyle w:val="Prrafodelista"/>
        <w:rPr>
          <w:rFonts w:ascii="Times New Roman" w:hAnsi="Times New Roman" w:cs="Times New Roman"/>
          <w:sz w:val="24"/>
          <w:szCs w:val="24"/>
        </w:rPr>
      </w:pPr>
    </w:p>
    <w:p w:rsidR="00097790" w:rsidRDefault="000D3507"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 xml:space="preserve">Participación en mesa interinstitucional para revisar 2 proyectos de normas a petición del Banco Central de Reserva: “Normas Técnicas para la Transparencia de la Información de los Servicios Financieros” (1) y “Normas Técnicas para el Sistema de tarjetas de </w:t>
      </w:r>
      <w:r w:rsidR="00CB39FA" w:rsidRPr="00565D2C">
        <w:rPr>
          <w:rFonts w:ascii="Times New Roman" w:hAnsi="Times New Roman" w:cs="Times New Roman"/>
          <w:sz w:val="24"/>
          <w:szCs w:val="24"/>
        </w:rPr>
        <w:t>Crédito</w:t>
      </w:r>
      <w:r w:rsidRPr="00565D2C">
        <w:rPr>
          <w:rFonts w:ascii="Times New Roman" w:hAnsi="Times New Roman" w:cs="Times New Roman"/>
          <w:sz w:val="24"/>
          <w:szCs w:val="24"/>
        </w:rPr>
        <w:t>”</w:t>
      </w:r>
      <w:r w:rsidR="00097790" w:rsidRPr="00565D2C">
        <w:rPr>
          <w:rFonts w:ascii="Times New Roman" w:hAnsi="Times New Roman" w:cs="Times New Roman"/>
          <w:sz w:val="24"/>
          <w:szCs w:val="24"/>
        </w:rPr>
        <w:t xml:space="preserve"> </w:t>
      </w:r>
      <w:r w:rsidRPr="00565D2C">
        <w:rPr>
          <w:rFonts w:ascii="Times New Roman" w:hAnsi="Times New Roman" w:cs="Times New Roman"/>
          <w:sz w:val="24"/>
          <w:szCs w:val="24"/>
        </w:rPr>
        <w:t>(2).</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5C54C9" w:rsidRDefault="005C54C9"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Boletín informativo con monitoreo de “</w:t>
      </w:r>
      <w:r w:rsidR="00030A98">
        <w:rPr>
          <w:rFonts w:ascii="Times New Roman" w:hAnsi="Times New Roman" w:cs="Times New Roman"/>
          <w:sz w:val="24"/>
          <w:szCs w:val="24"/>
        </w:rPr>
        <w:t>Combustible líquido</w:t>
      </w:r>
      <w:r w:rsidRPr="00565D2C">
        <w:rPr>
          <w:rFonts w:ascii="Times New Roman" w:hAnsi="Times New Roman" w:cs="Times New Roman"/>
          <w:sz w:val="24"/>
          <w:szCs w:val="24"/>
        </w:rPr>
        <w:t>”.</w:t>
      </w:r>
    </w:p>
    <w:p w:rsidR="00535C43" w:rsidRPr="00535C43" w:rsidRDefault="00535C43" w:rsidP="00535C43">
      <w:pPr>
        <w:pStyle w:val="Prrafodelista"/>
        <w:rPr>
          <w:rFonts w:ascii="Times New Roman" w:hAnsi="Times New Roman" w:cs="Times New Roman"/>
          <w:sz w:val="24"/>
          <w:szCs w:val="24"/>
        </w:rPr>
      </w:pPr>
    </w:p>
    <w:p w:rsidR="00535C43" w:rsidRDefault="00A313B8" w:rsidP="00890C3E">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A313B8">
        <w:rPr>
          <w:rFonts w:ascii="Times New Roman" w:hAnsi="Times New Roman" w:cs="Times New Roman"/>
          <w:sz w:val="24"/>
          <w:szCs w:val="24"/>
        </w:rPr>
        <w:t>3</w:t>
      </w:r>
      <w:r w:rsidR="003B32A4" w:rsidRPr="00A313B8">
        <w:rPr>
          <w:rFonts w:ascii="Times New Roman" w:hAnsi="Times New Roman" w:cs="Times New Roman"/>
          <w:sz w:val="24"/>
          <w:szCs w:val="24"/>
        </w:rPr>
        <w:t xml:space="preserve"> solicitudes de concentraciones resueltas:</w:t>
      </w:r>
      <w:r w:rsidR="008B20D1" w:rsidRPr="00A313B8">
        <w:rPr>
          <w:rFonts w:ascii="Times New Roman" w:hAnsi="Times New Roman" w:cs="Times New Roman"/>
          <w:sz w:val="24"/>
          <w:szCs w:val="24"/>
        </w:rPr>
        <w:t xml:space="preserve"> </w:t>
      </w:r>
      <w:r>
        <w:rPr>
          <w:rFonts w:ascii="Times New Roman" w:hAnsi="Times New Roman" w:cs="Times New Roman"/>
          <w:sz w:val="24"/>
          <w:szCs w:val="24"/>
        </w:rPr>
        <w:t xml:space="preserve">2 improcedentes: 1) </w:t>
      </w:r>
      <w:r w:rsidRPr="00A313B8">
        <w:rPr>
          <w:rFonts w:ascii="Times New Roman" w:hAnsi="Times New Roman" w:cs="Times New Roman"/>
          <w:sz w:val="24"/>
          <w:szCs w:val="24"/>
        </w:rPr>
        <w:t xml:space="preserve">SC-009-S/CE/R-2018. SBA Torres El Salvador, S.A. de C.V.; </w:t>
      </w:r>
      <w:proofErr w:type="spellStart"/>
      <w:r w:rsidRPr="00A313B8">
        <w:rPr>
          <w:rFonts w:ascii="Times New Roman" w:hAnsi="Times New Roman" w:cs="Times New Roman"/>
          <w:sz w:val="24"/>
          <w:szCs w:val="24"/>
        </w:rPr>
        <w:t>Telemóvil</w:t>
      </w:r>
      <w:proofErr w:type="spellEnd"/>
      <w:r w:rsidRPr="00A313B8">
        <w:rPr>
          <w:rFonts w:ascii="Times New Roman" w:hAnsi="Times New Roman" w:cs="Times New Roman"/>
          <w:sz w:val="24"/>
          <w:szCs w:val="24"/>
        </w:rPr>
        <w:t xml:space="preserve"> El Salvador, S.A. de C.V. / Infraestructura de telecomunicaciones. FECHA DE RESOLUCIÓN: 25/07/2018</w:t>
      </w:r>
      <w:r>
        <w:rPr>
          <w:rFonts w:ascii="Times New Roman" w:hAnsi="Times New Roman" w:cs="Times New Roman"/>
          <w:sz w:val="24"/>
          <w:szCs w:val="24"/>
        </w:rPr>
        <w:t xml:space="preserve"> y 2) </w:t>
      </w:r>
      <w:r w:rsidRPr="00A313B8">
        <w:rPr>
          <w:rFonts w:ascii="Times New Roman" w:hAnsi="Times New Roman" w:cs="Times New Roman"/>
          <w:sz w:val="24"/>
          <w:szCs w:val="24"/>
        </w:rPr>
        <w:t xml:space="preserve">SC-023-S/CE/NR-2018.  General Business Machine </w:t>
      </w:r>
      <w:proofErr w:type="spellStart"/>
      <w:r w:rsidRPr="00A313B8">
        <w:rPr>
          <w:rFonts w:ascii="Times New Roman" w:hAnsi="Times New Roman" w:cs="Times New Roman"/>
          <w:sz w:val="24"/>
          <w:szCs w:val="24"/>
        </w:rPr>
        <w:t>Corporation</w:t>
      </w:r>
      <w:proofErr w:type="spellEnd"/>
      <w:r w:rsidRPr="00A313B8">
        <w:rPr>
          <w:rFonts w:ascii="Times New Roman" w:hAnsi="Times New Roman" w:cs="Times New Roman"/>
          <w:sz w:val="24"/>
          <w:szCs w:val="24"/>
        </w:rPr>
        <w:t xml:space="preserve">, GBM de El Salvador, S.A. de C.V. y </w:t>
      </w:r>
      <w:proofErr w:type="spellStart"/>
      <w:r w:rsidRPr="00A313B8">
        <w:rPr>
          <w:rFonts w:ascii="Times New Roman" w:hAnsi="Times New Roman" w:cs="Times New Roman"/>
          <w:sz w:val="24"/>
          <w:szCs w:val="24"/>
        </w:rPr>
        <w:t>Lat</w:t>
      </w:r>
      <w:proofErr w:type="spellEnd"/>
      <w:r w:rsidRPr="00A313B8">
        <w:rPr>
          <w:rFonts w:ascii="Times New Roman" w:hAnsi="Times New Roman" w:cs="Times New Roman"/>
          <w:sz w:val="24"/>
          <w:szCs w:val="24"/>
        </w:rPr>
        <w:t xml:space="preserve"> Capital </w:t>
      </w:r>
      <w:proofErr w:type="spellStart"/>
      <w:r w:rsidRPr="00A313B8">
        <w:rPr>
          <w:rFonts w:ascii="Times New Roman" w:hAnsi="Times New Roman" w:cs="Times New Roman"/>
          <w:sz w:val="24"/>
          <w:szCs w:val="24"/>
        </w:rPr>
        <w:t>Solutions</w:t>
      </w:r>
      <w:proofErr w:type="spellEnd"/>
      <w:r w:rsidRPr="00A313B8">
        <w:rPr>
          <w:rFonts w:ascii="Times New Roman" w:hAnsi="Times New Roman" w:cs="Times New Roman"/>
          <w:sz w:val="24"/>
          <w:szCs w:val="24"/>
        </w:rPr>
        <w:t xml:space="preserve"> S.A. de C.V./ Software y equipo informático. FECHA DE RESOLUCIÓN:26/09/2018</w:t>
      </w:r>
      <w:r>
        <w:rPr>
          <w:rFonts w:ascii="Times New Roman" w:hAnsi="Times New Roman" w:cs="Times New Roman"/>
          <w:sz w:val="24"/>
          <w:szCs w:val="24"/>
        </w:rPr>
        <w:t xml:space="preserve">; y 1 inadmisible: </w:t>
      </w:r>
      <w:r w:rsidRPr="00A313B8">
        <w:rPr>
          <w:rFonts w:ascii="Times New Roman" w:hAnsi="Times New Roman" w:cs="Times New Roman"/>
          <w:sz w:val="24"/>
          <w:szCs w:val="24"/>
        </w:rPr>
        <w:t>SC-010-S/CE/R-2018. Uno El Salvador, S.A. y Alimentos Móviles, S.A. de C.V. / Combustibles. FECHA DE RESOLUCIÓN:12/09/2018</w:t>
      </w:r>
      <w:r>
        <w:rPr>
          <w:rFonts w:ascii="Times New Roman" w:hAnsi="Times New Roman" w:cs="Times New Roman"/>
          <w:sz w:val="24"/>
          <w:szCs w:val="24"/>
        </w:rPr>
        <w:t>.</w:t>
      </w:r>
    </w:p>
    <w:p w:rsidR="00A313B8" w:rsidRPr="00A313B8" w:rsidRDefault="00A313B8" w:rsidP="00A313B8">
      <w:pPr>
        <w:pStyle w:val="Prrafodelista"/>
        <w:rPr>
          <w:rFonts w:ascii="Times New Roman" w:hAnsi="Times New Roman" w:cs="Times New Roman"/>
          <w:sz w:val="24"/>
          <w:szCs w:val="24"/>
        </w:rPr>
      </w:pPr>
    </w:p>
    <w:p w:rsidR="008C0AB6" w:rsidRPr="00A313B8" w:rsidRDefault="00FC1B88" w:rsidP="00565D2C">
      <w:pPr>
        <w:tabs>
          <w:tab w:val="left" w:pos="567"/>
          <w:tab w:val="left" w:pos="851"/>
          <w:tab w:val="left" w:pos="993"/>
        </w:tabs>
        <w:ind w:left="567"/>
        <w:jc w:val="both"/>
        <w:rPr>
          <w:rFonts w:ascii="Times New Roman" w:hAnsi="Times New Roman" w:cs="Times New Roman"/>
          <w:b/>
          <w:sz w:val="24"/>
          <w:szCs w:val="24"/>
        </w:rPr>
      </w:pPr>
      <w:r w:rsidRPr="00A313B8">
        <w:rPr>
          <w:rFonts w:ascii="Times New Roman" w:hAnsi="Times New Roman" w:cs="Times New Roman"/>
          <w:b/>
          <w:sz w:val="24"/>
          <w:szCs w:val="24"/>
        </w:rPr>
        <w:t>Detalle de las actividades con ejecución media o baja de la IE:</w:t>
      </w:r>
    </w:p>
    <w:p w:rsidR="000A12E5" w:rsidRPr="00565D2C" w:rsidRDefault="000A12E5" w:rsidP="00565D2C">
      <w:pPr>
        <w:tabs>
          <w:tab w:val="left" w:pos="567"/>
          <w:tab w:val="left" w:pos="851"/>
          <w:tab w:val="left" w:pos="993"/>
        </w:tabs>
        <w:ind w:left="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7C1FB0">
            <wp:extent cx="5220335" cy="58108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2356" cy="591327"/>
                    </a:xfrm>
                    <a:prstGeom prst="rect">
                      <a:avLst/>
                    </a:prstGeom>
                    <a:noFill/>
                  </pic:spPr>
                </pic:pic>
              </a:graphicData>
            </a:graphic>
          </wp:inline>
        </w:drawing>
      </w:r>
    </w:p>
    <w:p w:rsidR="00A313B8" w:rsidRPr="00A313B8" w:rsidRDefault="00A313B8" w:rsidP="00A313B8">
      <w:pPr>
        <w:pStyle w:val="Prrafodelista"/>
        <w:numPr>
          <w:ilvl w:val="0"/>
          <w:numId w:val="24"/>
        </w:numPr>
        <w:spacing w:after="0" w:line="240" w:lineRule="auto"/>
        <w:jc w:val="both"/>
        <w:rPr>
          <w:rFonts w:ascii="Times New Roman" w:hAnsi="Times New Roman" w:cs="Times New Roman"/>
          <w:sz w:val="24"/>
          <w:szCs w:val="24"/>
        </w:rPr>
      </w:pPr>
      <w:r w:rsidRPr="00A313B8">
        <w:rPr>
          <w:rFonts w:ascii="Times New Roman" w:hAnsi="Times New Roman" w:cs="Times New Roman"/>
          <w:sz w:val="24"/>
          <w:szCs w:val="24"/>
        </w:rPr>
        <w:t>En la AE.4.3.4, quedo un 15% pendiente en el diseño de la seguridad organizacional y el diseño de las TIC y la seguridad física de la información.</w:t>
      </w:r>
    </w:p>
    <w:p w:rsidR="00182CB0" w:rsidRPr="00565D2C" w:rsidRDefault="00182CB0" w:rsidP="00565D2C">
      <w:pPr>
        <w:pStyle w:val="Prrafodelista"/>
        <w:spacing w:after="0" w:line="240" w:lineRule="auto"/>
        <w:jc w:val="both"/>
        <w:rPr>
          <w:rFonts w:ascii="Times New Roman" w:hAnsi="Times New Roman" w:cs="Times New Roman"/>
          <w:sz w:val="24"/>
          <w:szCs w:val="24"/>
        </w:rPr>
      </w:pPr>
    </w:p>
    <w:p w:rsidR="00414DD1" w:rsidRPr="00565D2C" w:rsidRDefault="004229B0" w:rsidP="00565D2C">
      <w:pPr>
        <w:pStyle w:val="Ttulo2"/>
        <w:numPr>
          <w:ilvl w:val="0"/>
          <w:numId w:val="12"/>
        </w:numPr>
        <w:rPr>
          <w:rFonts w:ascii="Times New Roman" w:hAnsi="Times New Roman" w:cs="Times New Roman"/>
          <w:szCs w:val="24"/>
        </w:rPr>
      </w:pPr>
      <w:bookmarkStart w:id="4" w:name="_Toc530046489"/>
      <w:r w:rsidRPr="00565D2C">
        <w:rPr>
          <w:rFonts w:ascii="Times New Roman" w:hAnsi="Times New Roman" w:cs="Times New Roman"/>
          <w:szCs w:val="24"/>
        </w:rPr>
        <w:t>Intendencia de Investigaciones</w:t>
      </w:r>
      <w:r w:rsidR="002A250A" w:rsidRPr="00565D2C">
        <w:rPr>
          <w:rFonts w:ascii="Times New Roman" w:hAnsi="Times New Roman" w:cs="Times New Roman"/>
          <w:szCs w:val="24"/>
        </w:rPr>
        <w:t xml:space="preserve"> (II)</w:t>
      </w:r>
      <w:bookmarkEnd w:id="4"/>
    </w:p>
    <w:p w:rsidR="004229B0" w:rsidRPr="00565D2C" w:rsidRDefault="005501EB"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t xml:space="preserve"> </w:t>
      </w:r>
    </w:p>
    <w:p w:rsidR="00E52082" w:rsidRPr="00565D2C" w:rsidRDefault="009877E8"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802624" behindDoc="1" locked="0" layoutInCell="1" allowOverlap="1">
            <wp:simplePos x="0" y="0"/>
            <wp:positionH relativeFrom="column">
              <wp:posOffset>3331845</wp:posOffset>
            </wp:positionH>
            <wp:positionV relativeFrom="paragraph">
              <wp:posOffset>19788</wp:posOffset>
            </wp:positionV>
            <wp:extent cx="2251496" cy="549910"/>
            <wp:effectExtent l="0" t="0" r="0" b="0"/>
            <wp:wrapTight wrapText="bothSides">
              <wp:wrapPolygon edited="0">
                <wp:start x="0" y="0"/>
                <wp:lineTo x="0" y="20203"/>
                <wp:lineTo x="21387" y="20203"/>
                <wp:lineTo x="21387" y="0"/>
                <wp:lineTo x="0" y="0"/>
              </wp:wrapPolygon>
            </wp:wrapTight>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1496" cy="549910"/>
                    </a:xfrm>
                    <a:prstGeom prst="rect">
                      <a:avLst/>
                    </a:prstGeom>
                    <a:noFill/>
                  </pic:spPr>
                </pic:pic>
              </a:graphicData>
            </a:graphic>
          </wp:anchor>
        </w:drawing>
      </w:r>
      <w:r>
        <w:rPr>
          <w:rFonts w:ascii="Times New Roman" w:hAnsi="Times New Roman" w:cs="Times New Roman"/>
          <w:noProof/>
          <w:sz w:val="24"/>
          <w:szCs w:val="24"/>
        </w:rPr>
        <w:drawing>
          <wp:inline distT="0" distB="0" distL="0" distR="0" wp14:anchorId="14BACCFB" wp14:editId="5D56768C">
            <wp:extent cx="2399030" cy="562028"/>
            <wp:effectExtent l="0" t="0" r="127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7085" cy="568601"/>
                    </a:xfrm>
                    <a:prstGeom prst="rect">
                      <a:avLst/>
                    </a:prstGeom>
                    <a:noFill/>
                  </pic:spPr>
                </pic:pic>
              </a:graphicData>
            </a:graphic>
          </wp:inline>
        </w:drawing>
      </w:r>
    </w:p>
    <w:p w:rsidR="00842DB9" w:rsidRPr="00565D2C" w:rsidRDefault="00842DB9" w:rsidP="00565D2C">
      <w:pPr>
        <w:spacing w:after="0" w:line="240" w:lineRule="auto"/>
        <w:jc w:val="both"/>
        <w:rPr>
          <w:rFonts w:ascii="Times New Roman" w:hAnsi="Times New Roman" w:cs="Times New Roman"/>
          <w:sz w:val="24"/>
          <w:szCs w:val="24"/>
        </w:rPr>
      </w:pPr>
    </w:p>
    <w:p w:rsidR="009538A5" w:rsidRPr="00565D2C" w:rsidRDefault="009538A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II tuvo un logro del </w:t>
      </w:r>
      <w:r w:rsidR="00A313B8">
        <w:rPr>
          <w:rFonts w:ascii="Times New Roman" w:hAnsi="Times New Roman" w:cs="Times New Roman"/>
          <w:sz w:val="24"/>
          <w:szCs w:val="24"/>
        </w:rPr>
        <w:t>95.00</w:t>
      </w:r>
      <w:r w:rsidRPr="00565D2C">
        <w:rPr>
          <w:rFonts w:ascii="Times New Roman" w:hAnsi="Times New Roman" w:cs="Times New Roman"/>
          <w:sz w:val="24"/>
          <w:szCs w:val="24"/>
        </w:rPr>
        <w:t xml:space="preserve">% en las actividades planificadas en el </w:t>
      </w:r>
      <w:r w:rsidR="00A313B8">
        <w:rPr>
          <w:rFonts w:ascii="Times New Roman" w:hAnsi="Times New Roman" w:cs="Times New Roman"/>
          <w:sz w:val="24"/>
          <w:szCs w:val="24"/>
        </w:rPr>
        <w:t>tercer trimestre</w:t>
      </w:r>
      <w:r w:rsidRPr="00565D2C">
        <w:rPr>
          <w:rFonts w:ascii="Times New Roman" w:hAnsi="Times New Roman" w:cs="Times New Roman"/>
          <w:sz w:val="24"/>
          <w:szCs w:val="24"/>
        </w:rPr>
        <w:t>.</w:t>
      </w:r>
    </w:p>
    <w:p w:rsidR="009538A5" w:rsidRPr="00565D2C" w:rsidRDefault="009538A5" w:rsidP="00565D2C">
      <w:pPr>
        <w:spacing w:after="0" w:line="240" w:lineRule="auto"/>
        <w:jc w:val="both"/>
        <w:rPr>
          <w:rFonts w:ascii="Times New Roman" w:hAnsi="Times New Roman" w:cs="Times New Roman"/>
          <w:sz w:val="24"/>
          <w:szCs w:val="24"/>
        </w:rPr>
      </w:pPr>
    </w:p>
    <w:p w:rsidR="009538A5" w:rsidRPr="00565D2C" w:rsidRDefault="009538A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Las actividades más relevantes ejecutadas exitosamente por la II son las siguientes: </w:t>
      </w:r>
    </w:p>
    <w:p w:rsidR="005501EB" w:rsidRPr="00565D2C" w:rsidRDefault="005501EB"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311F2D" w:rsidRDefault="00311F2D"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Brindo insumos para la elaboración del boletín “Resumen SC. Síntesis Técnica de la Superintendencia de Competencia”.</w:t>
      </w:r>
    </w:p>
    <w:p w:rsidR="00535C43" w:rsidRPr="00565D2C" w:rsidRDefault="00535C43" w:rsidP="00535C43">
      <w:pPr>
        <w:pStyle w:val="Prrafodelista"/>
        <w:tabs>
          <w:tab w:val="left" w:pos="993"/>
        </w:tabs>
        <w:spacing w:after="0" w:line="240" w:lineRule="auto"/>
        <w:jc w:val="both"/>
        <w:rPr>
          <w:rFonts w:ascii="Times New Roman" w:hAnsi="Times New Roman" w:cs="Times New Roman"/>
          <w:sz w:val="24"/>
          <w:szCs w:val="24"/>
        </w:rPr>
      </w:pPr>
    </w:p>
    <w:p w:rsidR="00311F2D" w:rsidRDefault="00CA7820"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 xml:space="preserve">Actualizo el sitio web institucional con </w:t>
      </w:r>
      <w:r w:rsidR="00A313B8">
        <w:rPr>
          <w:rFonts w:ascii="Times New Roman" w:hAnsi="Times New Roman" w:cs="Times New Roman"/>
          <w:sz w:val="24"/>
          <w:szCs w:val="24"/>
        </w:rPr>
        <w:t>10</w:t>
      </w:r>
      <w:r w:rsidRPr="00565D2C">
        <w:rPr>
          <w:rFonts w:ascii="Times New Roman" w:hAnsi="Times New Roman" w:cs="Times New Roman"/>
          <w:sz w:val="24"/>
          <w:szCs w:val="24"/>
        </w:rPr>
        <w:t xml:space="preserve"> entradas.</w:t>
      </w:r>
    </w:p>
    <w:p w:rsidR="00535C43" w:rsidRPr="00565D2C" w:rsidRDefault="00535C43" w:rsidP="00535C43">
      <w:pPr>
        <w:pStyle w:val="Prrafodelista"/>
        <w:tabs>
          <w:tab w:val="left" w:pos="993"/>
        </w:tabs>
        <w:spacing w:after="0" w:line="240" w:lineRule="auto"/>
        <w:jc w:val="both"/>
        <w:rPr>
          <w:rFonts w:ascii="Times New Roman" w:hAnsi="Times New Roman" w:cs="Times New Roman"/>
          <w:sz w:val="24"/>
          <w:szCs w:val="24"/>
        </w:rPr>
      </w:pPr>
    </w:p>
    <w:p w:rsidR="00CA7820" w:rsidRDefault="00A313B8"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1</w:t>
      </w:r>
      <w:r w:rsidR="00CA7820" w:rsidRPr="00565D2C">
        <w:rPr>
          <w:rFonts w:ascii="Times New Roman" w:hAnsi="Times New Roman" w:cs="Times New Roman"/>
          <w:sz w:val="24"/>
          <w:szCs w:val="24"/>
        </w:rPr>
        <w:t xml:space="preserve"> acto</w:t>
      </w:r>
      <w:r>
        <w:rPr>
          <w:rFonts w:ascii="Times New Roman" w:hAnsi="Times New Roman" w:cs="Times New Roman"/>
          <w:sz w:val="24"/>
          <w:szCs w:val="24"/>
        </w:rPr>
        <w:t xml:space="preserve"> procesal</w:t>
      </w:r>
      <w:r w:rsidR="00CA7820" w:rsidRPr="00565D2C">
        <w:rPr>
          <w:rFonts w:ascii="Times New Roman" w:hAnsi="Times New Roman" w:cs="Times New Roman"/>
          <w:sz w:val="24"/>
          <w:szCs w:val="24"/>
        </w:rPr>
        <w:t xml:space="preserve"> a fin de obtener una pronta y cumplida sentencia respecto a </w:t>
      </w:r>
      <w:r>
        <w:rPr>
          <w:rFonts w:ascii="Times New Roman" w:hAnsi="Times New Roman" w:cs="Times New Roman"/>
          <w:sz w:val="24"/>
          <w:szCs w:val="24"/>
        </w:rPr>
        <w:t>Hoteles e inversiones (226-2014).</w:t>
      </w:r>
    </w:p>
    <w:p w:rsidR="00535C43" w:rsidRPr="00535C43" w:rsidRDefault="00535C43" w:rsidP="00535C43">
      <w:pPr>
        <w:pStyle w:val="Prrafodelista"/>
        <w:rPr>
          <w:rFonts w:ascii="Times New Roman" w:hAnsi="Times New Roman" w:cs="Times New Roman"/>
          <w:sz w:val="24"/>
          <w:szCs w:val="24"/>
        </w:rPr>
      </w:pPr>
    </w:p>
    <w:p w:rsidR="00535C43" w:rsidRDefault="00B659F9" w:rsidP="00A313B8">
      <w:pPr>
        <w:pStyle w:val="Prrafodelista"/>
        <w:numPr>
          <w:ilvl w:val="0"/>
          <w:numId w:val="6"/>
        </w:numPr>
        <w:tabs>
          <w:tab w:val="left" w:pos="993"/>
        </w:tabs>
        <w:spacing w:after="0" w:line="240" w:lineRule="auto"/>
        <w:jc w:val="both"/>
        <w:rPr>
          <w:rFonts w:ascii="Times New Roman" w:hAnsi="Times New Roman" w:cs="Times New Roman"/>
          <w:sz w:val="24"/>
          <w:szCs w:val="24"/>
        </w:rPr>
      </w:pPr>
      <w:r w:rsidRPr="00A313B8">
        <w:rPr>
          <w:rFonts w:ascii="Times New Roman" w:hAnsi="Times New Roman" w:cs="Times New Roman"/>
          <w:sz w:val="24"/>
          <w:szCs w:val="24"/>
        </w:rPr>
        <w:t>Se</w:t>
      </w:r>
      <w:r w:rsidR="00A313B8" w:rsidRPr="00A313B8">
        <w:rPr>
          <w:rFonts w:ascii="Times New Roman" w:hAnsi="Times New Roman" w:cs="Times New Roman"/>
          <w:sz w:val="24"/>
          <w:szCs w:val="24"/>
        </w:rPr>
        <w:t>guimiento a 2</w:t>
      </w:r>
      <w:r w:rsidR="00C076AD" w:rsidRPr="00A313B8">
        <w:rPr>
          <w:rFonts w:ascii="Times New Roman" w:hAnsi="Times New Roman" w:cs="Times New Roman"/>
          <w:sz w:val="24"/>
          <w:szCs w:val="24"/>
        </w:rPr>
        <w:t xml:space="preserve"> procesos judiciales </w:t>
      </w:r>
      <w:r w:rsidRPr="00A313B8">
        <w:rPr>
          <w:rFonts w:ascii="Times New Roman" w:hAnsi="Times New Roman" w:cs="Times New Roman"/>
          <w:sz w:val="24"/>
          <w:szCs w:val="24"/>
        </w:rPr>
        <w:t xml:space="preserve">en las salas de la CSJ respecto a </w:t>
      </w:r>
      <w:r w:rsidR="00A313B8" w:rsidRPr="00A313B8">
        <w:rPr>
          <w:rFonts w:ascii="Times New Roman" w:hAnsi="Times New Roman" w:cs="Times New Roman"/>
          <w:sz w:val="24"/>
          <w:szCs w:val="24"/>
        </w:rPr>
        <w:t xml:space="preserve">63-2018 (INCONSTITUCIONALIDAD RELACIONADA CON PRONOBIS); </w:t>
      </w:r>
      <w:r w:rsidR="00A313B8">
        <w:rPr>
          <w:rFonts w:ascii="Times New Roman" w:hAnsi="Times New Roman" w:cs="Times New Roman"/>
          <w:sz w:val="24"/>
          <w:szCs w:val="24"/>
        </w:rPr>
        <w:t>y</w:t>
      </w:r>
      <w:r w:rsidR="00A313B8" w:rsidRPr="00A313B8">
        <w:rPr>
          <w:rFonts w:ascii="Times New Roman" w:hAnsi="Times New Roman" w:cs="Times New Roman"/>
          <w:sz w:val="24"/>
          <w:szCs w:val="24"/>
        </w:rPr>
        <w:t xml:space="preserve"> 00114-18-ST-COAD-1CO (PRE AVISO RELACIONADO CON PRONOBIS)</w:t>
      </w:r>
    </w:p>
    <w:p w:rsidR="00A313B8" w:rsidRPr="00A313B8" w:rsidRDefault="00A313B8" w:rsidP="00A313B8">
      <w:pPr>
        <w:pStyle w:val="Prrafodelista"/>
        <w:rPr>
          <w:rFonts w:ascii="Times New Roman" w:hAnsi="Times New Roman" w:cs="Times New Roman"/>
          <w:sz w:val="24"/>
          <w:szCs w:val="24"/>
        </w:rPr>
      </w:pPr>
    </w:p>
    <w:p w:rsidR="00CA7820" w:rsidRDefault="00B659F9" w:rsidP="003D73FA">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A313B8">
        <w:rPr>
          <w:rFonts w:ascii="Times New Roman" w:hAnsi="Times New Roman" w:cs="Times New Roman"/>
          <w:sz w:val="24"/>
          <w:szCs w:val="24"/>
        </w:rPr>
        <w:t>Se evacu</w:t>
      </w:r>
      <w:r w:rsidR="00A313B8" w:rsidRPr="00A313B8">
        <w:rPr>
          <w:rFonts w:ascii="Times New Roman" w:hAnsi="Times New Roman" w:cs="Times New Roman"/>
          <w:sz w:val="24"/>
          <w:szCs w:val="24"/>
        </w:rPr>
        <w:t>ó</w:t>
      </w:r>
      <w:r w:rsidRPr="00A313B8">
        <w:rPr>
          <w:rFonts w:ascii="Times New Roman" w:hAnsi="Times New Roman" w:cs="Times New Roman"/>
          <w:sz w:val="24"/>
          <w:szCs w:val="24"/>
        </w:rPr>
        <w:t xml:space="preserve"> </w:t>
      </w:r>
      <w:r w:rsidR="00A313B8" w:rsidRPr="00A313B8">
        <w:rPr>
          <w:rFonts w:ascii="Times New Roman" w:hAnsi="Times New Roman" w:cs="Times New Roman"/>
          <w:sz w:val="24"/>
          <w:szCs w:val="24"/>
        </w:rPr>
        <w:t>1 escrito</w:t>
      </w:r>
      <w:r w:rsidRPr="00A313B8">
        <w:rPr>
          <w:rFonts w:ascii="Times New Roman" w:hAnsi="Times New Roman" w:cs="Times New Roman"/>
          <w:sz w:val="24"/>
          <w:szCs w:val="24"/>
        </w:rPr>
        <w:t xml:space="preserve"> solicitado por la Sala de la Corte Suprema de Justicia en los tiempos estipulados: </w:t>
      </w:r>
      <w:r w:rsidR="00A313B8">
        <w:rPr>
          <w:rFonts w:ascii="Times New Roman" w:hAnsi="Times New Roman" w:cs="Times New Roman"/>
          <w:sz w:val="24"/>
          <w:szCs w:val="24"/>
        </w:rPr>
        <w:t>167-2016 (CTE).</w:t>
      </w:r>
    </w:p>
    <w:p w:rsidR="00A313B8" w:rsidRDefault="00A313B8" w:rsidP="00A313B8">
      <w:pPr>
        <w:pStyle w:val="Prrafodelista"/>
        <w:rPr>
          <w:rFonts w:ascii="Times New Roman" w:hAnsi="Times New Roman" w:cs="Times New Roman"/>
          <w:sz w:val="24"/>
          <w:szCs w:val="24"/>
        </w:rPr>
      </w:pPr>
    </w:p>
    <w:p w:rsidR="00890C3E" w:rsidRDefault="00890C3E" w:rsidP="00A313B8">
      <w:pPr>
        <w:pStyle w:val="Prrafodelista"/>
        <w:rPr>
          <w:rFonts w:ascii="Times New Roman" w:hAnsi="Times New Roman" w:cs="Times New Roman"/>
          <w:sz w:val="24"/>
          <w:szCs w:val="24"/>
        </w:rPr>
      </w:pPr>
    </w:p>
    <w:p w:rsidR="009877E8" w:rsidRDefault="009877E8" w:rsidP="00A313B8">
      <w:pPr>
        <w:pStyle w:val="Prrafodelista"/>
        <w:rPr>
          <w:rFonts w:ascii="Times New Roman" w:hAnsi="Times New Roman" w:cs="Times New Roman"/>
          <w:sz w:val="24"/>
          <w:szCs w:val="24"/>
        </w:rPr>
      </w:pPr>
    </w:p>
    <w:p w:rsidR="009877E8" w:rsidRDefault="009877E8" w:rsidP="00A313B8">
      <w:pPr>
        <w:pStyle w:val="Prrafodelista"/>
        <w:rPr>
          <w:rFonts w:ascii="Times New Roman" w:hAnsi="Times New Roman" w:cs="Times New Roman"/>
          <w:sz w:val="24"/>
          <w:szCs w:val="24"/>
        </w:rPr>
      </w:pPr>
    </w:p>
    <w:p w:rsidR="00890C3E" w:rsidRPr="00A313B8" w:rsidRDefault="00890C3E" w:rsidP="00A313B8">
      <w:pPr>
        <w:pStyle w:val="Prrafodelista"/>
        <w:rPr>
          <w:rFonts w:ascii="Times New Roman" w:hAnsi="Times New Roman" w:cs="Times New Roman"/>
          <w:sz w:val="24"/>
          <w:szCs w:val="24"/>
        </w:rPr>
      </w:pPr>
    </w:p>
    <w:p w:rsidR="00A313B8" w:rsidRPr="00A313B8" w:rsidRDefault="00A313B8" w:rsidP="00A313B8">
      <w:pPr>
        <w:pStyle w:val="Prrafodelista"/>
        <w:tabs>
          <w:tab w:val="left" w:pos="993"/>
        </w:tabs>
        <w:spacing w:after="0" w:line="240" w:lineRule="auto"/>
        <w:jc w:val="both"/>
        <w:rPr>
          <w:rFonts w:ascii="Times New Roman" w:hAnsi="Times New Roman" w:cs="Times New Roman"/>
          <w:sz w:val="24"/>
          <w:szCs w:val="24"/>
        </w:rPr>
      </w:pPr>
    </w:p>
    <w:p w:rsidR="00F66EF0" w:rsidRPr="00A313B8" w:rsidRDefault="00F66EF0" w:rsidP="00F66EF0">
      <w:pPr>
        <w:tabs>
          <w:tab w:val="left" w:pos="567"/>
          <w:tab w:val="left" w:pos="851"/>
          <w:tab w:val="left" w:pos="993"/>
        </w:tabs>
        <w:ind w:left="567"/>
        <w:jc w:val="both"/>
        <w:rPr>
          <w:rFonts w:ascii="Times New Roman" w:hAnsi="Times New Roman" w:cs="Times New Roman"/>
          <w:b/>
          <w:sz w:val="24"/>
          <w:szCs w:val="24"/>
        </w:rPr>
      </w:pPr>
      <w:r w:rsidRPr="00A313B8">
        <w:rPr>
          <w:rFonts w:ascii="Times New Roman" w:hAnsi="Times New Roman" w:cs="Times New Roman"/>
          <w:b/>
          <w:sz w:val="24"/>
          <w:szCs w:val="24"/>
        </w:rPr>
        <w:t>Detalle de las actividades con ejecución media o baja de la II:</w:t>
      </w:r>
    </w:p>
    <w:p w:rsidR="00F66EF0" w:rsidRDefault="00F66EF0" w:rsidP="00F66EF0">
      <w:pPr>
        <w:tabs>
          <w:tab w:val="left" w:pos="567"/>
          <w:tab w:val="left" w:pos="851"/>
          <w:tab w:val="left" w:pos="993"/>
        </w:tabs>
        <w:ind w:left="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8D15B4">
            <wp:extent cx="5191760" cy="577904"/>
            <wp:effectExtent l="0" t="0" r="889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892" cy="585043"/>
                    </a:xfrm>
                    <a:prstGeom prst="rect">
                      <a:avLst/>
                    </a:prstGeom>
                    <a:noFill/>
                  </pic:spPr>
                </pic:pic>
              </a:graphicData>
            </a:graphic>
          </wp:inline>
        </w:drawing>
      </w:r>
    </w:p>
    <w:p w:rsidR="00A313B8" w:rsidRPr="00A313B8" w:rsidRDefault="00A313B8" w:rsidP="00A313B8">
      <w:pPr>
        <w:pStyle w:val="Prrafodelista"/>
        <w:numPr>
          <w:ilvl w:val="0"/>
          <w:numId w:val="25"/>
        </w:numPr>
        <w:spacing w:after="0" w:line="240" w:lineRule="auto"/>
        <w:jc w:val="both"/>
        <w:rPr>
          <w:rFonts w:ascii="Times New Roman" w:hAnsi="Times New Roman" w:cs="Times New Roman"/>
          <w:sz w:val="24"/>
          <w:szCs w:val="24"/>
        </w:rPr>
      </w:pPr>
      <w:r w:rsidRPr="00A313B8">
        <w:rPr>
          <w:rFonts w:ascii="Times New Roman" w:hAnsi="Times New Roman" w:cs="Times New Roman"/>
          <w:sz w:val="24"/>
          <w:szCs w:val="24"/>
        </w:rPr>
        <w:t>En la AE.4.3.4, quedo un 15% pendiente en el diseño de la seguridad organizacional y el diseño de las TIC y la seguridad física de la información.</w:t>
      </w:r>
    </w:p>
    <w:p w:rsidR="00F66EF0" w:rsidRPr="00565D2C" w:rsidRDefault="00F66EF0" w:rsidP="00565D2C">
      <w:pPr>
        <w:pStyle w:val="Prrafodelista"/>
        <w:tabs>
          <w:tab w:val="left" w:pos="993"/>
        </w:tabs>
        <w:spacing w:after="0" w:line="240" w:lineRule="auto"/>
        <w:jc w:val="both"/>
        <w:rPr>
          <w:rFonts w:ascii="Times New Roman" w:hAnsi="Times New Roman" w:cs="Times New Roman"/>
          <w:sz w:val="24"/>
          <w:szCs w:val="24"/>
        </w:rPr>
      </w:pPr>
    </w:p>
    <w:p w:rsidR="00746467" w:rsidRPr="00565D2C" w:rsidRDefault="00311F2D" w:rsidP="00565D2C">
      <w:pPr>
        <w:pStyle w:val="Prrafodelista"/>
        <w:tabs>
          <w:tab w:val="left" w:pos="993"/>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7A4354" w:rsidRPr="00565D2C" w:rsidRDefault="007A4354" w:rsidP="00565D2C">
      <w:pPr>
        <w:pStyle w:val="Ttulo2"/>
        <w:numPr>
          <w:ilvl w:val="0"/>
          <w:numId w:val="12"/>
        </w:numPr>
        <w:rPr>
          <w:rFonts w:ascii="Times New Roman" w:hAnsi="Times New Roman" w:cs="Times New Roman"/>
          <w:szCs w:val="24"/>
        </w:rPr>
      </w:pPr>
      <w:bookmarkStart w:id="5" w:name="_Toc530046490"/>
      <w:r w:rsidRPr="00565D2C">
        <w:rPr>
          <w:rFonts w:ascii="Times New Roman" w:hAnsi="Times New Roman" w:cs="Times New Roman"/>
          <w:szCs w:val="24"/>
        </w:rPr>
        <w:t>Unidad de Comunicaciones</w:t>
      </w:r>
      <w:r w:rsidR="003146AE" w:rsidRPr="00565D2C">
        <w:rPr>
          <w:rFonts w:ascii="Times New Roman" w:hAnsi="Times New Roman" w:cs="Times New Roman"/>
          <w:szCs w:val="24"/>
        </w:rPr>
        <w:t xml:space="preserve"> (UC)</w:t>
      </w:r>
      <w:bookmarkEnd w:id="5"/>
    </w:p>
    <w:p w:rsidR="000A3DFD" w:rsidRPr="00565D2C" w:rsidRDefault="00F66EF0"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804672" behindDoc="1" locked="0" layoutInCell="1" allowOverlap="1">
            <wp:simplePos x="0" y="0"/>
            <wp:positionH relativeFrom="column">
              <wp:posOffset>3282315</wp:posOffset>
            </wp:positionH>
            <wp:positionV relativeFrom="paragraph">
              <wp:posOffset>171450</wp:posOffset>
            </wp:positionV>
            <wp:extent cx="2503805" cy="611534"/>
            <wp:effectExtent l="0" t="0" r="0" b="0"/>
            <wp:wrapTight wrapText="bothSides">
              <wp:wrapPolygon edited="0">
                <wp:start x="0" y="0"/>
                <wp:lineTo x="0" y="19514"/>
                <wp:lineTo x="21364" y="19514"/>
                <wp:lineTo x="21364"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3805" cy="611534"/>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803648" behindDoc="1" locked="0" layoutInCell="1" allowOverlap="1">
            <wp:simplePos x="0" y="0"/>
            <wp:positionH relativeFrom="column">
              <wp:posOffset>424815</wp:posOffset>
            </wp:positionH>
            <wp:positionV relativeFrom="paragraph">
              <wp:posOffset>171450</wp:posOffset>
            </wp:positionV>
            <wp:extent cx="2456180" cy="571617"/>
            <wp:effectExtent l="0" t="0" r="1270" b="0"/>
            <wp:wrapTight wrapText="bothSides">
              <wp:wrapPolygon edited="0">
                <wp:start x="0" y="0"/>
                <wp:lineTo x="0" y="20880"/>
                <wp:lineTo x="21444" y="20880"/>
                <wp:lineTo x="21444"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6180" cy="571617"/>
                    </a:xfrm>
                    <a:prstGeom prst="rect">
                      <a:avLst/>
                    </a:prstGeom>
                    <a:noFill/>
                  </pic:spPr>
                </pic:pic>
              </a:graphicData>
            </a:graphic>
          </wp:anchor>
        </w:drawing>
      </w:r>
    </w:p>
    <w:p w:rsidR="00E52082" w:rsidRPr="00565D2C" w:rsidRDefault="00E52082" w:rsidP="00565D2C">
      <w:pPr>
        <w:spacing w:after="0" w:line="240" w:lineRule="auto"/>
        <w:jc w:val="both"/>
        <w:rPr>
          <w:rFonts w:ascii="Times New Roman" w:hAnsi="Times New Roman" w:cs="Times New Roman"/>
          <w:b/>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F56C78" w:rsidRPr="00565D2C" w:rsidRDefault="00F56C7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Unidad d</w:t>
      </w:r>
      <w:r w:rsidR="00CB39FA">
        <w:rPr>
          <w:rFonts w:ascii="Times New Roman" w:hAnsi="Times New Roman" w:cs="Times New Roman"/>
          <w:sz w:val="24"/>
          <w:szCs w:val="24"/>
        </w:rPr>
        <w:t xml:space="preserve">e Comunicaciones ejecutó en un </w:t>
      </w:r>
      <w:r w:rsidR="00185C73">
        <w:rPr>
          <w:rFonts w:ascii="Times New Roman" w:hAnsi="Times New Roman" w:cs="Times New Roman"/>
          <w:sz w:val="24"/>
          <w:szCs w:val="24"/>
        </w:rPr>
        <w:t>100.00</w:t>
      </w:r>
      <w:r w:rsidRPr="00565D2C">
        <w:rPr>
          <w:rFonts w:ascii="Times New Roman" w:hAnsi="Times New Roman" w:cs="Times New Roman"/>
          <w:sz w:val="24"/>
          <w:szCs w:val="24"/>
        </w:rPr>
        <w:t xml:space="preserve">% las actividades </w:t>
      </w:r>
      <w:r w:rsidR="00105668" w:rsidRPr="00565D2C">
        <w:rPr>
          <w:rFonts w:ascii="Times New Roman" w:hAnsi="Times New Roman" w:cs="Times New Roman"/>
          <w:sz w:val="24"/>
          <w:szCs w:val="24"/>
        </w:rPr>
        <w:t>que se programó</w:t>
      </w:r>
      <w:r w:rsidRPr="00565D2C">
        <w:rPr>
          <w:rFonts w:ascii="Times New Roman" w:hAnsi="Times New Roman" w:cs="Times New Roman"/>
          <w:sz w:val="24"/>
          <w:szCs w:val="24"/>
        </w:rPr>
        <w:t>.</w:t>
      </w:r>
    </w:p>
    <w:p w:rsidR="00F56C78" w:rsidRPr="00565D2C" w:rsidRDefault="00F56C78" w:rsidP="00565D2C">
      <w:pPr>
        <w:spacing w:after="0" w:line="240" w:lineRule="auto"/>
        <w:jc w:val="both"/>
        <w:rPr>
          <w:rFonts w:ascii="Times New Roman" w:hAnsi="Times New Roman" w:cs="Times New Roman"/>
          <w:sz w:val="24"/>
          <w:szCs w:val="24"/>
        </w:rPr>
      </w:pPr>
    </w:p>
    <w:p w:rsidR="00A66046" w:rsidRPr="00565D2C" w:rsidRDefault="00A66046"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Dentro de las actividades más relevantes ejecutadas exitosamente se cuenta con: </w:t>
      </w:r>
    </w:p>
    <w:p w:rsidR="00F34171" w:rsidRPr="00565D2C" w:rsidRDefault="00F34171" w:rsidP="00565D2C">
      <w:pPr>
        <w:spacing w:after="0" w:line="240" w:lineRule="auto"/>
        <w:jc w:val="both"/>
        <w:rPr>
          <w:rFonts w:ascii="Times New Roman" w:hAnsi="Times New Roman" w:cs="Times New Roman"/>
          <w:sz w:val="24"/>
          <w:szCs w:val="24"/>
        </w:rPr>
      </w:pPr>
    </w:p>
    <w:p w:rsidR="004F5B3C" w:rsidRPr="00565D2C" w:rsidRDefault="00F812EF" w:rsidP="00565D2C">
      <w:pPr>
        <w:pStyle w:val="Prrafodelista"/>
        <w:numPr>
          <w:ilvl w:val="0"/>
          <w:numId w:val="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Publicación digital del boletín sobre competencia en Centroamérica.</w:t>
      </w:r>
    </w:p>
    <w:p w:rsidR="00F812EF" w:rsidRPr="00565D2C" w:rsidRDefault="00F812EF" w:rsidP="00565D2C">
      <w:pPr>
        <w:spacing w:after="0" w:line="240" w:lineRule="auto"/>
        <w:jc w:val="both"/>
        <w:rPr>
          <w:rFonts w:ascii="Times New Roman" w:hAnsi="Times New Roman" w:cs="Times New Roman"/>
          <w:sz w:val="24"/>
          <w:szCs w:val="24"/>
        </w:rPr>
      </w:pPr>
    </w:p>
    <w:p w:rsidR="00535C43" w:rsidRPr="00532429" w:rsidRDefault="00185C73" w:rsidP="0001555F">
      <w:pPr>
        <w:pStyle w:val="Default"/>
        <w:numPr>
          <w:ilvl w:val="0"/>
          <w:numId w:val="7"/>
        </w:numPr>
        <w:jc w:val="both"/>
        <w:rPr>
          <w:rFonts w:ascii="Times New Roman" w:hAnsi="Times New Roman" w:cs="Times New Roman"/>
        </w:rPr>
      </w:pPr>
      <w:r>
        <w:rPr>
          <w:rFonts w:ascii="Times New Roman" w:hAnsi="Times New Roman" w:cs="Times New Roman"/>
        </w:rPr>
        <w:t>10</w:t>
      </w:r>
      <w:r w:rsidR="00F812EF" w:rsidRPr="00532429">
        <w:rPr>
          <w:rFonts w:ascii="Times New Roman" w:hAnsi="Times New Roman" w:cs="Times New Roman"/>
        </w:rPr>
        <w:t xml:space="preserve"> comunicados de prensa</w:t>
      </w:r>
      <w:r w:rsidR="00A366C6" w:rsidRPr="00532429">
        <w:rPr>
          <w:rFonts w:ascii="Times New Roman" w:hAnsi="Times New Roman" w:cs="Times New Roman"/>
        </w:rPr>
        <w:t xml:space="preserve"> elaborados</w:t>
      </w:r>
      <w:r w:rsidR="00F812EF" w:rsidRPr="00532429">
        <w:rPr>
          <w:rFonts w:ascii="Times New Roman" w:hAnsi="Times New Roman" w:cs="Times New Roman"/>
        </w:rPr>
        <w:t xml:space="preserve">: </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1. UNAC y SC firman Carta de Entendimiento</w:t>
      </w:r>
      <w:r>
        <w:rPr>
          <w:rFonts w:ascii="Times New Roman" w:hAnsi="Times New Roman" w:cs="Times New Roman"/>
        </w:rPr>
        <w:t>.</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 xml:space="preserve">2. Inicio gestión Nelson Guzmán Mendoza. </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 xml:space="preserve">3. SC aprueba adquisición de </w:t>
      </w:r>
      <w:proofErr w:type="spellStart"/>
      <w:r w:rsidRPr="00185C73">
        <w:rPr>
          <w:rFonts w:ascii="Times New Roman" w:hAnsi="Times New Roman" w:cs="Times New Roman"/>
        </w:rPr>
        <w:t>Ne</w:t>
      </w:r>
      <w:r>
        <w:rPr>
          <w:rFonts w:ascii="Times New Roman" w:hAnsi="Times New Roman" w:cs="Times New Roman"/>
        </w:rPr>
        <w:t>japa</w:t>
      </w:r>
      <w:proofErr w:type="spellEnd"/>
      <w:r>
        <w:rPr>
          <w:rFonts w:ascii="Times New Roman" w:hAnsi="Times New Roman" w:cs="Times New Roman"/>
        </w:rPr>
        <w:t xml:space="preserve"> </w:t>
      </w:r>
      <w:proofErr w:type="spellStart"/>
      <w:r>
        <w:rPr>
          <w:rFonts w:ascii="Times New Roman" w:hAnsi="Times New Roman" w:cs="Times New Roman"/>
        </w:rPr>
        <w:t>Power</w:t>
      </w:r>
      <w:proofErr w:type="spellEnd"/>
      <w:r>
        <w:rPr>
          <w:rFonts w:ascii="Times New Roman" w:hAnsi="Times New Roman" w:cs="Times New Roman"/>
        </w:rPr>
        <w:t xml:space="preserve"> </w:t>
      </w:r>
      <w:proofErr w:type="spellStart"/>
      <w:r>
        <w:rPr>
          <w:rFonts w:ascii="Times New Roman" w:hAnsi="Times New Roman" w:cs="Times New Roman"/>
        </w:rPr>
        <w:t>Cenergica</w:t>
      </w:r>
      <w:proofErr w:type="spellEnd"/>
      <w:r>
        <w:rPr>
          <w:rFonts w:ascii="Times New Roman" w:hAnsi="Times New Roman" w:cs="Times New Roman"/>
        </w:rPr>
        <w:t xml:space="preserve"> y </w:t>
      </w:r>
      <w:proofErr w:type="spellStart"/>
      <w:r>
        <w:rPr>
          <w:rFonts w:ascii="Times New Roman" w:hAnsi="Times New Roman" w:cs="Times New Roman"/>
        </w:rPr>
        <w:t>Poliwatt</w:t>
      </w:r>
      <w:proofErr w:type="spellEnd"/>
      <w:r>
        <w:rPr>
          <w:rFonts w:ascii="Times New Roman" w:hAnsi="Times New Roman" w:cs="Times New Roman"/>
        </w:rPr>
        <w:t>.</w:t>
      </w:r>
      <w:r w:rsidRPr="00185C73">
        <w:rPr>
          <w:rFonts w:ascii="Times New Roman" w:hAnsi="Times New Roman" w:cs="Times New Roman"/>
        </w:rPr>
        <w:t xml:space="preserve"> </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 xml:space="preserve">4. </w:t>
      </w:r>
      <w:r>
        <w:rPr>
          <w:rFonts w:ascii="Times New Roman" w:hAnsi="Times New Roman" w:cs="Times New Roman"/>
        </w:rPr>
        <w:t>SC rinde cuentas a salvadoreños.</w:t>
      </w:r>
      <w:r w:rsidRPr="00185C73">
        <w:rPr>
          <w:rFonts w:ascii="Times New Roman" w:hAnsi="Times New Roman" w:cs="Times New Roman"/>
        </w:rPr>
        <w:t xml:space="preserve"> </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 xml:space="preserve">5. SC presenta </w:t>
      </w:r>
      <w:proofErr w:type="spellStart"/>
      <w:r w:rsidRPr="00185C73">
        <w:rPr>
          <w:rFonts w:ascii="Times New Roman" w:hAnsi="Times New Roman" w:cs="Times New Roman"/>
        </w:rPr>
        <w:t>Monitoreos</w:t>
      </w:r>
      <w:proofErr w:type="spellEnd"/>
      <w:r w:rsidRPr="00185C73">
        <w:rPr>
          <w:rFonts w:ascii="Times New Roman" w:hAnsi="Times New Roman" w:cs="Times New Roman"/>
        </w:rPr>
        <w:t xml:space="preserve"> de mercado. </w:t>
      </w:r>
    </w:p>
    <w:p w:rsidR="00185C73" w:rsidRDefault="00185C73" w:rsidP="00532429">
      <w:pPr>
        <w:pStyle w:val="Default"/>
        <w:ind w:left="1080"/>
        <w:jc w:val="both"/>
        <w:rPr>
          <w:rFonts w:ascii="Times New Roman" w:hAnsi="Times New Roman" w:cs="Times New Roman"/>
        </w:rPr>
      </w:pPr>
      <w:r>
        <w:rPr>
          <w:rFonts w:ascii="Times New Roman" w:hAnsi="Times New Roman" w:cs="Times New Roman"/>
        </w:rPr>
        <w:t xml:space="preserve">6. Fallo a </w:t>
      </w:r>
      <w:proofErr w:type="spellStart"/>
      <w:r>
        <w:rPr>
          <w:rFonts w:ascii="Times New Roman" w:hAnsi="Times New Roman" w:cs="Times New Roman"/>
        </w:rPr>
        <w:t>favor_caso</w:t>
      </w:r>
      <w:proofErr w:type="spellEnd"/>
      <w:r>
        <w:rPr>
          <w:rFonts w:ascii="Times New Roman" w:hAnsi="Times New Roman" w:cs="Times New Roman"/>
        </w:rPr>
        <w:t xml:space="preserve"> </w:t>
      </w:r>
      <w:proofErr w:type="spellStart"/>
      <w:r>
        <w:rPr>
          <w:rFonts w:ascii="Times New Roman" w:hAnsi="Times New Roman" w:cs="Times New Roman"/>
        </w:rPr>
        <w:t>Intelfon</w:t>
      </w:r>
      <w:proofErr w:type="spellEnd"/>
      <w:r>
        <w:rPr>
          <w:rFonts w:ascii="Times New Roman" w:hAnsi="Times New Roman" w:cs="Times New Roman"/>
        </w:rPr>
        <w:t>.</w:t>
      </w:r>
    </w:p>
    <w:p w:rsidR="00185C73" w:rsidRDefault="00185C73" w:rsidP="00532429">
      <w:pPr>
        <w:pStyle w:val="Default"/>
        <w:ind w:left="1080"/>
        <w:jc w:val="both"/>
        <w:rPr>
          <w:rFonts w:ascii="Times New Roman" w:hAnsi="Times New Roman" w:cs="Times New Roman"/>
        </w:rPr>
      </w:pPr>
      <w:r>
        <w:rPr>
          <w:rFonts w:ascii="Times New Roman" w:hAnsi="Times New Roman" w:cs="Times New Roman"/>
        </w:rPr>
        <w:t xml:space="preserve">7. </w:t>
      </w:r>
      <w:r w:rsidRPr="00185C73">
        <w:rPr>
          <w:rFonts w:ascii="Times New Roman" w:hAnsi="Times New Roman" w:cs="Times New Roman"/>
        </w:rPr>
        <w:t xml:space="preserve">Comunicado de prensa Superintendencia de Competencia y </w:t>
      </w:r>
      <w:r>
        <w:rPr>
          <w:rFonts w:ascii="Times New Roman" w:hAnsi="Times New Roman" w:cs="Times New Roman"/>
        </w:rPr>
        <w:t>CONAMYPE lanzan espaciomype.com.</w:t>
      </w:r>
      <w:r w:rsidRPr="00185C73">
        <w:rPr>
          <w:rFonts w:ascii="Times New Roman" w:hAnsi="Times New Roman" w:cs="Times New Roman"/>
        </w:rPr>
        <w:t xml:space="preserve"> </w:t>
      </w:r>
    </w:p>
    <w:p w:rsidR="00185C73" w:rsidRDefault="00185C73" w:rsidP="00532429">
      <w:pPr>
        <w:pStyle w:val="Default"/>
        <w:ind w:left="1080"/>
        <w:jc w:val="both"/>
        <w:rPr>
          <w:rFonts w:ascii="Times New Roman" w:hAnsi="Times New Roman" w:cs="Times New Roman"/>
        </w:rPr>
      </w:pPr>
      <w:r>
        <w:rPr>
          <w:rFonts w:ascii="Times New Roman" w:hAnsi="Times New Roman" w:cs="Times New Roman"/>
        </w:rPr>
        <w:t>8. SC sanciona a TOMZA.</w:t>
      </w:r>
    </w:p>
    <w:p w:rsidR="00185C73"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9. Nueva directora suplente</w:t>
      </w:r>
      <w:r>
        <w:rPr>
          <w:rFonts w:ascii="Times New Roman" w:hAnsi="Times New Roman" w:cs="Times New Roman"/>
        </w:rPr>
        <w:t>.</w:t>
      </w:r>
      <w:r w:rsidRPr="00185C73">
        <w:rPr>
          <w:rFonts w:ascii="Times New Roman" w:hAnsi="Times New Roman" w:cs="Times New Roman"/>
        </w:rPr>
        <w:t xml:space="preserve"> </w:t>
      </w:r>
    </w:p>
    <w:p w:rsidR="00532429" w:rsidRDefault="00185C73" w:rsidP="00532429">
      <w:pPr>
        <w:pStyle w:val="Default"/>
        <w:ind w:left="1080"/>
        <w:jc w:val="both"/>
        <w:rPr>
          <w:rFonts w:ascii="Times New Roman" w:hAnsi="Times New Roman" w:cs="Times New Roman"/>
        </w:rPr>
      </w:pPr>
      <w:r w:rsidRPr="00185C73">
        <w:rPr>
          <w:rFonts w:ascii="Times New Roman" w:hAnsi="Times New Roman" w:cs="Times New Roman"/>
        </w:rPr>
        <w:t>10.Cierra caso emblemático en sector harinas con pago de multa Molsa.</w:t>
      </w:r>
    </w:p>
    <w:p w:rsidR="00185C73" w:rsidRDefault="00185C73" w:rsidP="00532429">
      <w:pPr>
        <w:pStyle w:val="Default"/>
        <w:ind w:left="1080"/>
        <w:jc w:val="both"/>
        <w:rPr>
          <w:rFonts w:ascii="Times New Roman" w:hAnsi="Times New Roman" w:cs="Times New Roman"/>
        </w:rPr>
      </w:pPr>
    </w:p>
    <w:p w:rsidR="00185C73" w:rsidRDefault="00185C73" w:rsidP="00185C73">
      <w:pPr>
        <w:pStyle w:val="Default"/>
        <w:numPr>
          <w:ilvl w:val="0"/>
          <w:numId w:val="7"/>
        </w:numPr>
        <w:jc w:val="both"/>
        <w:rPr>
          <w:rFonts w:ascii="Times New Roman" w:hAnsi="Times New Roman" w:cs="Times New Roman"/>
        </w:rPr>
      </w:pPr>
      <w:r>
        <w:rPr>
          <w:rFonts w:ascii="Times New Roman" w:hAnsi="Times New Roman" w:cs="Times New Roman"/>
        </w:rPr>
        <w:t xml:space="preserve">7 entrevistas en radio, televisión y medio digital, </w:t>
      </w:r>
      <w:r w:rsidRPr="00185C73">
        <w:rPr>
          <w:rFonts w:ascii="Times New Roman" w:hAnsi="Times New Roman" w:cs="Times New Roman"/>
        </w:rPr>
        <w:t>sobre los temas de Rol de SC y prácticas anticompetitivas, proyecto Fundación Ford, fomentando eliminación de barreras para que las MYPES le vendan al gobierno, entre otros temas.</w:t>
      </w:r>
    </w:p>
    <w:p w:rsidR="00185C73" w:rsidRDefault="00185C73" w:rsidP="00890C3E">
      <w:pPr>
        <w:pStyle w:val="Default"/>
        <w:jc w:val="both"/>
        <w:rPr>
          <w:rFonts w:ascii="Times New Roman" w:hAnsi="Times New Roman" w:cs="Times New Roman"/>
        </w:rPr>
      </w:pPr>
      <w:r>
        <w:rPr>
          <w:rFonts w:ascii="Times New Roman" w:hAnsi="Times New Roman" w:cs="Times New Roman"/>
        </w:rPr>
        <w:t xml:space="preserve"> </w:t>
      </w:r>
    </w:p>
    <w:p w:rsidR="00185C73" w:rsidRDefault="00185C73" w:rsidP="00185C73">
      <w:pPr>
        <w:pStyle w:val="Default"/>
        <w:numPr>
          <w:ilvl w:val="0"/>
          <w:numId w:val="7"/>
        </w:numPr>
        <w:jc w:val="both"/>
        <w:rPr>
          <w:rFonts w:ascii="Times New Roman" w:hAnsi="Times New Roman" w:cs="Times New Roman"/>
        </w:rPr>
      </w:pPr>
      <w:r w:rsidRPr="00185C73">
        <w:rPr>
          <w:rFonts w:ascii="Times New Roman" w:hAnsi="Times New Roman" w:cs="Times New Roman"/>
        </w:rPr>
        <w:t xml:space="preserve">Se realizaron dos conferencias en modalidad diferente previo a los lanzamientos por mayor eficiencia de los tiempos y al mismo tiempo cobertura de las actividades de: campaña de divulgación sobre eliminación de barreras para que la </w:t>
      </w:r>
      <w:proofErr w:type="spellStart"/>
      <w:r w:rsidRPr="00185C73">
        <w:rPr>
          <w:rFonts w:ascii="Times New Roman" w:hAnsi="Times New Roman" w:cs="Times New Roman"/>
        </w:rPr>
        <w:t>Mype</w:t>
      </w:r>
      <w:proofErr w:type="spellEnd"/>
      <w:r w:rsidRPr="00185C73">
        <w:rPr>
          <w:rFonts w:ascii="Times New Roman" w:hAnsi="Times New Roman" w:cs="Times New Roman"/>
        </w:rPr>
        <w:t xml:space="preserve"> participe en compras públicas y el lanzamiento de </w:t>
      </w:r>
      <w:proofErr w:type="spellStart"/>
      <w:r w:rsidRPr="00185C73">
        <w:rPr>
          <w:rFonts w:ascii="Times New Roman" w:hAnsi="Times New Roman" w:cs="Times New Roman"/>
        </w:rPr>
        <w:t>Monitoreos</w:t>
      </w:r>
      <w:proofErr w:type="spellEnd"/>
      <w:r w:rsidRPr="00185C73">
        <w:rPr>
          <w:rFonts w:ascii="Times New Roman" w:hAnsi="Times New Roman" w:cs="Times New Roman"/>
        </w:rPr>
        <w:t xml:space="preserve"> de Mercados.</w:t>
      </w:r>
    </w:p>
    <w:p w:rsidR="00185C73" w:rsidRDefault="00185C73" w:rsidP="00185C73">
      <w:pPr>
        <w:pStyle w:val="Default"/>
        <w:ind w:left="720"/>
        <w:jc w:val="both"/>
        <w:rPr>
          <w:rFonts w:ascii="Times New Roman" w:hAnsi="Times New Roman" w:cs="Times New Roman"/>
        </w:rPr>
      </w:pPr>
    </w:p>
    <w:p w:rsidR="00185C73" w:rsidRDefault="00185C73" w:rsidP="00185C73">
      <w:pPr>
        <w:pStyle w:val="Default"/>
        <w:numPr>
          <w:ilvl w:val="0"/>
          <w:numId w:val="7"/>
        </w:numPr>
        <w:jc w:val="both"/>
        <w:rPr>
          <w:rFonts w:ascii="Times New Roman" w:hAnsi="Times New Roman" w:cs="Times New Roman"/>
        </w:rPr>
      </w:pPr>
      <w:r w:rsidRPr="00185C73">
        <w:rPr>
          <w:rFonts w:ascii="Times New Roman" w:hAnsi="Times New Roman" w:cs="Times New Roman"/>
        </w:rPr>
        <w:t>Se redactaron 3 convocator</w:t>
      </w:r>
      <w:r>
        <w:rPr>
          <w:rFonts w:ascii="Times New Roman" w:hAnsi="Times New Roman" w:cs="Times New Roman"/>
        </w:rPr>
        <w:t xml:space="preserve">ias, </w:t>
      </w:r>
      <w:r w:rsidRPr="00185C73">
        <w:rPr>
          <w:rFonts w:ascii="Times New Roman" w:hAnsi="Times New Roman" w:cs="Times New Roman"/>
        </w:rPr>
        <w:t>elaboraron banners y se adaptaron plantillas para envió a medios de comunicación para la cobertura de actividades institucionales</w:t>
      </w:r>
      <w:r>
        <w:rPr>
          <w:rFonts w:ascii="Times New Roman" w:hAnsi="Times New Roman" w:cs="Times New Roman"/>
        </w:rPr>
        <w:t>.</w:t>
      </w:r>
    </w:p>
    <w:p w:rsidR="00890C3E" w:rsidRDefault="00890C3E" w:rsidP="00890C3E">
      <w:pPr>
        <w:pStyle w:val="Default"/>
        <w:ind w:left="720"/>
        <w:jc w:val="both"/>
        <w:rPr>
          <w:rFonts w:ascii="Times New Roman" w:hAnsi="Times New Roman" w:cs="Times New Roman"/>
        </w:rPr>
      </w:pPr>
    </w:p>
    <w:p w:rsidR="00532429" w:rsidRPr="00185C73" w:rsidRDefault="00185C73" w:rsidP="00185C73">
      <w:pPr>
        <w:pStyle w:val="Default"/>
        <w:numPr>
          <w:ilvl w:val="0"/>
          <w:numId w:val="7"/>
        </w:numPr>
        <w:ind w:left="709" w:hanging="283"/>
        <w:jc w:val="both"/>
        <w:rPr>
          <w:rFonts w:ascii="Times New Roman" w:hAnsi="Times New Roman" w:cs="Times New Roman"/>
        </w:rPr>
      </w:pPr>
      <w:r w:rsidRPr="00185C73">
        <w:rPr>
          <w:rFonts w:ascii="Times New Roman" w:hAnsi="Times New Roman" w:cs="Times New Roman"/>
        </w:rPr>
        <w:t>Se revisaron y gestionó publicación para dos artículos de opinión y se redactaron contenidos para publicación de dos columnas en medio impreso sobre noticias de competencia en el mundo.</w:t>
      </w:r>
    </w:p>
    <w:p w:rsidR="00532429" w:rsidRPr="00532429" w:rsidRDefault="00532429" w:rsidP="00532429">
      <w:pPr>
        <w:pStyle w:val="Default"/>
        <w:ind w:left="1080"/>
        <w:jc w:val="both"/>
        <w:rPr>
          <w:rFonts w:ascii="Times New Roman" w:hAnsi="Times New Roman" w:cs="Times New Roman"/>
        </w:rPr>
      </w:pPr>
    </w:p>
    <w:p w:rsidR="00E61DF7" w:rsidRDefault="00E61DF7" w:rsidP="00474623">
      <w:pPr>
        <w:pStyle w:val="Default"/>
        <w:numPr>
          <w:ilvl w:val="0"/>
          <w:numId w:val="7"/>
        </w:numPr>
        <w:jc w:val="both"/>
        <w:rPr>
          <w:rFonts w:ascii="Times New Roman" w:hAnsi="Times New Roman" w:cs="Times New Roman"/>
        </w:rPr>
      </w:pPr>
      <w:r w:rsidRPr="00532429">
        <w:rPr>
          <w:rFonts w:ascii="Times New Roman" w:hAnsi="Times New Roman" w:cs="Times New Roman"/>
        </w:rPr>
        <w:t xml:space="preserve">Presencia en medios de comunicación positiva, </w:t>
      </w:r>
      <w:r w:rsidR="00474623" w:rsidRPr="00474623">
        <w:rPr>
          <w:rFonts w:ascii="Times New Roman" w:hAnsi="Times New Roman" w:cs="Times New Roman"/>
        </w:rPr>
        <w:t>con 128 notas durante este trimestre lo que significó un ahorro en inversión publicitaria de más de 456 mil dólares.</w:t>
      </w:r>
    </w:p>
    <w:p w:rsidR="00474623" w:rsidRDefault="00474623" w:rsidP="00474623">
      <w:pPr>
        <w:pStyle w:val="Prrafodelista"/>
        <w:rPr>
          <w:rFonts w:ascii="Times New Roman" w:hAnsi="Times New Roman" w:cs="Times New Roman"/>
        </w:rPr>
      </w:pPr>
    </w:p>
    <w:p w:rsidR="00474623" w:rsidRDefault="00474623" w:rsidP="00474623">
      <w:pPr>
        <w:pStyle w:val="Default"/>
        <w:numPr>
          <w:ilvl w:val="0"/>
          <w:numId w:val="7"/>
        </w:numPr>
        <w:jc w:val="both"/>
        <w:rPr>
          <w:rFonts w:ascii="Times New Roman" w:hAnsi="Times New Roman" w:cs="Times New Roman"/>
        </w:rPr>
      </w:pPr>
      <w:r w:rsidRPr="00474623">
        <w:rPr>
          <w:rFonts w:ascii="Times New Roman" w:hAnsi="Times New Roman" w:cs="Times New Roman"/>
        </w:rPr>
        <w:t>Se gestionó campaña en radio, un medio digital y un medio impreso para promover la participación de las MYPES en las compras públicas como fase 1, elaborando un plan de medios publicitario acorde a los públicos objetivos. Esto implicó la gestión y contratación de espacios, producción de materiales columnas, cuña de radio y su guion, validación de artes y contenidos entre otras acciones.</w:t>
      </w:r>
    </w:p>
    <w:p w:rsidR="00474623" w:rsidRDefault="00474623" w:rsidP="00474623">
      <w:pPr>
        <w:pStyle w:val="Prrafodelista"/>
        <w:rPr>
          <w:rFonts w:ascii="Times New Roman" w:hAnsi="Times New Roman" w:cs="Times New Roman"/>
        </w:rPr>
      </w:pPr>
    </w:p>
    <w:p w:rsidR="00474623" w:rsidRDefault="00474623" w:rsidP="00474623">
      <w:pPr>
        <w:pStyle w:val="Default"/>
        <w:numPr>
          <w:ilvl w:val="0"/>
          <w:numId w:val="7"/>
        </w:numPr>
        <w:jc w:val="both"/>
        <w:rPr>
          <w:rFonts w:ascii="Times New Roman" w:hAnsi="Times New Roman" w:cs="Times New Roman"/>
        </w:rPr>
      </w:pPr>
      <w:r>
        <w:rPr>
          <w:rFonts w:ascii="Times New Roman" w:hAnsi="Times New Roman" w:cs="Times New Roman"/>
        </w:rPr>
        <w:t xml:space="preserve">Producción de contenido multimedia con enfoque viral: </w:t>
      </w:r>
      <w:r w:rsidRPr="00474623">
        <w:rPr>
          <w:rFonts w:ascii="Times New Roman" w:hAnsi="Times New Roman" w:cs="Times New Roman"/>
        </w:rPr>
        <w:t xml:space="preserve">1) SC UNAC firman acuerdo 2, 3, 4) Tres infografías de </w:t>
      </w:r>
      <w:proofErr w:type="spellStart"/>
      <w:r w:rsidRPr="00474623">
        <w:rPr>
          <w:rFonts w:ascii="Times New Roman" w:hAnsi="Times New Roman" w:cs="Times New Roman"/>
        </w:rPr>
        <w:t>ResultadosSC</w:t>
      </w:r>
      <w:proofErr w:type="spellEnd"/>
      <w:r w:rsidRPr="00474623">
        <w:rPr>
          <w:rFonts w:ascii="Times New Roman" w:hAnsi="Times New Roman" w:cs="Times New Roman"/>
        </w:rPr>
        <w:t>, 5)</w:t>
      </w:r>
      <w:r>
        <w:rPr>
          <w:rFonts w:ascii="Times New Roman" w:hAnsi="Times New Roman" w:cs="Times New Roman"/>
        </w:rPr>
        <w:t xml:space="preserve"> </w:t>
      </w:r>
      <w:r w:rsidRPr="00474623">
        <w:rPr>
          <w:rFonts w:ascii="Times New Roman" w:hAnsi="Times New Roman" w:cs="Times New Roman"/>
        </w:rPr>
        <w:t>Conoce la nueva #</w:t>
      </w:r>
      <w:proofErr w:type="spellStart"/>
      <w:r w:rsidRPr="00474623">
        <w:rPr>
          <w:rFonts w:ascii="Times New Roman" w:hAnsi="Times New Roman" w:cs="Times New Roman"/>
        </w:rPr>
        <w:t>WebSC</w:t>
      </w:r>
      <w:proofErr w:type="spellEnd"/>
      <w:r w:rsidRPr="00474623">
        <w:rPr>
          <w:rFonts w:ascii="Times New Roman" w:hAnsi="Times New Roman" w:cs="Times New Roman"/>
        </w:rPr>
        <w:t xml:space="preserve"> 6)</w:t>
      </w:r>
      <w:proofErr w:type="spellStart"/>
      <w:r w:rsidRPr="00474623">
        <w:rPr>
          <w:rFonts w:ascii="Times New Roman" w:hAnsi="Times New Roman" w:cs="Times New Roman"/>
        </w:rPr>
        <w:t>PlayGround</w:t>
      </w:r>
      <w:proofErr w:type="spellEnd"/>
      <w:r w:rsidRPr="00474623">
        <w:rPr>
          <w:rFonts w:ascii="Times New Roman" w:hAnsi="Times New Roman" w:cs="Times New Roman"/>
        </w:rPr>
        <w:t xml:space="preserve"> </w:t>
      </w:r>
      <w:proofErr w:type="spellStart"/>
      <w:r w:rsidRPr="00474623">
        <w:rPr>
          <w:rFonts w:ascii="Times New Roman" w:hAnsi="Times New Roman" w:cs="Times New Roman"/>
        </w:rPr>
        <w:t>Instragram</w:t>
      </w:r>
      <w:proofErr w:type="spellEnd"/>
      <w:r w:rsidRPr="00474623">
        <w:rPr>
          <w:rFonts w:ascii="Times New Roman" w:hAnsi="Times New Roman" w:cs="Times New Roman"/>
        </w:rPr>
        <w:t xml:space="preserve"> sobre nueva Web 7)Video campaña espaciomype.com</w:t>
      </w:r>
      <w:r>
        <w:rPr>
          <w:rFonts w:ascii="Times New Roman" w:hAnsi="Times New Roman" w:cs="Times New Roman"/>
        </w:rPr>
        <w:t>.</w:t>
      </w:r>
    </w:p>
    <w:p w:rsidR="00474623" w:rsidRDefault="00474623" w:rsidP="00474623">
      <w:pPr>
        <w:pStyle w:val="Prrafodelista"/>
        <w:rPr>
          <w:rFonts w:ascii="Times New Roman" w:hAnsi="Times New Roman" w:cs="Times New Roman"/>
        </w:rPr>
      </w:pPr>
    </w:p>
    <w:p w:rsidR="00474623" w:rsidRDefault="00474623" w:rsidP="00474623">
      <w:pPr>
        <w:pStyle w:val="Default"/>
        <w:numPr>
          <w:ilvl w:val="0"/>
          <w:numId w:val="7"/>
        </w:numPr>
        <w:jc w:val="both"/>
        <w:rPr>
          <w:rFonts w:ascii="Times New Roman" w:hAnsi="Times New Roman" w:cs="Times New Roman"/>
        </w:rPr>
      </w:pPr>
      <w:r w:rsidRPr="00474623">
        <w:rPr>
          <w:rFonts w:ascii="Times New Roman" w:hAnsi="Times New Roman" w:cs="Times New Roman"/>
        </w:rPr>
        <w:t>Se realizó capacitación a medios de comunicación el día 28 de septiembre abordando la temática de concentraciones y logrando la participación de 14 periodistas de medios de televisión, radio, prensa y medios digitales.</w:t>
      </w:r>
    </w:p>
    <w:p w:rsidR="00474623" w:rsidRDefault="00474623" w:rsidP="00474623">
      <w:pPr>
        <w:pStyle w:val="Prrafodelista"/>
        <w:rPr>
          <w:rFonts w:ascii="Times New Roman" w:hAnsi="Times New Roman" w:cs="Times New Roman"/>
        </w:rPr>
      </w:pPr>
    </w:p>
    <w:p w:rsidR="00474623" w:rsidRDefault="00474623" w:rsidP="00474623">
      <w:pPr>
        <w:pStyle w:val="Default"/>
        <w:numPr>
          <w:ilvl w:val="0"/>
          <w:numId w:val="7"/>
        </w:numPr>
        <w:jc w:val="both"/>
        <w:rPr>
          <w:rFonts w:ascii="Times New Roman" w:hAnsi="Times New Roman" w:cs="Times New Roman"/>
        </w:rPr>
      </w:pPr>
      <w:r w:rsidRPr="00474623">
        <w:rPr>
          <w:rFonts w:ascii="Times New Roman" w:hAnsi="Times New Roman" w:cs="Times New Roman"/>
        </w:rPr>
        <w:t>Se ha brindado cobertura a siete eventos y actividades en las que ha participado Superintendente de Competencia con su respectiva divulgación en canales institucionales, según se detalla en informe.</w:t>
      </w:r>
    </w:p>
    <w:p w:rsidR="00474623" w:rsidRDefault="00474623" w:rsidP="00474623">
      <w:pPr>
        <w:pStyle w:val="Prrafodelista"/>
        <w:rPr>
          <w:rFonts w:ascii="Times New Roman" w:hAnsi="Times New Roman" w:cs="Times New Roman"/>
        </w:rPr>
      </w:pPr>
    </w:p>
    <w:p w:rsidR="00474623" w:rsidRDefault="00474623" w:rsidP="00474623">
      <w:pPr>
        <w:pStyle w:val="Default"/>
        <w:numPr>
          <w:ilvl w:val="0"/>
          <w:numId w:val="7"/>
        </w:numPr>
        <w:jc w:val="both"/>
        <w:rPr>
          <w:rFonts w:ascii="Times New Roman" w:hAnsi="Times New Roman" w:cs="Times New Roman"/>
        </w:rPr>
      </w:pPr>
      <w:r w:rsidRPr="00474623">
        <w:rPr>
          <w:rFonts w:ascii="Times New Roman" w:hAnsi="Times New Roman" w:cs="Times New Roman"/>
        </w:rPr>
        <w:t>Se ha brindado apoyo con montaje, cobertura y divulgación a 13 actividades de la Gira SC durante este período informado.</w:t>
      </w:r>
    </w:p>
    <w:p w:rsidR="00532429" w:rsidRPr="00532429" w:rsidRDefault="00532429" w:rsidP="00532429">
      <w:pPr>
        <w:pStyle w:val="Default"/>
        <w:ind w:left="720"/>
        <w:jc w:val="both"/>
        <w:rPr>
          <w:rFonts w:ascii="Times New Roman" w:hAnsi="Times New Roman" w:cs="Times New Roman"/>
        </w:rPr>
      </w:pPr>
    </w:p>
    <w:p w:rsidR="00E61DF7" w:rsidRPr="00565D2C" w:rsidRDefault="00E61DF7"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D94084" w:rsidRPr="00565D2C" w:rsidRDefault="00D94084" w:rsidP="00565D2C">
      <w:pPr>
        <w:pStyle w:val="Ttulo2"/>
        <w:numPr>
          <w:ilvl w:val="0"/>
          <w:numId w:val="12"/>
        </w:numPr>
        <w:rPr>
          <w:rFonts w:ascii="Times New Roman" w:hAnsi="Times New Roman" w:cs="Times New Roman"/>
          <w:szCs w:val="24"/>
        </w:rPr>
      </w:pPr>
      <w:bookmarkStart w:id="6" w:name="_Toc530046491"/>
      <w:r w:rsidRPr="00565D2C">
        <w:rPr>
          <w:rFonts w:ascii="Times New Roman" w:hAnsi="Times New Roman" w:cs="Times New Roman"/>
          <w:szCs w:val="24"/>
        </w:rPr>
        <w:t>Unidad de Informática</w:t>
      </w:r>
      <w:r w:rsidR="003146AE" w:rsidRPr="00565D2C">
        <w:rPr>
          <w:rFonts w:ascii="Times New Roman" w:hAnsi="Times New Roman" w:cs="Times New Roman"/>
          <w:szCs w:val="24"/>
        </w:rPr>
        <w:t xml:space="preserve"> (UI)</w:t>
      </w:r>
      <w:bookmarkEnd w:id="6"/>
    </w:p>
    <w:p w:rsidR="004229B0" w:rsidRPr="00565D2C" w:rsidRDefault="00F66EF0"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806720" behindDoc="1" locked="0" layoutInCell="1" allowOverlap="1">
            <wp:simplePos x="0" y="0"/>
            <wp:positionH relativeFrom="column">
              <wp:posOffset>2987040</wp:posOffset>
            </wp:positionH>
            <wp:positionV relativeFrom="paragraph">
              <wp:posOffset>170815</wp:posOffset>
            </wp:positionV>
            <wp:extent cx="2465705" cy="601980"/>
            <wp:effectExtent l="0" t="0" r="0" b="0"/>
            <wp:wrapTight wrapText="bothSides">
              <wp:wrapPolygon edited="0">
                <wp:start x="0" y="0"/>
                <wp:lineTo x="0" y="19823"/>
                <wp:lineTo x="21361" y="19823"/>
                <wp:lineTo x="21361"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5705" cy="601980"/>
                    </a:xfrm>
                    <a:prstGeom prst="rect">
                      <a:avLst/>
                    </a:prstGeom>
                    <a:noFill/>
                  </pic:spPr>
                </pic:pic>
              </a:graphicData>
            </a:graphic>
          </wp:anchor>
        </w:drawing>
      </w:r>
      <w:r w:rsidR="00300BB1" w:rsidRPr="00565D2C">
        <w:rPr>
          <w:rFonts w:ascii="Times New Roman" w:hAnsi="Times New Roman" w:cs="Times New Roman"/>
          <w:noProof/>
          <w:sz w:val="24"/>
          <w:szCs w:val="24"/>
        </w:rPr>
        <w:t xml:space="preserve"> </w:t>
      </w:r>
      <w:r w:rsidR="00CF2D04" w:rsidRPr="00565D2C">
        <w:rPr>
          <w:rFonts w:ascii="Times New Roman" w:hAnsi="Times New Roman" w:cs="Times New Roman"/>
          <w:noProof/>
          <w:sz w:val="24"/>
          <w:szCs w:val="24"/>
        </w:rPr>
        <w:t xml:space="preserve"> </w:t>
      </w:r>
    </w:p>
    <w:p w:rsidR="00A66046" w:rsidRPr="00565D2C" w:rsidRDefault="00FA3C36"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9E9A9E8">
            <wp:extent cx="2447925" cy="57249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101" cy="583532"/>
                    </a:xfrm>
                    <a:prstGeom prst="rect">
                      <a:avLst/>
                    </a:prstGeom>
                    <a:noFill/>
                  </pic:spPr>
                </pic:pic>
              </a:graphicData>
            </a:graphic>
          </wp:inline>
        </w:drawing>
      </w:r>
    </w:p>
    <w:p w:rsidR="00686377" w:rsidRPr="00565D2C" w:rsidRDefault="00686377"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A66046" w:rsidRPr="00565D2C" w:rsidRDefault="00CF2D04"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unidad de informática cumpli</w:t>
      </w:r>
      <w:r w:rsidR="00300BB1" w:rsidRPr="00565D2C">
        <w:rPr>
          <w:rFonts w:ascii="Times New Roman" w:hAnsi="Times New Roman" w:cs="Times New Roman"/>
          <w:sz w:val="24"/>
          <w:szCs w:val="24"/>
        </w:rPr>
        <w:t>ó</w:t>
      </w:r>
      <w:r w:rsidR="00CA455D" w:rsidRPr="00565D2C">
        <w:rPr>
          <w:rFonts w:ascii="Times New Roman" w:hAnsi="Times New Roman" w:cs="Times New Roman"/>
          <w:sz w:val="24"/>
          <w:szCs w:val="24"/>
        </w:rPr>
        <w:t xml:space="preserve"> satisfactoriamente con </w:t>
      </w:r>
      <w:r w:rsidR="00B90E7F" w:rsidRPr="00565D2C">
        <w:rPr>
          <w:rFonts w:ascii="Times New Roman" w:hAnsi="Times New Roman" w:cs="Times New Roman"/>
          <w:sz w:val="24"/>
          <w:szCs w:val="24"/>
        </w:rPr>
        <w:t xml:space="preserve">un </w:t>
      </w:r>
      <w:r w:rsidR="00474623">
        <w:rPr>
          <w:rFonts w:ascii="Times New Roman" w:hAnsi="Times New Roman" w:cs="Times New Roman"/>
          <w:sz w:val="24"/>
          <w:szCs w:val="24"/>
        </w:rPr>
        <w:t>96.03</w:t>
      </w:r>
      <w:r w:rsidR="00B90E7F" w:rsidRPr="00565D2C">
        <w:rPr>
          <w:rFonts w:ascii="Times New Roman" w:hAnsi="Times New Roman" w:cs="Times New Roman"/>
          <w:sz w:val="24"/>
          <w:szCs w:val="24"/>
        </w:rPr>
        <w:t xml:space="preserve">% </w:t>
      </w:r>
      <w:r w:rsidR="00CA455D" w:rsidRPr="00565D2C">
        <w:rPr>
          <w:rFonts w:ascii="Times New Roman" w:hAnsi="Times New Roman" w:cs="Times New Roman"/>
          <w:sz w:val="24"/>
          <w:szCs w:val="24"/>
        </w:rPr>
        <w:t xml:space="preserve">sus </w:t>
      </w:r>
      <w:r w:rsidR="00B90E7F" w:rsidRPr="00565D2C">
        <w:rPr>
          <w:rFonts w:ascii="Times New Roman" w:hAnsi="Times New Roman" w:cs="Times New Roman"/>
          <w:sz w:val="24"/>
          <w:szCs w:val="24"/>
        </w:rPr>
        <w:t>1</w:t>
      </w:r>
      <w:r w:rsidR="00474623">
        <w:rPr>
          <w:rFonts w:ascii="Times New Roman" w:hAnsi="Times New Roman" w:cs="Times New Roman"/>
          <w:sz w:val="24"/>
          <w:szCs w:val="24"/>
        </w:rPr>
        <w:t>3</w:t>
      </w:r>
      <w:r w:rsidRPr="00565D2C">
        <w:rPr>
          <w:rFonts w:ascii="Times New Roman" w:hAnsi="Times New Roman" w:cs="Times New Roman"/>
          <w:sz w:val="24"/>
          <w:szCs w:val="24"/>
        </w:rPr>
        <w:t xml:space="preserve"> actividades programadas, las más relevantes siend</w:t>
      </w:r>
      <w:r w:rsidR="002D3BBA" w:rsidRPr="00565D2C">
        <w:rPr>
          <w:rFonts w:ascii="Times New Roman" w:hAnsi="Times New Roman" w:cs="Times New Roman"/>
          <w:sz w:val="24"/>
          <w:szCs w:val="24"/>
        </w:rPr>
        <w:t>o las enumeradas a continuación:</w:t>
      </w:r>
    </w:p>
    <w:p w:rsidR="002D3BBA" w:rsidRPr="00565D2C" w:rsidRDefault="002D3BBA" w:rsidP="00565D2C">
      <w:pPr>
        <w:spacing w:after="0" w:line="240" w:lineRule="auto"/>
        <w:jc w:val="both"/>
        <w:rPr>
          <w:rFonts w:ascii="Times New Roman" w:hAnsi="Times New Roman" w:cs="Times New Roman"/>
          <w:sz w:val="24"/>
          <w:szCs w:val="24"/>
        </w:rPr>
      </w:pPr>
    </w:p>
    <w:p w:rsidR="00985D48" w:rsidRDefault="00474623" w:rsidP="00474623">
      <w:pPr>
        <w:pStyle w:val="Prrafodelista"/>
        <w:numPr>
          <w:ilvl w:val="0"/>
          <w:numId w:val="16"/>
        </w:numPr>
        <w:spacing w:after="0" w:line="240" w:lineRule="auto"/>
        <w:jc w:val="both"/>
        <w:rPr>
          <w:rFonts w:ascii="Times New Roman" w:hAnsi="Times New Roman" w:cs="Times New Roman"/>
          <w:sz w:val="24"/>
          <w:szCs w:val="24"/>
        </w:rPr>
      </w:pPr>
      <w:r w:rsidRPr="00474623">
        <w:rPr>
          <w:rFonts w:ascii="Times New Roman" w:hAnsi="Times New Roman" w:cs="Times New Roman"/>
          <w:sz w:val="24"/>
          <w:szCs w:val="24"/>
        </w:rPr>
        <w:t>Transmisión en línea del evento de Rendición de Cuentas</w:t>
      </w:r>
      <w:r>
        <w:rPr>
          <w:rFonts w:ascii="Times New Roman" w:hAnsi="Times New Roman" w:cs="Times New Roman"/>
          <w:sz w:val="24"/>
          <w:szCs w:val="24"/>
        </w:rPr>
        <w:t>.</w:t>
      </w:r>
    </w:p>
    <w:p w:rsidR="00474623" w:rsidRDefault="00474623" w:rsidP="00474623">
      <w:pPr>
        <w:pStyle w:val="Prrafodelista"/>
        <w:spacing w:after="0" w:line="240" w:lineRule="auto"/>
        <w:ind w:left="1080"/>
        <w:jc w:val="both"/>
        <w:rPr>
          <w:rFonts w:ascii="Times New Roman" w:hAnsi="Times New Roman" w:cs="Times New Roman"/>
          <w:sz w:val="24"/>
          <w:szCs w:val="24"/>
        </w:rPr>
      </w:pPr>
    </w:p>
    <w:p w:rsidR="00B11B12"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Adquisición e implementación de recursos informáticos y de infraestructura, entre ellas: Computadoras portátiles,  Impresores, Dispositivos para equipo informático (Monitores, Discos Duros), Dispositivos para servidores institucionales (Memoria RAM y Disco Duro), Implementación de certificado de seguridad para sitio Web y Renovación de software para seguridad perimetral.</w:t>
      </w:r>
    </w:p>
    <w:p w:rsidR="00474623" w:rsidRPr="00474623" w:rsidRDefault="00474623" w:rsidP="00474623">
      <w:pPr>
        <w:pStyle w:val="Prrafodelista"/>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Monitoreo diario de las redes internas (alámbrica e inalámbrica), enlace de internet, 2 enlaces de datos y enlace telefónico. Verificación del ancho de banda de enlaces y atención de incidencias.</w:t>
      </w:r>
    </w:p>
    <w:p w:rsidR="00474623" w:rsidRPr="00474623" w:rsidRDefault="00474623" w:rsidP="00474623">
      <w:pPr>
        <w:pStyle w:val="Prrafodelista"/>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 xml:space="preserve">Gestión periódica de servidores locales y servidores externos; verificación de </w:t>
      </w:r>
      <w:proofErr w:type="spellStart"/>
      <w:r w:rsidRPr="00474623">
        <w:rPr>
          <w:rFonts w:ascii="Times New Roman" w:hAnsi="Times New Roman" w:cs="Times New Roman"/>
          <w:sz w:val="24"/>
          <w:szCs w:val="24"/>
        </w:rPr>
        <w:t>bitacoras</w:t>
      </w:r>
      <w:proofErr w:type="spellEnd"/>
      <w:r w:rsidRPr="00474623">
        <w:rPr>
          <w:rFonts w:ascii="Times New Roman" w:hAnsi="Times New Roman" w:cs="Times New Roman"/>
          <w:sz w:val="24"/>
          <w:szCs w:val="24"/>
        </w:rPr>
        <w:t>, actualización de servicios; control de dispositivos de almacenamiento masivo; Administración de planta telefónica. Atención de solicitudes e incidentes sobre servidores.</w:t>
      </w:r>
    </w:p>
    <w:p w:rsidR="00474623" w:rsidRPr="00474623" w:rsidRDefault="00474623" w:rsidP="00474623">
      <w:pPr>
        <w:pStyle w:val="Prrafodelista"/>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Traslados y reasignación de equipos informáticos y telefónicos, configuración de estaciones de trabajo de pasantes, provisión de equipos para capacitaciones y eventos. Atención de solicitudes sobre equipo informático.</w:t>
      </w:r>
    </w:p>
    <w:p w:rsidR="00474623" w:rsidRPr="00474623" w:rsidRDefault="00474623" w:rsidP="00474623">
      <w:pPr>
        <w:pStyle w:val="Prrafodelista"/>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Monitoreo de la capacidad de almacenamiento del servidor de archivos y servidor de correos con base a cuotas establecidas. Verificación del servicio de asignación dinámica para conexión de equipos a la red. Monitoreo del estado de impresores. Atención de incidencias.</w:t>
      </w:r>
    </w:p>
    <w:p w:rsidR="00474623" w:rsidRPr="00474623" w:rsidRDefault="00474623" w:rsidP="00474623">
      <w:pPr>
        <w:pStyle w:val="Prrafodelista"/>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Verificación de descargas de actualizaciones de seguridad para equipos y actualizaciones de antivirus, monitoreo de eventos sobre seguridad registradas en el firewall, verificación de equipos para determinar conectividad con el servidor de monitoreo de amenazas y actualización de base de datos. Evaluación y activación de sitios web. Atención de incidentes.</w:t>
      </w:r>
    </w:p>
    <w:p w:rsidR="00474623" w:rsidRPr="00474623" w:rsidRDefault="00474623" w:rsidP="00474623">
      <w:pPr>
        <w:pStyle w:val="Prrafodelista"/>
        <w:rPr>
          <w:rFonts w:ascii="Times New Roman" w:hAnsi="Times New Roman" w:cs="Times New Roman"/>
          <w:sz w:val="24"/>
          <w:szCs w:val="24"/>
        </w:rPr>
      </w:pPr>
    </w:p>
    <w:p w:rsidR="00474623" w:rsidRDefault="00474623" w:rsidP="003D73FA">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Ejecución conjunta con la Intendencia de Investigaciones del proyecto "Implementación de herramientas tecnológicas para la investigación de casos en la Superintendencia de Competencia" que ha consistido en esta primera fase en la adquisición de conocimientos técnicos para desarrollar procedimientos de investigación de información electrónica (recolección, manejo y resguardo de evidencia digital) haciendo uso de técnicas de investigación forense basadas en tecnologías de la Información (Forense IT). Se han completado 3 de 4 módulos del diplomado de informática forense, que son: 1) Procedimientos de auditoría forense, 2) Evidencia digital, 3) Análisis Forense Digital y falta por cursar el último módulo sobre "</w:t>
      </w:r>
      <w:proofErr w:type="spellStart"/>
      <w:r w:rsidRPr="00474623">
        <w:rPr>
          <w:rFonts w:ascii="Times New Roman" w:hAnsi="Times New Roman" w:cs="Times New Roman"/>
          <w:sz w:val="24"/>
          <w:szCs w:val="24"/>
        </w:rPr>
        <w:t>Estandares</w:t>
      </w:r>
      <w:proofErr w:type="spellEnd"/>
      <w:r w:rsidRPr="00474623">
        <w:rPr>
          <w:rFonts w:ascii="Times New Roman" w:hAnsi="Times New Roman" w:cs="Times New Roman"/>
          <w:sz w:val="24"/>
          <w:szCs w:val="24"/>
        </w:rPr>
        <w:t xml:space="preserve"> Internacionales frente a la administración de evidencia digital".</w:t>
      </w:r>
    </w:p>
    <w:p w:rsidR="00474623" w:rsidRPr="00474623" w:rsidRDefault="00474623" w:rsidP="00474623">
      <w:pPr>
        <w:pStyle w:val="Prrafodelista"/>
        <w:rPr>
          <w:rFonts w:ascii="Times New Roman" w:hAnsi="Times New Roman" w:cs="Times New Roman"/>
          <w:sz w:val="24"/>
          <w:szCs w:val="24"/>
        </w:rPr>
      </w:pPr>
    </w:p>
    <w:p w:rsidR="00FA3C36" w:rsidRDefault="00FA3C36" w:rsidP="00FA3C36">
      <w:pPr>
        <w:pStyle w:val="Prrafodelista"/>
        <w:numPr>
          <w:ilvl w:val="0"/>
          <w:numId w:val="16"/>
        </w:numPr>
        <w:jc w:val="both"/>
        <w:rPr>
          <w:rFonts w:ascii="Times New Roman" w:hAnsi="Times New Roman" w:cs="Times New Roman"/>
          <w:sz w:val="24"/>
          <w:szCs w:val="24"/>
        </w:rPr>
      </w:pPr>
      <w:r w:rsidRPr="00FA3C36">
        <w:rPr>
          <w:rFonts w:ascii="Times New Roman" w:hAnsi="Times New Roman" w:cs="Times New Roman"/>
          <w:sz w:val="24"/>
          <w:szCs w:val="24"/>
        </w:rPr>
        <w:t>Actualización y modificación de sistemas informáticos implementados</w:t>
      </w:r>
      <w:r>
        <w:rPr>
          <w:rFonts w:ascii="Times New Roman" w:hAnsi="Times New Roman" w:cs="Times New Roman"/>
          <w:sz w:val="24"/>
          <w:szCs w:val="24"/>
        </w:rPr>
        <w:t>:</w:t>
      </w:r>
    </w:p>
    <w:p w:rsidR="00FA3C36" w:rsidRPr="00FA3C36" w:rsidRDefault="00FA3C36" w:rsidP="00FA3C36">
      <w:pPr>
        <w:pStyle w:val="Prrafodelista"/>
        <w:rPr>
          <w:rFonts w:ascii="Times New Roman" w:hAnsi="Times New Roman" w:cs="Times New Roman"/>
          <w:sz w:val="24"/>
          <w:szCs w:val="24"/>
        </w:rPr>
      </w:pPr>
    </w:p>
    <w:p w:rsidR="00474623" w:rsidRPr="00474623" w:rsidRDefault="00474623" w:rsidP="00FA3C36">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 Modificación y actualización del Sistema para Control de Asistencias en relación a la carga de información de marcaciones e incorporación de nuevos jefes y firmas.</w:t>
      </w:r>
    </w:p>
    <w:p w:rsidR="00474623" w:rsidRPr="00474623" w:rsidRDefault="00474623" w:rsidP="00474623">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 xml:space="preserve">* Configuración y publicación de nuevo sitio web institucional e incorporación de un mecanismo para resolver </w:t>
      </w:r>
      <w:r w:rsidR="00FA3C36" w:rsidRPr="00474623">
        <w:rPr>
          <w:rFonts w:ascii="Times New Roman" w:hAnsi="Times New Roman" w:cs="Times New Roman"/>
          <w:sz w:val="24"/>
          <w:szCs w:val="24"/>
        </w:rPr>
        <w:t xml:space="preserve">y </w:t>
      </w:r>
      <w:proofErr w:type="spellStart"/>
      <w:r w:rsidR="00FA3C36" w:rsidRPr="00474623">
        <w:rPr>
          <w:rFonts w:ascii="Times New Roman" w:hAnsi="Times New Roman" w:cs="Times New Roman"/>
          <w:sz w:val="24"/>
          <w:szCs w:val="24"/>
        </w:rPr>
        <w:t>redireccionar</w:t>
      </w:r>
      <w:proofErr w:type="spellEnd"/>
      <w:r w:rsidRPr="00474623">
        <w:rPr>
          <w:rFonts w:ascii="Times New Roman" w:hAnsi="Times New Roman" w:cs="Times New Roman"/>
          <w:sz w:val="24"/>
          <w:szCs w:val="24"/>
        </w:rPr>
        <w:t xml:space="preserve"> enlaces antiguos del Sitio Web Institucional y la minimización de vínculos rotos.</w:t>
      </w:r>
    </w:p>
    <w:p w:rsidR="00474623" w:rsidRPr="00474623" w:rsidRDefault="00474623" w:rsidP="00474623">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*Actualización del SIGCI para incorporación y manejo de nuevas fases, etapas y documentos de respaldo en concordancia al procedimiento de investigación sobre prácticas anticompetitivas indicado por la Intendencia de Investigaciones.</w:t>
      </w:r>
    </w:p>
    <w:p w:rsidR="00474623" w:rsidRPr="00474623" w:rsidRDefault="00474623" w:rsidP="00474623">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 Incorporación a SIGCI de un nuevo procedimiento para publicación de fragmentos y de resoluciones en nuevo Sitio Web Institucional.</w:t>
      </w:r>
    </w:p>
    <w:p w:rsidR="00474623" w:rsidRPr="00474623" w:rsidRDefault="00474623" w:rsidP="00474623">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 xml:space="preserve">* Apoyo técnico en la actualización de la </w:t>
      </w:r>
      <w:proofErr w:type="spellStart"/>
      <w:r w:rsidRPr="00474623">
        <w:rPr>
          <w:rFonts w:ascii="Times New Roman" w:hAnsi="Times New Roman" w:cs="Times New Roman"/>
          <w:sz w:val="24"/>
          <w:szCs w:val="24"/>
        </w:rPr>
        <w:t>AppSC</w:t>
      </w:r>
      <w:proofErr w:type="spellEnd"/>
      <w:r w:rsidRPr="00474623">
        <w:rPr>
          <w:rFonts w:ascii="Times New Roman" w:hAnsi="Times New Roman" w:cs="Times New Roman"/>
          <w:sz w:val="24"/>
          <w:szCs w:val="24"/>
        </w:rPr>
        <w:t xml:space="preserve"> y seguimiento del CMS de la nueva Web Institucional.</w:t>
      </w:r>
    </w:p>
    <w:p w:rsidR="00474623" w:rsidRDefault="00474623" w:rsidP="00474623">
      <w:pPr>
        <w:pStyle w:val="Prrafodelista"/>
        <w:ind w:left="1080"/>
        <w:jc w:val="both"/>
        <w:rPr>
          <w:rFonts w:ascii="Times New Roman" w:hAnsi="Times New Roman" w:cs="Times New Roman"/>
          <w:sz w:val="24"/>
          <w:szCs w:val="24"/>
        </w:rPr>
      </w:pPr>
      <w:r w:rsidRPr="00474623">
        <w:rPr>
          <w:rFonts w:ascii="Times New Roman" w:hAnsi="Times New Roman" w:cs="Times New Roman"/>
          <w:sz w:val="24"/>
          <w:szCs w:val="24"/>
        </w:rPr>
        <w:t xml:space="preserve">Se culminará esta primera fase con un informe técnico, a desarrollar por parte del personal capacitado en el tema, que orientará sobre las acciones a integrar para la </w:t>
      </w:r>
      <w:proofErr w:type="spellStart"/>
      <w:r w:rsidRPr="00474623">
        <w:rPr>
          <w:rFonts w:ascii="Times New Roman" w:hAnsi="Times New Roman" w:cs="Times New Roman"/>
          <w:sz w:val="24"/>
          <w:szCs w:val="24"/>
        </w:rPr>
        <w:t>consecusión</w:t>
      </w:r>
      <w:proofErr w:type="spellEnd"/>
      <w:r w:rsidRPr="00474623">
        <w:rPr>
          <w:rFonts w:ascii="Times New Roman" w:hAnsi="Times New Roman" w:cs="Times New Roman"/>
          <w:sz w:val="24"/>
          <w:szCs w:val="24"/>
        </w:rPr>
        <w:t xml:space="preserve"> del proyecto.</w:t>
      </w:r>
    </w:p>
    <w:p w:rsidR="00474623" w:rsidRDefault="00474623" w:rsidP="00474623">
      <w:pPr>
        <w:pStyle w:val="Prrafodelista"/>
        <w:ind w:left="1080"/>
        <w:jc w:val="both"/>
        <w:rPr>
          <w:rFonts w:ascii="Times New Roman" w:hAnsi="Times New Roman" w:cs="Times New Roman"/>
          <w:sz w:val="24"/>
          <w:szCs w:val="24"/>
        </w:rPr>
      </w:pPr>
    </w:p>
    <w:p w:rsidR="00474623" w:rsidRDefault="00474623" w:rsidP="00474623">
      <w:pPr>
        <w:pStyle w:val="Prrafodelista"/>
        <w:numPr>
          <w:ilvl w:val="0"/>
          <w:numId w:val="16"/>
        </w:numPr>
        <w:jc w:val="both"/>
        <w:rPr>
          <w:rFonts w:ascii="Times New Roman" w:hAnsi="Times New Roman" w:cs="Times New Roman"/>
          <w:sz w:val="24"/>
          <w:szCs w:val="24"/>
        </w:rPr>
      </w:pPr>
      <w:r w:rsidRPr="00474623">
        <w:rPr>
          <w:rFonts w:ascii="Times New Roman" w:hAnsi="Times New Roman" w:cs="Times New Roman"/>
          <w:sz w:val="24"/>
          <w:szCs w:val="24"/>
        </w:rPr>
        <w:t>Atender solicitudes de soporte técnico (llamadas telefónicas, correos electrónicos y presenciales) sobre soporte técnico relacionado a equipos, impresores y software de oficina; Resolver incidentes relacionados al hardware y software de computadoras y demás equipo institucional.</w:t>
      </w:r>
    </w:p>
    <w:p w:rsidR="00FA3C36" w:rsidRDefault="00FA3C36" w:rsidP="00FA3C36">
      <w:pPr>
        <w:pStyle w:val="Prrafodelista"/>
        <w:ind w:left="1080"/>
        <w:jc w:val="both"/>
        <w:rPr>
          <w:rFonts w:ascii="Times New Roman" w:hAnsi="Times New Roman" w:cs="Times New Roman"/>
          <w:sz w:val="24"/>
          <w:szCs w:val="24"/>
        </w:rPr>
      </w:pPr>
    </w:p>
    <w:p w:rsidR="00FA3C36" w:rsidRDefault="00FA3C36" w:rsidP="00FA3C36">
      <w:pPr>
        <w:pStyle w:val="Prrafodelista"/>
        <w:numPr>
          <w:ilvl w:val="0"/>
          <w:numId w:val="16"/>
        </w:numPr>
        <w:jc w:val="both"/>
        <w:rPr>
          <w:rFonts w:ascii="Times New Roman" w:hAnsi="Times New Roman" w:cs="Times New Roman"/>
          <w:sz w:val="24"/>
          <w:szCs w:val="24"/>
        </w:rPr>
      </w:pPr>
      <w:r w:rsidRPr="00FA3C36">
        <w:rPr>
          <w:rFonts w:ascii="Times New Roman" w:hAnsi="Times New Roman" w:cs="Times New Roman"/>
          <w:sz w:val="24"/>
          <w:szCs w:val="24"/>
        </w:rPr>
        <w:t>Asistencia técnica informática en eventos y actividades de la SC. Publicación de contenido en sitio web institucional y apoyo técnico en procedimiento de verificación y actualización de contenido en nuevo sitio web institucional. Apoyo técnico informático en pruebas técnicas para aspirantes a plazas vacantes. Verificación institucional del activo fijo asignado a la unidad de informática.</w:t>
      </w:r>
    </w:p>
    <w:p w:rsidR="00FA3C36" w:rsidRPr="00FA3C36" w:rsidRDefault="00FA3C36" w:rsidP="00FA3C36">
      <w:pPr>
        <w:pStyle w:val="Prrafodelista"/>
        <w:rPr>
          <w:rFonts w:ascii="Times New Roman" w:hAnsi="Times New Roman" w:cs="Times New Roman"/>
          <w:sz w:val="24"/>
          <w:szCs w:val="24"/>
        </w:rPr>
      </w:pPr>
    </w:p>
    <w:p w:rsidR="00B11B12" w:rsidRPr="00565D2C" w:rsidRDefault="001D2608" w:rsidP="00474623">
      <w:pPr>
        <w:pStyle w:val="Prrafodelista"/>
        <w:tabs>
          <w:tab w:val="left" w:pos="142"/>
          <w:tab w:val="left" w:pos="567"/>
        </w:tabs>
        <w:spacing w:after="0" w:line="240" w:lineRule="auto"/>
        <w:ind w:left="1080"/>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F66EF0" w:rsidRPr="00FA3C36" w:rsidRDefault="00F66EF0" w:rsidP="00F66EF0">
      <w:pPr>
        <w:tabs>
          <w:tab w:val="left" w:pos="567"/>
          <w:tab w:val="left" w:pos="851"/>
          <w:tab w:val="left" w:pos="993"/>
        </w:tabs>
        <w:ind w:left="567"/>
        <w:jc w:val="both"/>
        <w:rPr>
          <w:rFonts w:ascii="Times New Roman" w:hAnsi="Times New Roman" w:cs="Times New Roman"/>
          <w:b/>
          <w:sz w:val="24"/>
          <w:szCs w:val="24"/>
        </w:rPr>
      </w:pPr>
      <w:r w:rsidRPr="00FA3C36">
        <w:rPr>
          <w:rFonts w:ascii="Times New Roman" w:hAnsi="Times New Roman" w:cs="Times New Roman"/>
          <w:b/>
          <w:sz w:val="24"/>
          <w:szCs w:val="24"/>
        </w:rPr>
        <w:t>Detalle de las actividades con ejecución media o baja de la UI:</w:t>
      </w:r>
    </w:p>
    <w:p w:rsidR="00F66EF0" w:rsidRPr="00565D2C" w:rsidRDefault="00F66EF0" w:rsidP="00565D2C">
      <w:pPr>
        <w:pStyle w:val="Prrafodelista"/>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FC938D">
            <wp:extent cx="5194300" cy="579120"/>
            <wp:effectExtent l="0" t="0" r="635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4300" cy="579120"/>
                    </a:xfrm>
                    <a:prstGeom prst="rect">
                      <a:avLst/>
                    </a:prstGeom>
                    <a:noFill/>
                  </pic:spPr>
                </pic:pic>
              </a:graphicData>
            </a:graphic>
          </wp:inline>
        </w:drawing>
      </w:r>
    </w:p>
    <w:p w:rsidR="00FA3C36" w:rsidRDefault="00FA3C36" w:rsidP="00FA3C36">
      <w:pPr>
        <w:pStyle w:val="Ttulo2"/>
        <w:numPr>
          <w:ilvl w:val="0"/>
          <w:numId w:val="0"/>
        </w:numPr>
        <w:ind w:left="720"/>
        <w:rPr>
          <w:rFonts w:ascii="Times New Roman" w:hAnsi="Times New Roman" w:cs="Times New Roman"/>
          <w:szCs w:val="24"/>
        </w:rPr>
      </w:pPr>
    </w:p>
    <w:p w:rsidR="00427805" w:rsidRPr="00427805" w:rsidRDefault="00427805" w:rsidP="00427805">
      <w:pPr>
        <w:pStyle w:val="Prrafodelista"/>
        <w:numPr>
          <w:ilvl w:val="0"/>
          <w:numId w:val="27"/>
        </w:numPr>
        <w:spacing w:after="0" w:line="240" w:lineRule="auto"/>
        <w:jc w:val="both"/>
        <w:rPr>
          <w:rFonts w:ascii="Times New Roman" w:hAnsi="Times New Roman" w:cs="Times New Roman"/>
          <w:sz w:val="24"/>
          <w:szCs w:val="24"/>
        </w:rPr>
      </w:pPr>
      <w:r w:rsidRPr="00427805">
        <w:rPr>
          <w:rFonts w:ascii="Times New Roman" w:hAnsi="Times New Roman" w:cs="Times New Roman"/>
          <w:sz w:val="24"/>
          <w:szCs w:val="24"/>
        </w:rPr>
        <w:t>En la AE.4.3.4, quedo un 15% pendiente en el diseño de la seguridad organizacional y el diseño de las TIC y la seguridad física de la información.</w:t>
      </w:r>
    </w:p>
    <w:p w:rsidR="00FA3C36" w:rsidRDefault="00FA3C36" w:rsidP="00427805"/>
    <w:p w:rsidR="00FA3C36" w:rsidRDefault="00FA3C36" w:rsidP="00FA3C36">
      <w:pPr>
        <w:pStyle w:val="Ttulo2"/>
        <w:numPr>
          <w:ilvl w:val="0"/>
          <w:numId w:val="0"/>
        </w:numPr>
        <w:ind w:left="720"/>
        <w:rPr>
          <w:rFonts w:ascii="Times New Roman" w:hAnsi="Times New Roman" w:cs="Times New Roman"/>
          <w:szCs w:val="24"/>
        </w:rPr>
      </w:pPr>
    </w:p>
    <w:p w:rsidR="00A66046" w:rsidRPr="00565D2C" w:rsidRDefault="005B191A" w:rsidP="00565D2C">
      <w:pPr>
        <w:pStyle w:val="Ttulo2"/>
        <w:numPr>
          <w:ilvl w:val="0"/>
          <w:numId w:val="12"/>
        </w:numPr>
        <w:rPr>
          <w:rFonts w:ascii="Times New Roman" w:hAnsi="Times New Roman" w:cs="Times New Roman"/>
          <w:szCs w:val="24"/>
        </w:rPr>
      </w:pPr>
      <w:bookmarkStart w:id="7" w:name="_Toc530046492"/>
      <w:r w:rsidRPr="00565D2C">
        <w:rPr>
          <w:rFonts w:ascii="Times New Roman" w:hAnsi="Times New Roman" w:cs="Times New Roman"/>
          <w:szCs w:val="24"/>
        </w:rPr>
        <w:t>Unidad de Administración y Recursos Humanos</w:t>
      </w:r>
      <w:bookmarkEnd w:id="7"/>
    </w:p>
    <w:p w:rsidR="00A66046" w:rsidRPr="00565D2C" w:rsidRDefault="009877E8" w:rsidP="00565D2C">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808768" behindDoc="1" locked="0" layoutInCell="1" allowOverlap="1">
            <wp:simplePos x="0" y="0"/>
            <wp:positionH relativeFrom="column">
              <wp:posOffset>2863215</wp:posOffset>
            </wp:positionH>
            <wp:positionV relativeFrom="paragraph">
              <wp:posOffset>236220</wp:posOffset>
            </wp:positionV>
            <wp:extent cx="2741930" cy="669290"/>
            <wp:effectExtent l="0" t="0" r="1270" b="0"/>
            <wp:wrapTight wrapText="bothSides">
              <wp:wrapPolygon edited="0">
                <wp:start x="0" y="0"/>
                <wp:lineTo x="0" y="19674"/>
                <wp:lineTo x="21460" y="19674"/>
                <wp:lineTo x="21460" y="0"/>
                <wp:lineTo x="0" y="0"/>
              </wp:wrapPolygon>
            </wp:wrapTight>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1930" cy="669290"/>
                    </a:xfrm>
                    <a:prstGeom prst="rect">
                      <a:avLst/>
                    </a:prstGeom>
                    <a:noFill/>
                  </pic:spPr>
                </pic:pic>
              </a:graphicData>
            </a:graphic>
            <wp14:sizeRelH relativeFrom="margin">
              <wp14:pctWidth>0</wp14:pctWidth>
            </wp14:sizeRelH>
            <wp14:sizeRelV relativeFrom="margin">
              <wp14:pctHeight>0</wp14:pctHeight>
            </wp14:sizeRelV>
          </wp:anchor>
        </w:drawing>
      </w:r>
      <w:r w:rsidR="00CE22D3" w:rsidRPr="00565D2C">
        <w:rPr>
          <w:rFonts w:ascii="Times New Roman" w:hAnsi="Times New Roman" w:cs="Times New Roman"/>
          <w:noProof/>
          <w:sz w:val="24"/>
          <w:szCs w:val="24"/>
        </w:rPr>
        <w:t xml:space="preserve"> </w:t>
      </w:r>
    </w:p>
    <w:p w:rsidR="000318A4" w:rsidRPr="00565D2C" w:rsidRDefault="009877E8" w:rsidP="00565D2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07744" behindDoc="1" locked="0" layoutInCell="1" allowOverlap="1">
            <wp:simplePos x="0" y="0"/>
            <wp:positionH relativeFrom="column">
              <wp:posOffset>-3810</wp:posOffset>
            </wp:positionH>
            <wp:positionV relativeFrom="paragraph">
              <wp:posOffset>60960</wp:posOffset>
            </wp:positionV>
            <wp:extent cx="2457450" cy="571913"/>
            <wp:effectExtent l="0" t="0" r="0" b="0"/>
            <wp:wrapTight wrapText="bothSides">
              <wp:wrapPolygon edited="0">
                <wp:start x="0" y="0"/>
                <wp:lineTo x="0" y="20880"/>
                <wp:lineTo x="21433" y="20880"/>
                <wp:lineTo x="21433" y="0"/>
                <wp:lineTo x="0"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7450" cy="571913"/>
                    </a:xfrm>
                    <a:prstGeom prst="rect">
                      <a:avLst/>
                    </a:prstGeom>
                    <a:noFill/>
                  </pic:spPr>
                </pic:pic>
              </a:graphicData>
            </a:graphic>
          </wp:anchor>
        </w:drawing>
      </w:r>
    </w:p>
    <w:p w:rsidR="00C0007B" w:rsidRPr="00565D2C" w:rsidRDefault="002A250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w:t>
      </w:r>
      <w:r w:rsidR="00C0007B" w:rsidRPr="00565D2C">
        <w:rPr>
          <w:rFonts w:ascii="Times New Roman" w:hAnsi="Times New Roman" w:cs="Times New Roman"/>
          <w:sz w:val="24"/>
          <w:szCs w:val="24"/>
        </w:rPr>
        <w:t xml:space="preserve">a Unidad de Administración y Recursos Humanos cumplió en un </w:t>
      </w:r>
      <w:r w:rsidR="00FA3C36">
        <w:rPr>
          <w:rFonts w:ascii="Times New Roman" w:hAnsi="Times New Roman" w:cs="Times New Roman"/>
          <w:sz w:val="24"/>
          <w:szCs w:val="24"/>
        </w:rPr>
        <w:t>100</w:t>
      </w:r>
      <w:r w:rsidR="00C0007B" w:rsidRPr="00565D2C">
        <w:rPr>
          <w:rFonts w:ascii="Times New Roman" w:hAnsi="Times New Roman" w:cs="Times New Roman"/>
          <w:sz w:val="24"/>
          <w:szCs w:val="24"/>
        </w:rPr>
        <w:t xml:space="preserve">% las </w:t>
      </w:r>
      <w:r w:rsidR="00787DB8">
        <w:rPr>
          <w:rFonts w:ascii="Times New Roman" w:hAnsi="Times New Roman" w:cs="Times New Roman"/>
          <w:sz w:val="24"/>
          <w:szCs w:val="24"/>
        </w:rPr>
        <w:t>9</w:t>
      </w:r>
      <w:r w:rsidR="00C0007B" w:rsidRPr="00565D2C">
        <w:rPr>
          <w:rFonts w:ascii="Times New Roman" w:hAnsi="Times New Roman" w:cs="Times New Roman"/>
          <w:sz w:val="24"/>
          <w:szCs w:val="24"/>
        </w:rPr>
        <w:t xml:space="preserve"> actividades programadas en el </w:t>
      </w:r>
      <w:r w:rsidR="004D258E">
        <w:rPr>
          <w:rFonts w:ascii="Times New Roman" w:hAnsi="Times New Roman" w:cs="Times New Roman"/>
          <w:sz w:val="24"/>
          <w:szCs w:val="24"/>
        </w:rPr>
        <w:t>tercer trimestre</w:t>
      </w:r>
      <w:r w:rsidR="00C0007B" w:rsidRPr="00565D2C">
        <w:rPr>
          <w:rFonts w:ascii="Times New Roman" w:hAnsi="Times New Roman" w:cs="Times New Roman"/>
          <w:sz w:val="24"/>
          <w:szCs w:val="24"/>
        </w:rPr>
        <w:t>.</w:t>
      </w:r>
    </w:p>
    <w:p w:rsidR="00C0007B" w:rsidRPr="00565D2C" w:rsidRDefault="00C0007B" w:rsidP="00565D2C">
      <w:pPr>
        <w:spacing w:after="0" w:line="240" w:lineRule="auto"/>
        <w:jc w:val="both"/>
        <w:rPr>
          <w:rFonts w:ascii="Times New Roman" w:hAnsi="Times New Roman" w:cs="Times New Roman"/>
          <w:sz w:val="24"/>
          <w:szCs w:val="24"/>
        </w:rPr>
      </w:pPr>
    </w:p>
    <w:p w:rsidR="00CE22D3" w:rsidRPr="00565D2C" w:rsidRDefault="00CE22D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Dentro de las actividades más relevantes ejecutadas exitosamente se cuenta con: </w:t>
      </w:r>
    </w:p>
    <w:p w:rsidR="00A20467" w:rsidRPr="00565D2C" w:rsidRDefault="00A20467" w:rsidP="00565D2C">
      <w:pPr>
        <w:spacing w:after="0" w:line="240" w:lineRule="auto"/>
        <w:jc w:val="both"/>
        <w:rPr>
          <w:rFonts w:ascii="Times New Roman" w:hAnsi="Times New Roman" w:cs="Times New Roman"/>
          <w:sz w:val="24"/>
          <w:szCs w:val="24"/>
        </w:rPr>
      </w:pPr>
    </w:p>
    <w:p w:rsidR="00A66046" w:rsidRDefault="005D407A"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Durante el período se han gestionado un total de </w:t>
      </w:r>
      <w:r w:rsidR="0001742A">
        <w:rPr>
          <w:rFonts w:ascii="Times New Roman" w:hAnsi="Times New Roman" w:cs="Times New Roman"/>
          <w:sz w:val="24"/>
          <w:szCs w:val="24"/>
        </w:rPr>
        <w:t>61</w:t>
      </w:r>
      <w:r w:rsidRPr="00565D2C">
        <w:rPr>
          <w:rFonts w:ascii="Times New Roman" w:hAnsi="Times New Roman" w:cs="Times New Roman"/>
          <w:sz w:val="24"/>
          <w:szCs w:val="24"/>
        </w:rPr>
        <w:t xml:space="preserve"> reclamos médicos, presentados a través de rembolso. </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01742A" w:rsidRPr="0001742A" w:rsidRDefault="0001742A" w:rsidP="0001742A">
      <w:pPr>
        <w:pStyle w:val="Prrafodelista"/>
        <w:numPr>
          <w:ilvl w:val="0"/>
          <w:numId w:val="2"/>
        </w:numPr>
        <w:spacing w:after="0" w:line="240" w:lineRule="auto"/>
        <w:jc w:val="both"/>
        <w:rPr>
          <w:rFonts w:ascii="Times New Roman" w:hAnsi="Times New Roman" w:cs="Times New Roman"/>
          <w:sz w:val="24"/>
          <w:szCs w:val="24"/>
        </w:rPr>
      </w:pPr>
      <w:r w:rsidRPr="0001742A">
        <w:rPr>
          <w:rFonts w:ascii="Times New Roman" w:hAnsi="Times New Roman" w:cs="Times New Roman"/>
          <w:sz w:val="24"/>
          <w:szCs w:val="24"/>
        </w:rPr>
        <w:t>En el fondo circulante durante el tercer trimestre fueron entregadas 3 pólizas, de acuerdo al siguiente detalle:</w:t>
      </w:r>
    </w:p>
    <w:p w:rsidR="0001742A" w:rsidRPr="0001742A" w:rsidRDefault="0001742A" w:rsidP="0001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742A">
        <w:rPr>
          <w:rFonts w:ascii="Times New Roman" w:hAnsi="Times New Roman" w:cs="Times New Roman"/>
          <w:sz w:val="24"/>
          <w:szCs w:val="24"/>
        </w:rPr>
        <w:t>No. De Póliza</w:t>
      </w:r>
      <w:r w:rsidRPr="0001742A">
        <w:rPr>
          <w:rFonts w:ascii="Times New Roman" w:hAnsi="Times New Roman" w:cs="Times New Roman"/>
          <w:sz w:val="24"/>
          <w:szCs w:val="24"/>
        </w:rPr>
        <w:tab/>
        <w:t>Fecha</w:t>
      </w:r>
      <w:r w:rsidRPr="0001742A">
        <w:rPr>
          <w:rFonts w:ascii="Times New Roman" w:hAnsi="Times New Roman" w:cs="Times New Roman"/>
          <w:sz w:val="24"/>
          <w:szCs w:val="24"/>
        </w:rPr>
        <w:tab/>
      </w:r>
      <w:r w:rsidRPr="0001742A">
        <w:rPr>
          <w:rFonts w:ascii="Times New Roman" w:hAnsi="Times New Roman" w:cs="Times New Roman"/>
          <w:sz w:val="24"/>
          <w:szCs w:val="24"/>
        </w:rPr>
        <w:tab/>
      </w:r>
      <w:r w:rsidRPr="0001742A">
        <w:rPr>
          <w:rFonts w:ascii="Times New Roman" w:hAnsi="Times New Roman" w:cs="Times New Roman"/>
          <w:sz w:val="24"/>
          <w:szCs w:val="24"/>
        </w:rPr>
        <w:tab/>
        <w:t>Monto</w:t>
      </w:r>
    </w:p>
    <w:p w:rsidR="0001742A" w:rsidRPr="0001742A" w:rsidRDefault="0001742A" w:rsidP="0001742A">
      <w:pPr>
        <w:spacing w:after="0" w:line="240" w:lineRule="auto"/>
        <w:ind w:firstLine="708"/>
        <w:jc w:val="both"/>
        <w:rPr>
          <w:rFonts w:ascii="Times New Roman" w:hAnsi="Times New Roman" w:cs="Times New Roman"/>
          <w:sz w:val="24"/>
          <w:szCs w:val="24"/>
        </w:rPr>
      </w:pPr>
      <w:r w:rsidRPr="0001742A">
        <w:rPr>
          <w:rFonts w:ascii="Times New Roman" w:hAnsi="Times New Roman" w:cs="Times New Roman"/>
          <w:sz w:val="24"/>
          <w:szCs w:val="24"/>
        </w:rPr>
        <w:t>1</w:t>
      </w:r>
      <w:r w:rsidRPr="0001742A">
        <w:rPr>
          <w:rFonts w:ascii="Times New Roman" w:hAnsi="Times New Roman" w:cs="Times New Roman"/>
          <w:sz w:val="24"/>
          <w:szCs w:val="24"/>
        </w:rPr>
        <w:tab/>
        <w:t>04/Julio/2018</w:t>
      </w:r>
      <w:r w:rsidRPr="0001742A">
        <w:rPr>
          <w:rFonts w:ascii="Times New Roman" w:hAnsi="Times New Roman" w:cs="Times New Roman"/>
          <w:sz w:val="24"/>
          <w:szCs w:val="24"/>
        </w:rPr>
        <w:tab/>
      </w:r>
      <w:r w:rsidRPr="0001742A">
        <w:rPr>
          <w:rFonts w:ascii="Times New Roman" w:hAnsi="Times New Roman" w:cs="Times New Roman"/>
          <w:sz w:val="24"/>
          <w:szCs w:val="24"/>
        </w:rPr>
        <w:tab/>
      </w:r>
      <w:r w:rsidR="001E665A">
        <w:rPr>
          <w:rFonts w:ascii="Times New Roman" w:hAnsi="Times New Roman" w:cs="Times New Roman"/>
          <w:sz w:val="24"/>
          <w:szCs w:val="24"/>
        </w:rPr>
        <w:t xml:space="preserve">            </w:t>
      </w:r>
      <w:r w:rsidRPr="0001742A">
        <w:rPr>
          <w:rFonts w:ascii="Times New Roman" w:hAnsi="Times New Roman" w:cs="Times New Roman"/>
          <w:sz w:val="24"/>
          <w:szCs w:val="24"/>
        </w:rPr>
        <w:t>$ 1,332.03</w:t>
      </w:r>
    </w:p>
    <w:p w:rsidR="0001742A" w:rsidRPr="0001742A" w:rsidRDefault="0001742A" w:rsidP="0001742A">
      <w:pPr>
        <w:spacing w:after="0" w:line="240" w:lineRule="auto"/>
        <w:ind w:firstLine="708"/>
        <w:jc w:val="both"/>
        <w:rPr>
          <w:rFonts w:ascii="Times New Roman" w:hAnsi="Times New Roman" w:cs="Times New Roman"/>
          <w:sz w:val="24"/>
          <w:szCs w:val="24"/>
        </w:rPr>
      </w:pPr>
      <w:r w:rsidRPr="0001742A">
        <w:rPr>
          <w:rFonts w:ascii="Times New Roman" w:hAnsi="Times New Roman" w:cs="Times New Roman"/>
          <w:sz w:val="24"/>
          <w:szCs w:val="24"/>
        </w:rPr>
        <w:t>2</w:t>
      </w:r>
      <w:r w:rsidRPr="0001742A">
        <w:rPr>
          <w:rFonts w:ascii="Times New Roman" w:hAnsi="Times New Roman" w:cs="Times New Roman"/>
          <w:sz w:val="24"/>
          <w:szCs w:val="24"/>
        </w:rPr>
        <w:tab/>
        <w:t>08/Agosto/2018</w:t>
      </w:r>
      <w:r w:rsidRPr="0001742A">
        <w:rPr>
          <w:rFonts w:ascii="Times New Roman" w:hAnsi="Times New Roman" w:cs="Times New Roman"/>
          <w:sz w:val="24"/>
          <w:szCs w:val="24"/>
        </w:rPr>
        <w:tab/>
      </w:r>
      <w:r w:rsidR="001E665A">
        <w:rPr>
          <w:rFonts w:ascii="Times New Roman" w:hAnsi="Times New Roman" w:cs="Times New Roman"/>
          <w:sz w:val="24"/>
          <w:szCs w:val="24"/>
        </w:rPr>
        <w:t xml:space="preserve">            </w:t>
      </w:r>
      <w:r w:rsidRPr="0001742A">
        <w:rPr>
          <w:rFonts w:ascii="Times New Roman" w:hAnsi="Times New Roman" w:cs="Times New Roman"/>
          <w:sz w:val="24"/>
          <w:szCs w:val="24"/>
        </w:rPr>
        <w:t>$ 1,633.89</w:t>
      </w:r>
    </w:p>
    <w:p w:rsidR="0001742A" w:rsidRPr="0001742A" w:rsidRDefault="0001742A" w:rsidP="0001742A">
      <w:pPr>
        <w:spacing w:after="0" w:line="240" w:lineRule="auto"/>
        <w:ind w:firstLine="708"/>
        <w:jc w:val="both"/>
        <w:rPr>
          <w:rFonts w:ascii="Times New Roman" w:hAnsi="Times New Roman" w:cs="Times New Roman"/>
          <w:sz w:val="24"/>
          <w:szCs w:val="24"/>
        </w:rPr>
      </w:pPr>
      <w:r w:rsidRPr="0001742A">
        <w:rPr>
          <w:rFonts w:ascii="Times New Roman" w:hAnsi="Times New Roman" w:cs="Times New Roman"/>
          <w:sz w:val="24"/>
          <w:szCs w:val="24"/>
        </w:rPr>
        <w:t>3</w:t>
      </w:r>
      <w:r w:rsidRPr="0001742A">
        <w:rPr>
          <w:rFonts w:ascii="Times New Roman" w:hAnsi="Times New Roman" w:cs="Times New Roman"/>
          <w:sz w:val="24"/>
          <w:szCs w:val="24"/>
        </w:rPr>
        <w:tab/>
        <w:t>05/Septiembre/2018</w:t>
      </w:r>
      <w:r w:rsidRPr="0001742A">
        <w:rPr>
          <w:rFonts w:ascii="Times New Roman" w:hAnsi="Times New Roman" w:cs="Times New Roman"/>
          <w:sz w:val="24"/>
          <w:szCs w:val="24"/>
        </w:rPr>
        <w:tab/>
      </w:r>
      <w:r w:rsidR="001E665A">
        <w:rPr>
          <w:rFonts w:ascii="Times New Roman" w:hAnsi="Times New Roman" w:cs="Times New Roman"/>
          <w:sz w:val="24"/>
          <w:szCs w:val="24"/>
        </w:rPr>
        <w:t xml:space="preserve">            </w:t>
      </w:r>
      <w:r w:rsidRPr="0001742A">
        <w:rPr>
          <w:rFonts w:ascii="Times New Roman" w:hAnsi="Times New Roman" w:cs="Times New Roman"/>
          <w:sz w:val="24"/>
          <w:szCs w:val="24"/>
        </w:rPr>
        <w:t>$ 1,208.49</w:t>
      </w:r>
    </w:p>
    <w:p w:rsidR="00CE22D3" w:rsidRDefault="00CE22D3" w:rsidP="00565D2C">
      <w:pPr>
        <w:pStyle w:val="Prrafodelista"/>
        <w:spacing w:after="0" w:line="240" w:lineRule="auto"/>
        <w:jc w:val="both"/>
        <w:rPr>
          <w:rFonts w:ascii="Times New Roman" w:hAnsi="Times New Roman" w:cs="Times New Roman"/>
          <w:sz w:val="24"/>
          <w:szCs w:val="24"/>
        </w:rPr>
      </w:pPr>
    </w:p>
    <w:p w:rsidR="0001742A" w:rsidRPr="0001742A" w:rsidRDefault="0001742A" w:rsidP="0001742A">
      <w:pPr>
        <w:pStyle w:val="Prrafodelista"/>
        <w:numPr>
          <w:ilvl w:val="0"/>
          <w:numId w:val="2"/>
        </w:numPr>
        <w:spacing w:after="0" w:line="240" w:lineRule="auto"/>
        <w:jc w:val="both"/>
        <w:rPr>
          <w:rFonts w:ascii="Times New Roman" w:hAnsi="Times New Roman" w:cs="Times New Roman"/>
          <w:sz w:val="24"/>
          <w:szCs w:val="24"/>
        </w:rPr>
      </w:pPr>
      <w:r w:rsidRPr="0001742A">
        <w:rPr>
          <w:rFonts w:ascii="Times New Roman" w:hAnsi="Times New Roman" w:cs="Times New Roman"/>
          <w:sz w:val="24"/>
          <w:szCs w:val="24"/>
        </w:rPr>
        <w:t>Se utilizó en los vehículos institucionales el siguiente combustible:</w:t>
      </w:r>
    </w:p>
    <w:p w:rsidR="0001742A" w:rsidRPr="0001742A" w:rsidRDefault="0001742A" w:rsidP="0001742A">
      <w:pPr>
        <w:spacing w:after="0" w:line="240" w:lineRule="auto"/>
        <w:jc w:val="both"/>
        <w:rPr>
          <w:rFonts w:ascii="Times New Roman" w:hAnsi="Times New Roman" w:cs="Times New Roman"/>
          <w:sz w:val="24"/>
          <w:szCs w:val="24"/>
        </w:rPr>
      </w:pPr>
    </w:p>
    <w:p w:rsidR="0001742A" w:rsidRPr="0001742A" w:rsidRDefault="0001742A" w:rsidP="0001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742A">
        <w:rPr>
          <w:rFonts w:ascii="Times New Roman" w:hAnsi="Times New Roman" w:cs="Times New Roman"/>
          <w:sz w:val="24"/>
          <w:szCs w:val="24"/>
        </w:rPr>
        <w:t>JULIO</w:t>
      </w:r>
      <w:r w:rsidRPr="0001742A">
        <w:rPr>
          <w:rFonts w:ascii="Times New Roman" w:hAnsi="Times New Roman" w:cs="Times New Roman"/>
          <w:sz w:val="24"/>
          <w:szCs w:val="24"/>
        </w:rPr>
        <w:tab/>
      </w:r>
      <w:r w:rsidRPr="0001742A">
        <w:rPr>
          <w:rFonts w:ascii="Times New Roman" w:hAnsi="Times New Roman" w:cs="Times New Roman"/>
          <w:sz w:val="24"/>
          <w:szCs w:val="24"/>
        </w:rPr>
        <w:tab/>
      </w:r>
      <w:r w:rsidR="001E665A">
        <w:rPr>
          <w:rFonts w:ascii="Times New Roman" w:hAnsi="Times New Roman" w:cs="Times New Roman"/>
          <w:sz w:val="24"/>
          <w:szCs w:val="24"/>
        </w:rPr>
        <w:t xml:space="preserve">     </w:t>
      </w:r>
      <w:r w:rsidRPr="0001742A">
        <w:rPr>
          <w:rFonts w:ascii="Times New Roman" w:hAnsi="Times New Roman" w:cs="Times New Roman"/>
          <w:sz w:val="24"/>
          <w:szCs w:val="24"/>
        </w:rPr>
        <w:t>$320.00</w:t>
      </w:r>
    </w:p>
    <w:p w:rsidR="0001742A" w:rsidRPr="0001742A" w:rsidRDefault="0001742A" w:rsidP="0001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742A">
        <w:rPr>
          <w:rFonts w:ascii="Times New Roman" w:hAnsi="Times New Roman" w:cs="Times New Roman"/>
          <w:sz w:val="24"/>
          <w:szCs w:val="24"/>
        </w:rPr>
        <w:t xml:space="preserve">AGOSTO    </w:t>
      </w:r>
      <w:r w:rsidRPr="0001742A">
        <w:rPr>
          <w:rFonts w:ascii="Times New Roman" w:hAnsi="Times New Roman" w:cs="Times New Roman"/>
          <w:sz w:val="24"/>
          <w:szCs w:val="24"/>
        </w:rPr>
        <w:tab/>
      </w:r>
      <w:r w:rsidR="001E665A">
        <w:rPr>
          <w:rFonts w:ascii="Times New Roman" w:hAnsi="Times New Roman" w:cs="Times New Roman"/>
          <w:sz w:val="24"/>
          <w:szCs w:val="24"/>
        </w:rPr>
        <w:t xml:space="preserve">     </w:t>
      </w:r>
      <w:r w:rsidRPr="0001742A">
        <w:rPr>
          <w:rFonts w:ascii="Times New Roman" w:hAnsi="Times New Roman" w:cs="Times New Roman"/>
          <w:sz w:val="24"/>
          <w:szCs w:val="24"/>
        </w:rPr>
        <w:t>$310.00</w:t>
      </w:r>
    </w:p>
    <w:p w:rsidR="0001742A" w:rsidRPr="0001742A" w:rsidRDefault="0001742A" w:rsidP="0001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742A">
        <w:rPr>
          <w:rFonts w:ascii="Times New Roman" w:hAnsi="Times New Roman" w:cs="Times New Roman"/>
          <w:sz w:val="24"/>
          <w:szCs w:val="24"/>
        </w:rPr>
        <w:t>SEPTIEMBRE      $215.00</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CE22D3" w:rsidRPr="00890C3E" w:rsidRDefault="00BC0EB2" w:rsidP="00565D2C">
      <w:pPr>
        <w:pStyle w:val="Prrafodelista"/>
        <w:numPr>
          <w:ilvl w:val="0"/>
          <w:numId w:val="2"/>
        </w:numPr>
        <w:spacing w:after="0" w:line="240" w:lineRule="auto"/>
        <w:jc w:val="both"/>
        <w:rPr>
          <w:rFonts w:ascii="Times New Roman" w:hAnsi="Times New Roman" w:cs="Times New Roman"/>
          <w:sz w:val="24"/>
          <w:szCs w:val="24"/>
        </w:rPr>
      </w:pPr>
      <w:r w:rsidRPr="00890C3E">
        <w:rPr>
          <w:rFonts w:ascii="Times New Roman" w:hAnsi="Times New Roman" w:cs="Times New Roman"/>
          <w:sz w:val="24"/>
          <w:szCs w:val="24"/>
        </w:rPr>
        <w:t xml:space="preserve">Se implementó el Sistema de Control de Asistencia, que nos permite un mejor control de las licencias del personal. El promedio de asistencia puntual </w:t>
      </w:r>
      <w:r w:rsidR="00890C3E">
        <w:rPr>
          <w:rFonts w:ascii="Times New Roman" w:hAnsi="Times New Roman" w:cs="Times New Roman"/>
          <w:sz w:val="24"/>
          <w:szCs w:val="24"/>
        </w:rPr>
        <w:t>del personal que marca es del 91.67</w:t>
      </w:r>
      <w:r w:rsidRPr="00890C3E">
        <w:rPr>
          <w:rFonts w:ascii="Times New Roman" w:hAnsi="Times New Roman" w:cs="Times New Roman"/>
          <w:sz w:val="24"/>
          <w:szCs w:val="24"/>
        </w:rPr>
        <w:t>%.</w:t>
      </w:r>
    </w:p>
    <w:p w:rsidR="00787DB8" w:rsidRPr="00890C3E" w:rsidRDefault="00787DB8" w:rsidP="00787DB8">
      <w:pPr>
        <w:pStyle w:val="Prrafodelista"/>
        <w:rPr>
          <w:rFonts w:ascii="Times New Roman" w:hAnsi="Times New Roman" w:cs="Times New Roman"/>
          <w:sz w:val="24"/>
          <w:szCs w:val="24"/>
        </w:rPr>
      </w:pPr>
    </w:p>
    <w:p w:rsidR="00CE22D3" w:rsidRPr="00890C3E" w:rsidRDefault="00890C3E" w:rsidP="00565D2C">
      <w:pPr>
        <w:pStyle w:val="Prrafodelista"/>
        <w:numPr>
          <w:ilvl w:val="0"/>
          <w:numId w:val="2"/>
        </w:numPr>
        <w:spacing w:after="0" w:line="240" w:lineRule="auto"/>
        <w:jc w:val="both"/>
        <w:rPr>
          <w:rFonts w:ascii="Times New Roman" w:hAnsi="Times New Roman" w:cs="Times New Roman"/>
          <w:sz w:val="24"/>
          <w:szCs w:val="24"/>
        </w:rPr>
      </w:pPr>
      <w:r w:rsidRPr="00890C3E">
        <w:rPr>
          <w:rFonts w:ascii="Times New Roman" w:hAnsi="Times New Roman" w:cs="Times New Roman"/>
          <w:sz w:val="24"/>
          <w:szCs w:val="24"/>
        </w:rPr>
        <w:t>Se tuvo la renuncia del Superintendente de Competencia al 30 de junio del corriente</w:t>
      </w:r>
      <w:r w:rsidR="00F81C51">
        <w:rPr>
          <w:rFonts w:ascii="Times New Roman" w:hAnsi="Times New Roman" w:cs="Times New Roman"/>
          <w:sz w:val="24"/>
          <w:szCs w:val="24"/>
        </w:rPr>
        <w:t xml:space="preserve"> y de la Jefa de la Unidad de Comunicaciones al 30 de septiembre del corriente</w:t>
      </w:r>
      <w:r w:rsidRPr="00890C3E">
        <w:rPr>
          <w:rFonts w:ascii="Times New Roman" w:hAnsi="Times New Roman" w:cs="Times New Roman"/>
          <w:sz w:val="24"/>
          <w:szCs w:val="24"/>
        </w:rPr>
        <w:t xml:space="preserve">. </w:t>
      </w:r>
      <w:r w:rsidR="00BC0EB2" w:rsidRPr="00890C3E">
        <w:rPr>
          <w:rFonts w:ascii="Times New Roman" w:hAnsi="Times New Roman" w:cs="Times New Roman"/>
          <w:sz w:val="24"/>
          <w:szCs w:val="24"/>
        </w:rPr>
        <w:t xml:space="preserve"> </w:t>
      </w:r>
    </w:p>
    <w:p w:rsidR="00787DB8" w:rsidRPr="00606FEF" w:rsidRDefault="00787DB8" w:rsidP="00787DB8">
      <w:pPr>
        <w:pStyle w:val="Prrafodelista"/>
        <w:rPr>
          <w:rFonts w:ascii="Times New Roman" w:hAnsi="Times New Roman" w:cs="Times New Roman"/>
          <w:sz w:val="24"/>
          <w:szCs w:val="24"/>
          <w:highlight w:val="yellow"/>
        </w:rPr>
      </w:pPr>
    </w:p>
    <w:p w:rsidR="00920C6F" w:rsidRDefault="00890C3E" w:rsidP="00890C3E">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890C3E">
        <w:rPr>
          <w:rFonts w:ascii="Times New Roman" w:hAnsi="Times New Roman" w:cs="Times New Roman"/>
          <w:sz w:val="24"/>
          <w:szCs w:val="24"/>
        </w:rPr>
        <w:t>e llevaron a cabo 12 cursos beneficiando a 16 empleados.</w:t>
      </w:r>
      <w:r>
        <w:rPr>
          <w:rFonts w:ascii="Times New Roman" w:hAnsi="Times New Roman" w:cs="Times New Roman"/>
          <w:sz w:val="24"/>
          <w:szCs w:val="24"/>
        </w:rPr>
        <w:t xml:space="preserve"> </w:t>
      </w:r>
    </w:p>
    <w:p w:rsidR="00114B4B" w:rsidRDefault="00114B4B" w:rsidP="00565D2C">
      <w:pPr>
        <w:spacing w:after="0" w:line="240" w:lineRule="auto"/>
        <w:jc w:val="both"/>
        <w:rPr>
          <w:rFonts w:ascii="Times New Roman" w:hAnsi="Times New Roman" w:cs="Times New Roman"/>
          <w:sz w:val="24"/>
          <w:szCs w:val="24"/>
        </w:rPr>
      </w:pPr>
    </w:p>
    <w:p w:rsidR="00114B4B" w:rsidRPr="00565D2C" w:rsidRDefault="00114B4B" w:rsidP="00565D2C">
      <w:pPr>
        <w:spacing w:after="0" w:line="240" w:lineRule="auto"/>
        <w:jc w:val="both"/>
        <w:rPr>
          <w:rFonts w:ascii="Times New Roman" w:hAnsi="Times New Roman" w:cs="Times New Roman"/>
          <w:sz w:val="24"/>
          <w:szCs w:val="24"/>
        </w:rPr>
      </w:pPr>
    </w:p>
    <w:p w:rsidR="00920C6F" w:rsidRPr="00565D2C" w:rsidRDefault="00920C6F" w:rsidP="00565D2C">
      <w:pPr>
        <w:spacing w:after="0" w:line="240" w:lineRule="auto"/>
        <w:jc w:val="both"/>
        <w:rPr>
          <w:rFonts w:ascii="Times New Roman" w:hAnsi="Times New Roman" w:cs="Times New Roman"/>
          <w:sz w:val="24"/>
          <w:szCs w:val="24"/>
        </w:rPr>
      </w:pPr>
    </w:p>
    <w:p w:rsidR="00A66046" w:rsidRPr="00565D2C" w:rsidRDefault="00F66EF0" w:rsidP="00565D2C">
      <w:pPr>
        <w:pStyle w:val="Ttulo2"/>
        <w:numPr>
          <w:ilvl w:val="0"/>
          <w:numId w:val="12"/>
        </w:numPr>
        <w:rPr>
          <w:rFonts w:ascii="Times New Roman" w:hAnsi="Times New Roman" w:cs="Times New Roman"/>
          <w:szCs w:val="24"/>
        </w:rPr>
      </w:pPr>
      <w:bookmarkStart w:id="8" w:name="_Toc530046493"/>
      <w:r>
        <w:rPr>
          <w:rFonts w:ascii="Times New Roman" w:hAnsi="Times New Roman" w:cs="Times New Roman"/>
          <w:b w:val="0"/>
          <w:noProof/>
          <w:szCs w:val="24"/>
        </w:rPr>
        <w:drawing>
          <wp:anchor distT="0" distB="0" distL="114300" distR="114300" simplePos="0" relativeHeight="251810816" behindDoc="1" locked="0" layoutInCell="1" allowOverlap="1">
            <wp:simplePos x="0" y="0"/>
            <wp:positionH relativeFrom="column">
              <wp:posOffset>2777490</wp:posOffset>
            </wp:positionH>
            <wp:positionV relativeFrom="paragraph">
              <wp:posOffset>410845</wp:posOffset>
            </wp:positionV>
            <wp:extent cx="2551430" cy="623166"/>
            <wp:effectExtent l="0" t="0" r="1270" b="0"/>
            <wp:wrapTight wrapText="bothSides">
              <wp:wrapPolygon edited="0">
                <wp:start x="0" y="0"/>
                <wp:lineTo x="0" y="19817"/>
                <wp:lineTo x="21449" y="19817"/>
                <wp:lineTo x="21449"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1430" cy="623166"/>
                    </a:xfrm>
                    <a:prstGeom prst="rect">
                      <a:avLst/>
                    </a:prstGeom>
                    <a:noFill/>
                  </pic:spPr>
                </pic:pic>
              </a:graphicData>
            </a:graphic>
          </wp:anchor>
        </w:drawing>
      </w:r>
      <w:r w:rsidR="003951FA" w:rsidRPr="00565D2C">
        <w:rPr>
          <w:rFonts w:ascii="Times New Roman" w:hAnsi="Times New Roman" w:cs="Times New Roman"/>
          <w:szCs w:val="24"/>
        </w:rPr>
        <w:t>Unidad de Adquisiciones y contrataciones</w:t>
      </w:r>
      <w:bookmarkEnd w:id="8"/>
    </w:p>
    <w:p w:rsidR="00603FAE" w:rsidRPr="00565D2C" w:rsidRDefault="00F66EF0" w:rsidP="00565D2C">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809792" behindDoc="1" locked="0" layoutInCell="1" allowOverlap="1">
            <wp:simplePos x="0" y="0"/>
            <wp:positionH relativeFrom="column">
              <wp:posOffset>-3810</wp:posOffset>
            </wp:positionH>
            <wp:positionV relativeFrom="paragraph">
              <wp:posOffset>147955</wp:posOffset>
            </wp:positionV>
            <wp:extent cx="2367280" cy="553085"/>
            <wp:effectExtent l="0" t="0" r="0" b="0"/>
            <wp:wrapTight wrapText="bothSides">
              <wp:wrapPolygon edited="0">
                <wp:start x="0" y="0"/>
                <wp:lineTo x="0" y="20831"/>
                <wp:lineTo x="21380" y="20831"/>
                <wp:lineTo x="21380"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7280" cy="553085"/>
                    </a:xfrm>
                    <a:prstGeom prst="rect">
                      <a:avLst/>
                    </a:prstGeom>
                    <a:noFill/>
                  </pic:spPr>
                </pic:pic>
              </a:graphicData>
            </a:graphic>
          </wp:anchor>
        </w:drawing>
      </w:r>
      <w:r w:rsidR="00B66E3C" w:rsidRPr="00565D2C">
        <w:rPr>
          <w:rFonts w:ascii="Times New Roman" w:hAnsi="Times New Roman" w:cs="Times New Roman"/>
          <w:noProof/>
          <w:sz w:val="24"/>
          <w:szCs w:val="24"/>
        </w:rPr>
        <w:t xml:space="preserve">  </w:t>
      </w:r>
    </w:p>
    <w:p w:rsidR="00A66046" w:rsidRPr="00565D2C" w:rsidRDefault="00A66046" w:rsidP="00565D2C">
      <w:pPr>
        <w:spacing w:after="0" w:line="240" w:lineRule="auto"/>
        <w:jc w:val="both"/>
        <w:rPr>
          <w:rFonts w:ascii="Times New Roman" w:hAnsi="Times New Roman" w:cs="Times New Roman"/>
          <w:b/>
          <w:sz w:val="24"/>
          <w:szCs w:val="24"/>
        </w:rPr>
      </w:pPr>
    </w:p>
    <w:p w:rsidR="00A66046" w:rsidRPr="00565D2C" w:rsidRDefault="00AF7006"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UACI cumplió </w:t>
      </w:r>
      <w:r w:rsidR="00787DB8">
        <w:rPr>
          <w:rFonts w:ascii="Times New Roman" w:hAnsi="Times New Roman" w:cs="Times New Roman"/>
          <w:sz w:val="24"/>
          <w:szCs w:val="24"/>
        </w:rPr>
        <w:t xml:space="preserve">en un </w:t>
      </w:r>
      <w:r w:rsidR="00606FEF">
        <w:rPr>
          <w:rFonts w:ascii="Times New Roman" w:hAnsi="Times New Roman" w:cs="Times New Roman"/>
          <w:sz w:val="24"/>
          <w:szCs w:val="24"/>
        </w:rPr>
        <w:t>100.00</w:t>
      </w:r>
      <w:r w:rsidR="00787DB8">
        <w:rPr>
          <w:rFonts w:ascii="Times New Roman" w:hAnsi="Times New Roman" w:cs="Times New Roman"/>
          <w:sz w:val="24"/>
          <w:szCs w:val="24"/>
        </w:rPr>
        <w:t>%</w:t>
      </w:r>
      <w:r w:rsidR="0099424E" w:rsidRPr="00565D2C">
        <w:rPr>
          <w:rFonts w:ascii="Times New Roman" w:hAnsi="Times New Roman" w:cs="Times New Roman"/>
          <w:sz w:val="24"/>
          <w:szCs w:val="24"/>
        </w:rPr>
        <w:t xml:space="preserve"> </w:t>
      </w:r>
      <w:r w:rsidRPr="00565D2C">
        <w:rPr>
          <w:rFonts w:ascii="Times New Roman" w:hAnsi="Times New Roman" w:cs="Times New Roman"/>
          <w:sz w:val="24"/>
          <w:szCs w:val="24"/>
        </w:rPr>
        <w:t xml:space="preserve">con </w:t>
      </w:r>
      <w:r w:rsidR="004D4E92" w:rsidRPr="00565D2C">
        <w:rPr>
          <w:rFonts w:ascii="Times New Roman" w:hAnsi="Times New Roman" w:cs="Times New Roman"/>
          <w:sz w:val="24"/>
          <w:szCs w:val="24"/>
        </w:rPr>
        <w:t>las</w:t>
      </w:r>
      <w:r w:rsidR="00B66990" w:rsidRPr="00565D2C">
        <w:rPr>
          <w:rFonts w:ascii="Times New Roman" w:hAnsi="Times New Roman" w:cs="Times New Roman"/>
          <w:sz w:val="24"/>
          <w:szCs w:val="24"/>
        </w:rPr>
        <w:t xml:space="preserve"> </w:t>
      </w:r>
      <w:r w:rsidR="00606FEF">
        <w:rPr>
          <w:rFonts w:ascii="Times New Roman" w:hAnsi="Times New Roman" w:cs="Times New Roman"/>
          <w:sz w:val="24"/>
          <w:szCs w:val="24"/>
        </w:rPr>
        <w:t>2</w:t>
      </w:r>
      <w:r w:rsidRPr="00565D2C">
        <w:rPr>
          <w:rFonts w:ascii="Times New Roman" w:hAnsi="Times New Roman" w:cs="Times New Roman"/>
          <w:sz w:val="24"/>
          <w:szCs w:val="24"/>
        </w:rPr>
        <w:t xml:space="preserve"> actividades programadas, </w:t>
      </w:r>
      <w:r w:rsidR="0099424E" w:rsidRPr="00565D2C">
        <w:rPr>
          <w:rFonts w:ascii="Times New Roman" w:hAnsi="Times New Roman" w:cs="Times New Roman"/>
          <w:sz w:val="24"/>
          <w:szCs w:val="24"/>
        </w:rPr>
        <w:t xml:space="preserve">a </w:t>
      </w:r>
      <w:r w:rsidR="007A70EA" w:rsidRPr="00565D2C">
        <w:rPr>
          <w:rFonts w:ascii="Times New Roman" w:hAnsi="Times New Roman" w:cs="Times New Roman"/>
          <w:sz w:val="24"/>
          <w:szCs w:val="24"/>
        </w:rPr>
        <w:t>continuación,</w:t>
      </w:r>
      <w:r w:rsidR="0099424E" w:rsidRPr="00565D2C">
        <w:rPr>
          <w:rFonts w:ascii="Times New Roman" w:hAnsi="Times New Roman" w:cs="Times New Roman"/>
          <w:sz w:val="24"/>
          <w:szCs w:val="24"/>
        </w:rPr>
        <w:t xml:space="preserve"> se describen las más sustantivas</w:t>
      </w:r>
      <w:r w:rsidRPr="00565D2C">
        <w:rPr>
          <w:rFonts w:ascii="Times New Roman" w:hAnsi="Times New Roman" w:cs="Times New Roman"/>
          <w:sz w:val="24"/>
          <w:szCs w:val="24"/>
        </w:rPr>
        <w:t>:</w:t>
      </w:r>
    </w:p>
    <w:p w:rsidR="00F34171" w:rsidRPr="00565D2C" w:rsidRDefault="00F34171" w:rsidP="00565D2C">
      <w:pPr>
        <w:spacing w:after="0" w:line="240" w:lineRule="auto"/>
        <w:jc w:val="both"/>
        <w:rPr>
          <w:rFonts w:ascii="Times New Roman" w:hAnsi="Times New Roman" w:cs="Times New Roman"/>
          <w:sz w:val="24"/>
          <w:szCs w:val="24"/>
        </w:rPr>
      </w:pPr>
    </w:p>
    <w:p w:rsidR="00657D64" w:rsidRDefault="00657D64" w:rsidP="00657D64">
      <w:pPr>
        <w:pStyle w:val="Prrafodelista"/>
        <w:numPr>
          <w:ilvl w:val="0"/>
          <w:numId w:val="31"/>
        </w:numPr>
        <w:spacing w:after="0" w:line="240" w:lineRule="auto"/>
        <w:rPr>
          <w:rFonts w:ascii="Times New Roman" w:hAnsi="Times New Roman" w:cs="Times New Roman"/>
          <w:sz w:val="24"/>
          <w:szCs w:val="24"/>
        </w:rPr>
      </w:pPr>
      <w:r w:rsidRPr="00657D64">
        <w:rPr>
          <w:rFonts w:ascii="Times New Roman" w:hAnsi="Times New Roman" w:cs="Times New Roman"/>
          <w:sz w:val="24"/>
          <w:szCs w:val="24"/>
        </w:rPr>
        <w:t xml:space="preserve">Se superaron las compras planificadas, ya que el 20% de estas fueron compras del proyecto de la FORD </w:t>
      </w:r>
      <w:proofErr w:type="spellStart"/>
      <w:r w:rsidRPr="00657D64">
        <w:rPr>
          <w:rFonts w:ascii="Times New Roman" w:hAnsi="Times New Roman" w:cs="Times New Roman"/>
          <w:sz w:val="24"/>
          <w:szCs w:val="24"/>
        </w:rPr>
        <w:t>Fundation</w:t>
      </w:r>
      <w:proofErr w:type="spellEnd"/>
      <w:r w:rsidRPr="00657D64">
        <w:rPr>
          <w:rFonts w:ascii="Times New Roman" w:hAnsi="Times New Roman" w:cs="Times New Roman"/>
          <w:sz w:val="24"/>
          <w:szCs w:val="24"/>
        </w:rPr>
        <w:t>; y</w:t>
      </w:r>
    </w:p>
    <w:p w:rsidR="00657D64" w:rsidRPr="00657D64" w:rsidRDefault="00657D64" w:rsidP="00657D64">
      <w:pPr>
        <w:pStyle w:val="Prrafodelista"/>
        <w:spacing w:after="0" w:line="240" w:lineRule="auto"/>
        <w:rPr>
          <w:rFonts w:ascii="Times New Roman" w:hAnsi="Times New Roman" w:cs="Times New Roman"/>
          <w:sz w:val="24"/>
          <w:szCs w:val="24"/>
        </w:rPr>
      </w:pPr>
    </w:p>
    <w:p w:rsidR="007D4DDB" w:rsidRDefault="00657D64" w:rsidP="00657D64">
      <w:pPr>
        <w:pStyle w:val="Prrafodelista"/>
        <w:numPr>
          <w:ilvl w:val="0"/>
          <w:numId w:val="31"/>
        </w:numPr>
        <w:jc w:val="both"/>
        <w:rPr>
          <w:rFonts w:ascii="Times New Roman" w:hAnsi="Times New Roman" w:cs="Times New Roman"/>
          <w:sz w:val="24"/>
          <w:szCs w:val="24"/>
        </w:rPr>
      </w:pPr>
      <w:r w:rsidRPr="00657D64">
        <w:rPr>
          <w:rFonts w:ascii="Times New Roman" w:hAnsi="Times New Roman" w:cs="Times New Roman"/>
          <w:sz w:val="24"/>
          <w:szCs w:val="24"/>
        </w:rPr>
        <w:t>Se concretaron a buen término las compras para el desarrollo de la semana de la competencia y la rendición de cuentas</w:t>
      </w:r>
      <w:r>
        <w:rPr>
          <w:rFonts w:ascii="Times New Roman" w:hAnsi="Times New Roman" w:cs="Times New Roman"/>
          <w:sz w:val="24"/>
          <w:szCs w:val="24"/>
        </w:rPr>
        <w:t>.</w:t>
      </w:r>
    </w:p>
    <w:p w:rsidR="00D02098" w:rsidRPr="00565D2C" w:rsidRDefault="00F66EF0" w:rsidP="00657D64">
      <w:pPr>
        <w:pStyle w:val="Ttulo2"/>
        <w:numPr>
          <w:ilvl w:val="0"/>
          <w:numId w:val="31"/>
        </w:numPr>
        <w:rPr>
          <w:rFonts w:ascii="Times New Roman" w:hAnsi="Times New Roman" w:cs="Times New Roman"/>
          <w:szCs w:val="24"/>
        </w:rPr>
      </w:pPr>
      <w:bookmarkStart w:id="9" w:name="_Toc530046494"/>
      <w:r>
        <w:rPr>
          <w:rFonts w:ascii="Times New Roman" w:hAnsi="Times New Roman" w:cs="Times New Roman"/>
          <w:b w:val="0"/>
          <w:noProof/>
          <w:szCs w:val="24"/>
        </w:rPr>
        <w:drawing>
          <wp:anchor distT="0" distB="0" distL="114300" distR="114300" simplePos="0" relativeHeight="251812864" behindDoc="1" locked="0" layoutInCell="1" allowOverlap="1">
            <wp:simplePos x="0" y="0"/>
            <wp:positionH relativeFrom="column">
              <wp:posOffset>3015615</wp:posOffset>
            </wp:positionH>
            <wp:positionV relativeFrom="paragraph">
              <wp:posOffset>316865</wp:posOffset>
            </wp:positionV>
            <wp:extent cx="2646680" cy="646430"/>
            <wp:effectExtent l="0" t="0" r="1270" b="0"/>
            <wp:wrapTight wrapText="bothSides">
              <wp:wrapPolygon edited="0">
                <wp:start x="0" y="0"/>
                <wp:lineTo x="0" y="19733"/>
                <wp:lineTo x="21455" y="19733"/>
                <wp:lineTo x="21455"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6680" cy="646430"/>
                    </a:xfrm>
                    <a:prstGeom prst="rect">
                      <a:avLst/>
                    </a:prstGeom>
                    <a:noFill/>
                  </pic:spPr>
                </pic:pic>
              </a:graphicData>
            </a:graphic>
            <wp14:sizeRelH relativeFrom="margin">
              <wp14:pctWidth>0</wp14:pctWidth>
            </wp14:sizeRelH>
            <wp14:sizeRelV relativeFrom="margin">
              <wp14:pctHeight>0</wp14:pctHeight>
            </wp14:sizeRelV>
          </wp:anchor>
        </w:drawing>
      </w:r>
      <w:r w:rsidR="00D02098" w:rsidRPr="00565D2C">
        <w:rPr>
          <w:rFonts w:ascii="Times New Roman" w:hAnsi="Times New Roman" w:cs="Times New Roman"/>
          <w:szCs w:val="24"/>
        </w:rPr>
        <w:t>Unidad de Auditoría Interna</w:t>
      </w:r>
      <w:bookmarkEnd w:id="9"/>
    </w:p>
    <w:p w:rsidR="00D02098" w:rsidRPr="00565D2C" w:rsidRDefault="00F66EF0" w:rsidP="00565D2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811840" behindDoc="1" locked="0" layoutInCell="1" allowOverlap="1">
            <wp:simplePos x="0" y="0"/>
            <wp:positionH relativeFrom="column">
              <wp:posOffset>-3810</wp:posOffset>
            </wp:positionH>
            <wp:positionV relativeFrom="paragraph">
              <wp:posOffset>83820</wp:posOffset>
            </wp:positionV>
            <wp:extent cx="2643505" cy="618239"/>
            <wp:effectExtent l="0" t="0" r="4445" b="0"/>
            <wp:wrapTight wrapText="bothSides">
              <wp:wrapPolygon edited="0">
                <wp:start x="0" y="0"/>
                <wp:lineTo x="0" y="19979"/>
                <wp:lineTo x="21481" y="19979"/>
                <wp:lineTo x="21481"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3505" cy="618239"/>
                    </a:xfrm>
                    <a:prstGeom prst="rect">
                      <a:avLst/>
                    </a:prstGeom>
                    <a:noFill/>
                  </pic:spPr>
                </pic:pic>
              </a:graphicData>
            </a:graphic>
          </wp:anchor>
        </w:drawing>
      </w:r>
      <w:r w:rsidR="002A4593" w:rsidRPr="00565D2C">
        <w:rPr>
          <w:rFonts w:ascii="Times New Roman" w:hAnsi="Times New Roman" w:cs="Times New Roman"/>
          <w:noProof/>
          <w:sz w:val="24"/>
          <w:szCs w:val="24"/>
        </w:rPr>
        <w:t xml:space="preserve"> </w:t>
      </w:r>
    </w:p>
    <w:p w:rsidR="00AF7006" w:rsidRPr="00565D2C" w:rsidRDefault="00AF7006" w:rsidP="00565D2C">
      <w:pPr>
        <w:spacing w:after="0" w:line="240" w:lineRule="auto"/>
        <w:jc w:val="both"/>
        <w:rPr>
          <w:rFonts w:ascii="Times New Roman" w:hAnsi="Times New Roman" w:cs="Times New Roman"/>
          <w:sz w:val="24"/>
          <w:szCs w:val="24"/>
        </w:rPr>
      </w:pPr>
    </w:p>
    <w:p w:rsidR="002A4593" w:rsidRPr="00565D2C" w:rsidRDefault="002A459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Auditoría Interna </w:t>
      </w:r>
      <w:r w:rsidR="00056880" w:rsidRPr="00565D2C">
        <w:rPr>
          <w:rFonts w:ascii="Times New Roman" w:hAnsi="Times New Roman" w:cs="Times New Roman"/>
          <w:sz w:val="24"/>
          <w:szCs w:val="24"/>
        </w:rPr>
        <w:t>cumplió en un 100% con las activida</w:t>
      </w:r>
      <w:r w:rsidR="00AB1794" w:rsidRPr="00565D2C">
        <w:rPr>
          <w:rFonts w:ascii="Times New Roman" w:hAnsi="Times New Roman" w:cs="Times New Roman"/>
          <w:sz w:val="24"/>
          <w:szCs w:val="24"/>
        </w:rPr>
        <w:t>des programadas este trimestre, a continuación, se describen las más sustantivas</w:t>
      </w:r>
      <w:r w:rsidR="006067DB">
        <w:rPr>
          <w:rFonts w:ascii="Times New Roman" w:hAnsi="Times New Roman" w:cs="Times New Roman"/>
          <w:sz w:val="24"/>
          <w:szCs w:val="24"/>
        </w:rPr>
        <w:t xml:space="preserve"> en la cuales no se identificaron observaciones de control que ameritaran reportarse</w:t>
      </w:r>
      <w:r w:rsidR="00AB1794" w:rsidRPr="00565D2C">
        <w:rPr>
          <w:rFonts w:ascii="Times New Roman" w:hAnsi="Times New Roman" w:cs="Times New Roman"/>
          <w:sz w:val="24"/>
          <w:szCs w:val="24"/>
        </w:rPr>
        <w:t>:</w:t>
      </w:r>
    </w:p>
    <w:p w:rsidR="00AB1794" w:rsidRPr="00565D2C" w:rsidRDefault="00AB1794" w:rsidP="00565D2C">
      <w:pPr>
        <w:spacing w:after="0" w:line="240" w:lineRule="auto"/>
        <w:jc w:val="both"/>
        <w:rPr>
          <w:rFonts w:ascii="Times New Roman" w:hAnsi="Times New Roman" w:cs="Times New Roman"/>
          <w:sz w:val="24"/>
          <w:szCs w:val="24"/>
        </w:rPr>
      </w:pPr>
    </w:p>
    <w:p w:rsidR="00EE67C6" w:rsidRDefault="006067DB" w:rsidP="006067DB">
      <w:pPr>
        <w:pStyle w:val="Prrafodelista"/>
        <w:numPr>
          <w:ilvl w:val="0"/>
          <w:numId w:val="9"/>
        </w:numPr>
        <w:spacing w:after="0" w:line="240" w:lineRule="auto"/>
        <w:jc w:val="both"/>
        <w:rPr>
          <w:rFonts w:ascii="Times New Roman" w:hAnsi="Times New Roman" w:cs="Times New Roman"/>
          <w:sz w:val="24"/>
          <w:szCs w:val="24"/>
        </w:rPr>
      </w:pPr>
      <w:r w:rsidRPr="006067DB">
        <w:rPr>
          <w:rFonts w:ascii="Times New Roman" w:hAnsi="Times New Roman" w:cs="Times New Roman"/>
          <w:sz w:val="24"/>
          <w:szCs w:val="24"/>
        </w:rPr>
        <w:t>Evaluar el proceso de autorización, actualización, cumplimiento y divulgación de los instrumentos administrativos; así como el cumplimiento de las disposiciones legales aplicables a la Superintendencia de Competencia, incluyendo los acuerdos y resoluciones del Superintendente y del Consejo Directivo.</w:t>
      </w:r>
      <w:r>
        <w:rPr>
          <w:rFonts w:ascii="Times New Roman" w:hAnsi="Times New Roman" w:cs="Times New Roman"/>
          <w:sz w:val="24"/>
          <w:szCs w:val="24"/>
        </w:rPr>
        <w:t xml:space="preserve">  </w:t>
      </w:r>
    </w:p>
    <w:p w:rsidR="006067DB" w:rsidRPr="00565D2C" w:rsidRDefault="006067DB" w:rsidP="00565D2C">
      <w:pPr>
        <w:pStyle w:val="Prrafodelista"/>
        <w:spacing w:after="0" w:line="240" w:lineRule="auto"/>
        <w:jc w:val="both"/>
        <w:rPr>
          <w:rFonts w:ascii="Times New Roman" w:hAnsi="Times New Roman" w:cs="Times New Roman"/>
          <w:sz w:val="24"/>
          <w:szCs w:val="24"/>
        </w:rPr>
      </w:pPr>
    </w:p>
    <w:p w:rsidR="00EE67C6" w:rsidRDefault="006067DB" w:rsidP="006067DB">
      <w:pPr>
        <w:pStyle w:val="Prrafodelista"/>
        <w:numPr>
          <w:ilvl w:val="0"/>
          <w:numId w:val="9"/>
        </w:numPr>
        <w:jc w:val="both"/>
        <w:rPr>
          <w:rFonts w:ascii="Times New Roman" w:hAnsi="Times New Roman" w:cs="Times New Roman"/>
          <w:sz w:val="24"/>
          <w:szCs w:val="24"/>
        </w:rPr>
      </w:pPr>
      <w:r w:rsidRPr="006067DB">
        <w:rPr>
          <w:rFonts w:ascii="Times New Roman" w:hAnsi="Times New Roman" w:cs="Times New Roman"/>
          <w:sz w:val="24"/>
          <w:szCs w:val="24"/>
        </w:rPr>
        <w:t>Examinar el grupo contable Gastos de Gestión</w:t>
      </w:r>
      <w:r>
        <w:rPr>
          <w:rFonts w:ascii="Times New Roman" w:hAnsi="Times New Roman" w:cs="Times New Roman"/>
          <w:sz w:val="24"/>
          <w:szCs w:val="24"/>
        </w:rPr>
        <w:t>.</w:t>
      </w:r>
    </w:p>
    <w:p w:rsidR="006067DB" w:rsidRPr="006067DB" w:rsidRDefault="006067DB" w:rsidP="006067DB">
      <w:pPr>
        <w:pStyle w:val="Prrafodelista"/>
        <w:rPr>
          <w:rFonts w:ascii="Times New Roman" w:hAnsi="Times New Roman" w:cs="Times New Roman"/>
          <w:sz w:val="24"/>
          <w:szCs w:val="24"/>
        </w:rPr>
      </w:pPr>
    </w:p>
    <w:p w:rsidR="006067DB" w:rsidRDefault="006067DB" w:rsidP="006067DB">
      <w:pPr>
        <w:pStyle w:val="Prrafodelista"/>
        <w:numPr>
          <w:ilvl w:val="0"/>
          <w:numId w:val="9"/>
        </w:numPr>
        <w:jc w:val="both"/>
        <w:rPr>
          <w:rFonts w:ascii="Times New Roman" w:hAnsi="Times New Roman" w:cs="Times New Roman"/>
          <w:sz w:val="24"/>
          <w:szCs w:val="24"/>
        </w:rPr>
      </w:pPr>
      <w:r w:rsidRPr="006067DB">
        <w:rPr>
          <w:rFonts w:ascii="Times New Roman" w:hAnsi="Times New Roman" w:cs="Times New Roman"/>
          <w:sz w:val="24"/>
          <w:szCs w:val="24"/>
        </w:rPr>
        <w:t>Examinar el proceso de formulación, aprobación, ejecución, seguimiento y evaluación del Presupuesto Institucional.</w:t>
      </w:r>
    </w:p>
    <w:p w:rsidR="006067DB" w:rsidRPr="006067DB" w:rsidRDefault="006067DB" w:rsidP="006067DB">
      <w:pPr>
        <w:pStyle w:val="Prrafodelista"/>
        <w:rPr>
          <w:rFonts w:ascii="Times New Roman" w:hAnsi="Times New Roman" w:cs="Times New Roman"/>
          <w:sz w:val="24"/>
          <w:szCs w:val="24"/>
        </w:rPr>
      </w:pPr>
    </w:p>
    <w:p w:rsidR="006067DB" w:rsidRPr="00565D2C" w:rsidRDefault="006067DB" w:rsidP="006067DB">
      <w:pPr>
        <w:pStyle w:val="Prrafodelista"/>
        <w:numPr>
          <w:ilvl w:val="0"/>
          <w:numId w:val="9"/>
        </w:numPr>
        <w:jc w:val="both"/>
        <w:rPr>
          <w:rFonts w:ascii="Times New Roman" w:hAnsi="Times New Roman" w:cs="Times New Roman"/>
          <w:sz w:val="24"/>
          <w:szCs w:val="24"/>
        </w:rPr>
      </w:pPr>
      <w:r w:rsidRPr="006067DB">
        <w:rPr>
          <w:rFonts w:ascii="Times New Roman" w:hAnsi="Times New Roman" w:cs="Times New Roman"/>
          <w:sz w:val="24"/>
          <w:szCs w:val="24"/>
        </w:rPr>
        <w:t>Evaluar la confiabilidad e integridad de la información financiera en las diferentes etapas del proceso contable de la Superintendencia de Competencia.</w:t>
      </w:r>
    </w:p>
    <w:p w:rsidR="00AD093F" w:rsidRPr="00565D2C" w:rsidRDefault="00AD093F" w:rsidP="00565D2C">
      <w:pPr>
        <w:spacing w:after="0" w:line="240" w:lineRule="auto"/>
        <w:jc w:val="both"/>
        <w:rPr>
          <w:rFonts w:ascii="Times New Roman" w:hAnsi="Times New Roman" w:cs="Times New Roman"/>
          <w:sz w:val="24"/>
          <w:szCs w:val="24"/>
        </w:rPr>
      </w:pPr>
    </w:p>
    <w:p w:rsidR="002A4593" w:rsidRPr="00565D2C" w:rsidRDefault="00D4148A" w:rsidP="00657D64">
      <w:pPr>
        <w:pStyle w:val="Ttulo2"/>
        <w:numPr>
          <w:ilvl w:val="0"/>
          <w:numId w:val="31"/>
        </w:numPr>
        <w:rPr>
          <w:rFonts w:ascii="Times New Roman" w:hAnsi="Times New Roman" w:cs="Times New Roman"/>
          <w:szCs w:val="24"/>
        </w:rPr>
      </w:pPr>
      <w:bookmarkStart w:id="10" w:name="_Toc530046495"/>
      <w:r w:rsidRPr="00565D2C">
        <w:rPr>
          <w:rFonts w:ascii="Times New Roman" w:hAnsi="Times New Roman" w:cs="Times New Roman"/>
          <w:szCs w:val="24"/>
        </w:rPr>
        <w:t>Unidad Financiera Institucional</w:t>
      </w:r>
      <w:bookmarkEnd w:id="10"/>
    </w:p>
    <w:p w:rsidR="00D4148A" w:rsidRPr="00565D2C" w:rsidRDefault="00F66EF0" w:rsidP="00565D2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14912" behindDoc="1" locked="0" layoutInCell="1" allowOverlap="1">
            <wp:simplePos x="0" y="0"/>
            <wp:positionH relativeFrom="column">
              <wp:posOffset>3044190</wp:posOffset>
            </wp:positionH>
            <wp:positionV relativeFrom="paragraph">
              <wp:posOffset>2540</wp:posOffset>
            </wp:positionV>
            <wp:extent cx="2484755" cy="605790"/>
            <wp:effectExtent l="0" t="0" r="0" b="0"/>
            <wp:wrapTight wrapText="bothSides">
              <wp:wrapPolygon edited="0">
                <wp:start x="0" y="0"/>
                <wp:lineTo x="0" y="19698"/>
                <wp:lineTo x="21363" y="19698"/>
                <wp:lineTo x="21363" y="0"/>
                <wp:lineTo x="0" y="0"/>
              </wp:wrapPolygon>
            </wp:wrapTight>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4755" cy="60579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813888" behindDoc="1" locked="0" layoutInCell="1" allowOverlap="1">
            <wp:simplePos x="0" y="0"/>
            <wp:positionH relativeFrom="column">
              <wp:posOffset>-3810</wp:posOffset>
            </wp:positionH>
            <wp:positionV relativeFrom="paragraph">
              <wp:posOffset>3810</wp:posOffset>
            </wp:positionV>
            <wp:extent cx="2214880" cy="517996"/>
            <wp:effectExtent l="0" t="0" r="0" b="0"/>
            <wp:wrapTight wrapText="bothSides">
              <wp:wrapPolygon edited="0">
                <wp:start x="0" y="0"/>
                <wp:lineTo x="0" y="20672"/>
                <wp:lineTo x="21365" y="20672"/>
                <wp:lineTo x="21365" y="0"/>
                <wp:lineTo x="0" y="0"/>
              </wp:wrapPolygon>
            </wp:wrapTight>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14880" cy="517996"/>
                    </a:xfrm>
                    <a:prstGeom prst="rect">
                      <a:avLst/>
                    </a:prstGeom>
                    <a:noFill/>
                  </pic:spPr>
                </pic:pic>
              </a:graphicData>
            </a:graphic>
          </wp:anchor>
        </w:drawing>
      </w:r>
    </w:p>
    <w:p w:rsidR="00AB0B85" w:rsidRPr="00565D2C" w:rsidRDefault="00AB0B85" w:rsidP="00565D2C">
      <w:pPr>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D4148A" w:rsidRPr="00565D2C" w:rsidRDefault="00D4148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UFI cumplió </w:t>
      </w:r>
      <w:r w:rsidR="00C2416F" w:rsidRPr="00565D2C">
        <w:rPr>
          <w:rFonts w:ascii="Times New Roman" w:hAnsi="Times New Roman" w:cs="Times New Roman"/>
          <w:sz w:val="24"/>
          <w:szCs w:val="24"/>
        </w:rPr>
        <w:t xml:space="preserve">en un </w:t>
      </w:r>
      <w:r w:rsidR="00E82151">
        <w:rPr>
          <w:rFonts w:ascii="Times New Roman" w:hAnsi="Times New Roman" w:cs="Times New Roman"/>
          <w:sz w:val="24"/>
          <w:szCs w:val="24"/>
        </w:rPr>
        <w:t>99.77</w:t>
      </w:r>
      <w:r w:rsidR="00C2416F" w:rsidRPr="00565D2C">
        <w:rPr>
          <w:rFonts w:ascii="Times New Roman" w:hAnsi="Times New Roman" w:cs="Times New Roman"/>
          <w:sz w:val="24"/>
          <w:szCs w:val="24"/>
        </w:rPr>
        <w:t>%</w:t>
      </w:r>
      <w:r w:rsidR="00B66E3C" w:rsidRPr="00565D2C">
        <w:rPr>
          <w:rFonts w:ascii="Times New Roman" w:hAnsi="Times New Roman" w:cs="Times New Roman"/>
          <w:sz w:val="24"/>
          <w:szCs w:val="24"/>
        </w:rPr>
        <w:t xml:space="preserve"> </w:t>
      </w:r>
      <w:r w:rsidR="00AD093F" w:rsidRPr="00565D2C">
        <w:rPr>
          <w:rFonts w:ascii="Times New Roman" w:hAnsi="Times New Roman" w:cs="Times New Roman"/>
          <w:sz w:val="24"/>
          <w:szCs w:val="24"/>
        </w:rPr>
        <w:t>las</w:t>
      </w:r>
      <w:r w:rsidR="00B66E3C" w:rsidRPr="00565D2C">
        <w:rPr>
          <w:rFonts w:ascii="Times New Roman" w:hAnsi="Times New Roman" w:cs="Times New Roman"/>
          <w:sz w:val="24"/>
          <w:szCs w:val="24"/>
        </w:rPr>
        <w:t xml:space="preserve"> </w:t>
      </w:r>
      <w:r w:rsidR="00E82151">
        <w:rPr>
          <w:rFonts w:ascii="Times New Roman" w:hAnsi="Times New Roman" w:cs="Times New Roman"/>
          <w:sz w:val="24"/>
          <w:szCs w:val="24"/>
        </w:rPr>
        <w:t>17</w:t>
      </w:r>
      <w:r w:rsidR="00B66E3C" w:rsidRPr="00565D2C">
        <w:rPr>
          <w:rFonts w:ascii="Times New Roman" w:hAnsi="Times New Roman" w:cs="Times New Roman"/>
          <w:sz w:val="24"/>
          <w:szCs w:val="24"/>
        </w:rPr>
        <w:t xml:space="preserve"> actividades programadas</w:t>
      </w:r>
      <w:r w:rsidR="00AD093F" w:rsidRPr="00565D2C">
        <w:rPr>
          <w:rFonts w:ascii="Times New Roman" w:hAnsi="Times New Roman" w:cs="Times New Roman"/>
          <w:sz w:val="24"/>
          <w:szCs w:val="24"/>
        </w:rPr>
        <w:t xml:space="preserve">, </w:t>
      </w:r>
      <w:r w:rsidR="00890C90" w:rsidRPr="00565D2C">
        <w:rPr>
          <w:rFonts w:ascii="Times New Roman" w:hAnsi="Times New Roman" w:cs="Times New Roman"/>
          <w:sz w:val="24"/>
          <w:szCs w:val="24"/>
        </w:rPr>
        <w:t xml:space="preserve">se </w:t>
      </w:r>
      <w:r w:rsidR="006E05CD" w:rsidRPr="00565D2C">
        <w:rPr>
          <w:rFonts w:ascii="Times New Roman" w:hAnsi="Times New Roman" w:cs="Times New Roman"/>
          <w:sz w:val="24"/>
          <w:szCs w:val="24"/>
        </w:rPr>
        <w:t>enumeran las más sustantivas</w:t>
      </w:r>
      <w:r w:rsidR="00B66E3C" w:rsidRPr="00565D2C">
        <w:rPr>
          <w:rFonts w:ascii="Times New Roman" w:hAnsi="Times New Roman" w:cs="Times New Roman"/>
          <w:sz w:val="24"/>
          <w:szCs w:val="24"/>
        </w:rPr>
        <w:t>:</w:t>
      </w:r>
    </w:p>
    <w:p w:rsidR="00F34171" w:rsidRPr="00565D2C" w:rsidRDefault="00F34171" w:rsidP="00565D2C">
      <w:pPr>
        <w:spacing w:after="0" w:line="240" w:lineRule="auto"/>
        <w:jc w:val="both"/>
        <w:rPr>
          <w:rFonts w:ascii="Times New Roman" w:hAnsi="Times New Roman" w:cs="Times New Roman"/>
          <w:sz w:val="24"/>
          <w:szCs w:val="24"/>
        </w:rPr>
      </w:pP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6E05CD"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Pago de remuneraciones.</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Pago de bienes y servicios.</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Cierre contable anual.</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A0598B"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Cierres contables mensuales.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C06D06"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Elaboración</w:t>
      </w:r>
      <w:r w:rsidR="00A0598B" w:rsidRPr="00565D2C">
        <w:rPr>
          <w:rFonts w:ascii="Times New Roman" w:hAnsi="Times New Roman" w:cs="Times New Roman"/>
          <w:sz w:val="24"/>
          <w:szCs w:val="24"/>
        </w:rPr>
        <w:t xml:space="preserve"> de conciliaciones bancarias.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Presentación de informes contables.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Registrar compromisos presupuestarios.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Elaboración de P</w:t>
      </w:r>
      <w:r w:rsidR="00C06D06" w:rsidRPr="00565D2C">
        <w:rPr>
          <w:rFonts w:ascii="Times New Roman" w:hAnsi="Times New Roman" w:cs="Times New Roman"/>
          <w:sz w:val="24"/>
          <w:szCs w:val="24"/>
        </w:rPr>
        <w:t xml:space="preserve">rogramación de la </w:t>
      </w:r>
      <w:r w:rsidR="00A0598B" w:rsidRPr="00565D2C">
        <w:rPr>
          <w:rFonts w:ascii="Times New Roman" w:hAnsi="Times New Roman" w:cs="Times New Roman"/>
          <w:sz w:val="24"/>
          <w:szCs w:val="24"/>
        </w:rPr>
        <w:t>E</w:t>
      </w:r>
      <w:r w:rsidR="00C06D06" w:rsidRPr="00565D2C">
        <w:rPr>
          <w:rFonts w:ascii="Times New Roman" w:hAnsi="Times New Roman" w:cs="Times New Roman"/>
          <w:sz w:val="24"/>
          <w:szCs w:val="24"/>
        </w:rPr>
        <w:t xml:space="preserve">jecución </w:t>
      </w:r>
      <w:r w:rsidR="00A0598B" w:rsidRPr="00565D2C">
        <w:rPr>
          <w:rFonts w:ascii="Times New Roman" w:hAnsi="Times New Roman" w:cs="Times New Roman"/>
          <w:sz w:val="24"/>
          <w:szCs w:val="24"/>
        </w:rPr>
        <w:t>P</w:t>
      </w:r>
      <w:r w:rsidR="00C06D06" w:rsidRPr="00565D2C">
        <w:rPr>
          <w:rFonts w:ascii="Times New Roman" w:hAnsi="Times New Roman" w:cs="Times New Roman"/>
          <w:sz w:val="24"/>
          <w:szCs w:val="24"/>
        </w:rPr>
        <w:t xml:space="preserve">resupuestaria </w:t>
      </w:r>
      <w:r w:rsidR="00A0598B" w:rsidRPr="00565D2C">
        <w:rPr>
          <w:rFonts w:ascii="Times New Roman" w:hAnsi="Times New Roman" w:cs="Times New Roman"/>
          <w:sz w:val="24"/>
          <w:szCs w:val="24"/>
        </w:rPr>
        <w:t>institucional.</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Seguimiento a la ejecución presupuestaria.</w:t>
      </w:r>
    </w:p>
    <w:p w:rsidR="00147192" w:rsidRPr="00565D2C" w:rsidRDefault="00147192" w:rsidP="00565D2C">
      <w:pPr>
        <w:spacing w:after="0" w:line="240" w:lineRule="auto"/>
        <w:jc w:val="both"/>
        <w:rPr>
          <w:rFonts w:ascii="Times New Roman" w:hAnsi="Times New Roman" w:cs="Times New Roman"/>
          <w:sz w:val="24"/>
          <w:szCs w:val="24"/>
        </w:rPr>
      </w:pPr>
    </w:p>
    <w:p w:rsidR="00C06D06" w:rsidRPr="00565D2C" w:rsidRDefault="00C06D06" w:rsidP="00565D2C">
      <w:pPr>
        <w:spacing w:after="0" w:line="240" w:lineRule="auto"/>
        <w:jc w:val="both"/>
        <w:rPr>
          <w:rFonts w:ascii="Times New Roman" w:hAnsi="Times New Roman" w:cs="Times New Roman"/>
          <w:sz w:val="24"/>
          <w:szCs w:val="24"/>
        </w:rPr>
      </w:pPr>
    </w:p>
    <w:p w:rsidR="00D4148A" w:rsidRPr="00565D2C" w:rsidRDefault="002E640A" w:rsidP="00657D64">
      <w:pPr>
        <w:pStyle w:val="Ttulo2"/>
        <w:numPr>
          <w:ilvl w:val="0"/>
          <w:numId w:val="31"/>
        </w:numPr>
        <w:rPr>
          <w:rFonts w:ascii="Times New Roman" w:hAnsi="Times New Roman" w:cs="Times New Roman"/>
          <w:szCs w:val="24"/>
        </w:rPr>
      </w:pPr>
      <w:bookmarkStart w:id="11" w:name="_Toc530046496"/>
      <w:r w:rsidRPr="00565D2C">
        <w:rPr>
          <w:rFonts w:ascii="Times New Roman" w:hAnsi="Times New Roman" w:cs="Times New Roman"/>
          <w:szCs w:val="24"/>
        </w:rPr>
        <w:t>Secretaría General</w:t>
      </w:r>
      <w:bookmarkEnd w:id="11"/>
    </w:p>
    <w:p w:rsidR="002E640A" w:rsidRPr="00565D2C" w:rsidRDefault="00F66EF0" w:rsidP="00565D2C">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16960" behindDoc="1" locked="0" layoutInCell="1" allowOverlap="1">
            <wp:simplePos x="0" y="0"/>
            <wp:positionH relativeFrom="column">
              <wp:posOffset>3206115</wp:posOffset>
            </wp:positionH>
            <wp:positionV relativeFrom="paragraph">
              <wp:posOffset>17909</wp:posOffset>
            </wp:positionV>
            <wp:extent cx="2173500" cy="530860"/>
            <wp:effectExtent l="0" t="0" r="0" b="0"/>
            <wp:wrapTight wrapText="bothSides">
              <wp:wrapPolygon edited="0">
                <wp:start x="0" y="0"/>
                <wp:lineTo x="0" y="20153"/>
                <wp:lineTo x="21398" y="20153"/>
                <wp:lineTo x="21398"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3500" cy="530860"/>
                    </a:xfrm>
                    <a:prstGeom prst="rect">
                      <a:avLst/>
                    </a:prstGeom>
                    <a:noFill/>
                  </pic:spPr>
                </pic:pic>
              </a:graphicData>
            </a:graphic>
          </wp:anchor>
        </w:drawing>
      </w:r>
      <w:r>
        <w:rPr>
          <w:rFonts w:ascii="Times New Roman" w:hAnsi="Times New Roman" w:cs="Times New Roman"/>
          <w:noProof/>
          <w:sz w:val="24"/>
          <w:szCs w:val="24"/>
        </w:rPr>
        <w:drawing>
          <wp:anchor distT="0" distB="0" distL="114300" distR="114300" simplePos="0" relativeHeight="251815936" behindDoc="1" locked="0" layoutInCell="1" allowOverlap="1">
            <wp:simplePos x="0" y="0"/>
            <wp:positionH relativeFrom="column">
              <wp:posOffset>-3810</wp:posOffset>
            </wp:positionH>
            <wp:positionV relativeFrom="paragraph">
              <wp:posOffset>4445</wp:posOffset>
            </wp:positionV>
            <wp:extent cx="2329180" cy="544728"/>
            <wp:effectExtent l="0" t="0" r="0" b="8255"/>
            <wp:wrapTight wrapText="bothSides">
              <wp:wrapPolygon edited="0">
                <wp:start x="0" y="0"/>
                <wp:lineTo x="0" y="21172"/>
                <wp:lineTo x="21376" y="21172"/>
                <wp:lineTo x="21376" y="0"/>
                <wp:lineTo x="0" y="0"/>
              </wp:wrapPolygon>
            </wp:wrapTight>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9180" cy="544728"/>
                    </a:xfrm>
                    <a:prstGeom prst="rect">
                      <a:avLst/>
                    </a:prstGeom>
                    <a:noFill/>
                  </pic:spPr>
                </pic:pic>
              </a:graphicData>
            </a:graphic>
          </wp:anchor>
        </w:drawing>
      </w:r>
    </w:p>
    <w:p w:rsidR="002E640A" w:rsidRPr="00565D2C" w:rsidRDefault="002E640A" w:rsidP="00565D2C">
      <w:pPr>
        <w:jc w:val="both"/>
        <w:rPr>
          <w:rFonts w:ascii="Times New Roman" w:hAnsi="Times New Roman" w:cs="Times New Roman"/>
          <w:sz w:val="24"/>
          <w:szCs w:val="24"/>
        </w:rPr>
      </w:pPr>
    </w:p>
    <w:p w:rsidR="00D4148A" w:rsidRPr="00565D2C" w:rsidRDefault="00D4148A" w:rsidP="00565D2C">
      <w:pPr>
        <w:spacing w:after="0" w:line="240" w:lineRule="auto"/>
        <w:jc w:val="both"/>
        <w:rPr>
          <w:rFonts w:ascii="Times New Roman" w:hAnsi="Times New Roman" w:cs="Times New Roman"/>
          <w:b/>
          <w:sz w:val="24"/>
          <w:szCs w:val="24"/>
        </w:rPr>
      </w:pPr>
    </w:p>
    <w:p w:rsidR="00D4148A" w:rsidRPr="00565D2C" w:rsidRDefault="002E640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Secretaría General cumplió </w:t>
      </w:r>
      <w:r w:rsidR="00E571FE" w:rsidRPr="00565D2C">
        <w:rPr>
          <w:rFonts w:ascii="Times New Roman" w:hAnsi="Times New Roman" w:cs="Times New Roman"/>
          <w:sz w:val="24"/>
          <w:szCs w:val="24"/>
        </w:rPr>
        <w:t xml:space="preserve">en </w:t>
      </w:r>
      <w:r w:rsidR="006B5C46" w:rsidRPr="00565D2C">
        <w:rPr>
          <w:rFonts w:ascii="Times New Roman" w:hAnsi="Times New Roman" w:cs="Times New Roman"/>
          <w:sz w:val="24"/>
          <w:szCs w:val="24"/>
        </w:rPr>
        <w:t>u</w:t>
      </w:r>
      <w:r w:rsidR="00E571FE" w:rsidRPr="00565D2C">
        <w:rPr>
          <w:rFonts w:ascii="Times New Roman" w:hAnsi="Times New Roman" w:cs="Times New Roman"/>
          <w:sz w:val="24"/>
          <w:szCs w:val="24"/>
        </w:rPr>
        <w:t xml:space="preserve">n 100% </w:t>
      </w:r>
      <w:r w:rsidR="00C16657" w:rsidRPr="00565D2C">
        <w:rPr>
          <w:rFonts w:ascii="Times New Roman" w:hAnsi="Times New Roman" w:cs="Times New Roman"/>
          <w:sz w:val="24"/>
          <w:szCs w:val="24"/>
        </w:rPr>
        <w:t xml:space="preserve">las </w:t>
      </w:r>
      <w:r w:rsidR="00E571FE" w:rsidRPr="00565D2C">
        <w:rPr>
          <w:rFonts w:ascii="Times New Roman" w:hAnsi="Times New Roman" w:cs="Times New Roman"/>
          <w:sz w:val="24"/>
          <w:szCs w:val="24"/>
        </w:rPr>
        <w:t>3</w:t>
      </w:r>
      <w:r w:rsidR="00C16657" w:rsidRPr="00565D2C">
        <w:rPr>
          <w:rFonts w:ascii="Times New Roman" w:hAnsi="Times New Roman" w:cs="Times New Roman"/>
          <w:sz w:val="24"/>
          <w:szCs w:val="24"/>
        </w:rPr>
        <w:t xml:space="preserve"> </w:t>
      </w:r>
      <w:r w:rsidRPr="00565D2C">
        <w:rPr>
          <w:rFonts w:ascii="Times New Roman" w:hAnsi="Times New Roman" w:cs="Times New Roman"/>
          <w:sz w:val="24"/>
          <w:szCs w:val="24"/>
        </w:rPr>
        <w:t>actividades programadas, descritas a continuación:</w:t>
      </w:r>
    </w:p>
    <w:p w:rsidR="00F34171" w:rsidRPr="00565D2C" w:rsidRDefault="00F34171" w:rsidP="00565D2C">
      <w:pPr>
        <w:spacing w:after="0" w:line="240" w:lineRule="auto"/>
        <w:jc w:val="both"/>
        <w:rPr>
          <w:rFonts w:ascii="Times New Roman" w:hAnsi="Times New Roman" w:cs="Times New Roman"/>
          <w:sz w:val="24"/>
          <w:szCs w:val="24"/>
        </w:rPr>
      </w:pPr>
    </w:p>
    <w:p w:rsidR="00C16657" w:rsidRDefault="00875F54"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Brindar asistencia técnica y legal al CD, </w:t>
      </w:r>
      <w:r w:rsidR="003875B2">
        <w:rPr>
          <w:rFonts w:ascii="Times New Roman" w:hAnsi="Times New Roman" w:cs="Times New Roman"/>
          <w:sz w:val="24"/>
          <w:szCs w:val="24"/>
        </w:rPr>
        <w:t xml:space="preserve">12 </w:t>
      </w:r>
      <w:r w:rsidRPr="00565D2C">
        <w:rPr>
          <w:rFonts w:ascii="Times New Roman" w:hAnsi="Times New Roman" w:cs="Times New Roman"/>
          <w:sz w:val="24"/>
          <w:szCs w:val="24"/>
        </w:rPr>
        <w:t>actas elaboradas y firmadas</w:t>
      </w:r>
      <w:r w:rsidR="00C16657"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p>
    <w:p w:rsidR="003875B2" w:rsidRDefault="003875B2" w:rsidP="003875B2">
      <w:pPr>
        <w:pStyle w:val="Prrafodelista"/>
        <w:spacing w:after="0" w:line="240" w:lineRule="auto"/>
        <w:jc w:val="both"/>
        <w:rPr>
          <w:rFonts w:ascii="Times New Roman" w:hAnsi="Times New Roman" w:cs="Times New Roman"/>
          <w:sz w:val="24"/>
          <w:szCs w:val="24"/>
        </w:rPr>
      </w:pPr>
    </w:p>
    <w:p w:rsidR="003875B2" w:rsidRDefault="003875B2" w:rsidP="003875B2">
      <w:pPr>
        <w:pStyle w:val="Prrafodelista"/>
        <w:numPr>
          <w:ilvl w:val="0"/>
          <w:numId w:val="4"/>
        </w:numPr>
        <w:spacing w:after="0" w:line="240" w:lineRule="auto"/>
        <w:jc w:val="both"/>
        <w:rPr>
          <w:rFonts w:ascii="Times New Roman" w:hAnsi="Times New Roman" w:cs="Times New Roman"/>
          <w:sz w:val="24"/>
          <w:szCs w:val="24"/>
        </w:rPr>
      </w:pPr>
      <w:r w:rsidRPr="003875B2">
        <w:rPr>
          <w:rFonts w:ascii="Times New Roman" w:hAnsi="Times New Roman" w:cs="Times New Roman"/>
          <w:sz w:val="24"/>
          <w:szCs w:val="24"/>
        </w:rPr>
        <w:t>Asistencia legal en los procesos administrativos al Superintendente y a otras unidades organizativas</w:t>
      </w:r>
      <w:r>
        <w:rPr>
          <w:rFonts w:ascii="Times New Roman" w:hAnsi="Times New Roman" w:cs="Times New Roman"/>
          <w:sz w:val="24"/>
          <w:szCs w:val="24"/>
        </w:rPr>
        <w:t xml:space="preserve">: </w:t>
      </w:r>
    </w:p>
    <w:p w:rsidR="003875B2" w:rsidRDefault="003875B2" w:rsidP="003875B2">
      <w:pPr>
        <w:pStyle w:val="Prrafodelista"/>
        <w:spacing w:after="0" w:line="240" w:lineRule="auto"/>
        <w:jc w:val="both"/>
        <w:rPr>
          <w:rFonts w:ascii="Times New Roman" w:hAnsi="Times New Roman" w:cs="Times New Roman"/>
          <w:sz w:val="24"/>
          <w:szCs w:val="24"/>
        </w:rPr>
      </w:pPr>
      <w:r w:rsidRPr="003875B2">
        <w:rPr>
          <w:rFonts w:ascii="Times New Roman" w:hAnsi="Times New Roman" w:cs="Times New Roman"/>
          <w:sz w:val="24"/>
          <w:szCs w:val="24"/>
        </w:rPr>
        <w:t>(1) emisión de 33 certificaciones literales y 36 extractadas de resoluciones del Consejo Directivo y del Superintendente; (2) emisión de 3 certificaciones de puntos de actas del CD; 2 solicitadas por la Unidad de Auditoría Interna y 1 por la Intendencia de Investigaciones. (3) gestiones de información confidencial a requerimiento del Superintendente: (i) acta de facilitación de información contenida en expediente SC-047-D/PS/R-2013 para incorporación en investigación; (ii) acta de entrega de expediente SC-047-D/PS/R-2013, para ser presentado en sede contencioso administrativa; (iii) acta de devolución a titular y resguardo digital de información del expediente SC-010-S/CE/R-2017; (iv) acta de recepción de piezas de información declarada confidencial en los procedimientos: SC-026-O/OI/R-2017, SC-021-O/OI/NR-2018; SC-016-O/OI/R-2018; SC-008-D/PI/NR-2018; y SC-010-S/CE/R-2018. (4) apoyo a Recursos Humanos: revisión de 1 contrato individual de trabajo. (5) apoyo a Unidad de Abogacía de la Competencia: 1 asesoría jurídica. (6) Apoyo a UFI: correos con opinión legal en tema de modelos de contrato de cuenta corriente institucional.</w:t>
      </w:r>
    </w:p>
    <w:p w:rsidR="003875B2" w:rsidRDefault="003875B2" w:rsidP="003875B2">
      <w:pPr>
        <w:pStyle w:val="Prrafodelista"/>
        <w:spacing w:after="0" w:line="240" w:lineRule="auto"/>
        <w:jc w:val="both"/>
        <w:rPr>
          <w:rFonts w:ascii="Times New Roman" w:hAnsi="Times New Roman" w:cs="Times New Roman"/>
          <w:sz w:val="24"/>
          <w:szCs w:val="24"/>
        </w:rPr>
      </w:pPr>
    </w:p>
    <w:p w:rsidR="003875B2" w:rsidRDefault="003875B2" w:rsidP="003875B2">
      <w:pPr>
        <w:pStyle w:val="Prrafode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Administrar auditoría externa:</w:t>
      </w:r>
    </w:p>
    <w:p w:rsidR="003875B2" w:rsidRPr="003875B2" w:rsidRDefault="003875B2" w:rsidP="003875B2">
      <w:pPr>
        <w:pStyle w:val="Prrafodelista"/>
        <w:spacing w:after="0" w:line="240" w:lineRule="auto"/>
        <w:jc w:val="both"/>
        <w:rPr>
          <w:rFonts w:ascii="Times New Roman" w:hAnsi="Times New Roman" w:cs="Times New Roman"/>
          <w:sz w:val="24"/>
          <w:szCs w:val="24"/>
        </w:rPr>
      </w:pPr>
      <w:r w:rsidRPr="003875B2">
        <w:rPr>
          <w:rFonts w:ascii="Times New Roman" w:hAnsi="Times New Roman" w:cs="Times New Roman"/>
          <w:sz w:val="24"/>
          <w:szCs w:val="24"/>
        </w:rPr>
        <w:t>1. Elaboración propuesta de términos de referencia (</w:t>
      </w:r>
      <w:proofErr w:type="spellStart"/>
      <w:r w:rsidRPr="003875B2">
        <w:rPr>
          <w:rFonts w:ascii="Times New Roman" w:hAnsi="Times New Roman" w:cs="Times New Roman"/>
          <w:sz w:val="24"/>
          <w:szCs w:val="24"/>
        </w:rPr>
        <w:t>TdR´s</w:t>
      </w:r>
      <w:proofErr w:type="spellEnd"/>
      <w:r w:rsidRPr="003875B2">
        <w:rPr>
          <w:rFonts w:ascii="Times New Roman" w:hAnsi="Times New Roman" w:cs="Times New Roman"/>
          <w:sz w:val="24"/>
          <w:szCs w:val="24"/>
        </w:rPr>
        <w:t xml:space="preserve">) en libre gestión # 27/2018 para la contratación de los "Servicios de auditoría externa financiera para la Superintendencia de Competencia, correspondiente al ejercicio fiscal comprendido </w:t>
      </w:r>
    </w:p>
    <w:p w:rsidR="003875B2" w:rsidRPr="003875B2" w:rsidRDefault="003875B2" w:rsidP="003875B2">
      <w:pPr>
        <w:pStyle w:val="Prrafodelista"/>
        <w:spacing w:after="0" w:line="240" w:lineRule="auto"/>
        <w:jc w:val="both"/>
        <w:rPr>
          <w:rFonts w:ascii="Times New Roman" w:hAnsi="Times New Roman" w:cs="Times New Roman"/>
          <w:sz w:val="24"/>
          <w:szCs w:val="24"/>
        </w:rPr>
      </w:pPr>
      <w:r w:rsidRPr="003875B2">
        <w:rPr>
          <w:rFonts w:ascii="Times New Roman" w:hAnsi="Times New Roman" w:cs="Times New Roman"/>
          <w:sz w:val="24"/>
          <w:szCs w:val="24"/>
        </w:rPr>
        <w:t xml:space="preserve">del 01 de enero al 31 de diciembre de 2018” y 2. elaboración de la presentación, en formato </w:t>
      </w:r>
      <w:proofErr w:type="spellStart"/>
      <w:r w:rsidRPr="003875B2">
        <w:rPr>
          <w:rFonts w:ascii="Times New Roman" w:hAnsi="Times New Roman" w:cs="Times New Roman"/>
          <w:sz w:val="24"/>
          <w:szCs w:val="24"/>
        </w:rPr>
        <w:t>PPTx</w:t>
      </w:r>
      <w:proofErr w:type="spellEnd"/>
      <w:r w:rsidRPr="003875B2">
        <w:rPr>
          <w:rFonts w:ascii="Times New Roman" w:hAnsi="Times New Roman" w:cs="Times New Roman"/>
          <w:sz w:val="24"/>
          <w:szCs w:val="24"/>
        </w:rPr>
        <w:t xml:space="preserve">, para el Consejo Directivo. El CD aprobó estos </w:t>
      </w:r>
      <w:proofErr w:type="spellStart"/>
      <w:r w:rsidRPr="003875B2">
        <w:rPr>
          <w:rFonts w:ascii="Times New Roman" w:hAnsi="Times New Roman" w:cs="Times New Roman"/>
          <w:sz w:val="24"/>
          <w:szCs w:val="24"/>
        </w:rPr>
        <w:t>TdR´s</w:t>
      </w:r>
      <w:proofErr w:type="spellEnd"/>
      <w:r w:rsidRPr="003875B2">
        <w:rPr>
          <w:rFonts w:ascii="Times New Roman" w:hAnsi="Times New Roman" w:cs="Times New Roman"/>
          <w:sz w:val="24"/>
          <w:szCs w:val="24"/>
        </w:rPr>
        <w:t>.</w:t>
      </w:r>
    </w:p>
    <w:p w:rsidR="003875B2" w:rsidRPr="003875B2" w:rsidRDefault="003875B2" w:rsidP="003875B2">
      <w:pPr>
        <w:pStyle w:val="Prrafodelista"/>
        <w:spacing w:after="0" w:line="240" w:lineRule="auto"/>
        <w:jc w:val="both"/>
        <w:rPr>
          <w:rFonts w:ascii="Times New Roman" w:hAnsi="Times New Roman" w:cs="Times New Roman"/>
          <w:sz w:val="24"/>
          <w:szCs w:val="24"/>
        </w:rPr>
      </w:pPr>
      <w:r w:rsidRPr="003875B2">
        <w:rPr>
          <w:rFonts w:ascii="Times New Roman" w:hAnsi="Times New Roman" w:cs="Times New Roman"/>
          <w:sz w:val="24"/>
          <w:szCs w:val="24"/>
        </w:rPr>
        <w:t xml:space="preserve"> En T2: 1. Acta de recepción de primer producto del contrato. 2. Seguimiento a los comentarios sobre el primer producto.</w:t>
      </w:r>
    </w:p>
    <w:p w:rsidR="00787DB8" w:rsidRDefault="00787DB8" w:rsidP="00787DB8">
      <w:pPr>
        <w:pStyle w:val="Prrafodelista"/>
        <w:spacing w:after="0" w:line="240" w:lineRule="auto"/>
        <w:jc w:val="both"/>
        <w:rPr>
          <w:rFonts w:ascii="Times New Roman" w:hAnsi="Times New Roman" w:cs="Times New Roman"/>
          <w:sz w:val="24"/>
          <w:szCs w:val="24"/>
        </w:rPr>
      </w:pPr>
    </w:p>
    <w:p w:rsidR="005648D5" w:rsidRPr="00565D2C" w:rsidRDefault="005648D5" w:rsidP="00657D64">
      <w:pPr>
        <w:pStyle w:val="Ttulo2"/>
        <w:numPr>
          <w:ilvl w:val="0"/>
          <w:numId w:val="31"/>
        </w:numPr>
        <w:rPr>
          <w:rFonts w:ascii="Times New Roman" w:hAnsi="Times New Roman" w:cs="Times New Roman"/>
          <w:szCs w:val="24"/>
        </w:rPr>
      </w:pPr>
      <w:bookmarkStart w:id="12" w:name="_Toc530046497"/>
      <w:r w:rsidRPr="00565D2C">
        <w:rPr>
          <w:rFonts w:ascii="Times New Roman" w:hAnsi="Times New Roman" w:cs="Times New Roman"/>
          <w:szCs w:val="24"/>
        </w:rPr>
        <w:t>Unidad de Planificación</w:t>
      </w:r>
      <w:bookmarkEnd w:id="12"/>
    </w:p>
    <w:p w:rsidR="002E640A" w:rsidRPr="00565D2C" w:rsidRDefault="002E640A" w:rsidP="00565D2C">
      <w:pPr>
        <w:spacing w:after="0" w:line="240" w:lineRule="auto"/>
        <w:jc w:val="both"/>
        <w:rPr>
          <w:rFonts w:ascii="Times New Roman" w:hAnsi="Times New Roman" w:cs="Times New Roman"/>
          <w:b/>
          <w:sz w:val="24"/>
          <w:szCs w:val="24"/>
        </w:rPr>
      </w:pPr>
    </w:p>
    <w:p w:rsidR="00D4148A" w:rsidRPr="00565D2C" w:rsidRDefault="00375387" w:rsidP="00565D2C">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819008" behindDoc="1" locked="0" layoutInCell="1" allowOverlap="1">
            <wp:simplePos x="0" y="0"/>
            <wp:positionH relativeFrom="column">
              <wp:posOffset>3264772</wp:posOffset>
            </wp:positionH>
            <wp:positionV relativeFrom="paragraph">
              <wp:posOffset>27305</wp:posOffset>
            </wp:positionV>
            <wp:extent cx="2360930" cy="576638"/>
            <wp:effectExtent l="0" t="0" r="1270" b="0"/>
            <wp:wrapTight wrapText="bothSides">
              <wp:wrapPolygon edited="0">
                <wp:start x="0" y="0"/>
                <wp:lineTo x="0" y="19982"/>
                <wp:lineTo x="21437" y="19982"/>
                <wp:lineTo x="21437" y="0"/>
                <wp:lineTo x="0" y="0"/>
              </wp:wrapPolygon>
            </wp:wrapTight>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0930" cy="576638"/>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817984" behindDoc="1" locked="0" layoutInCell="1" allowOverlap="1">
            <wp:simplePos x="0" y="0"/>
            <wp:positionH relativeFrom="column">
              <wp:posOffset>-3810</wp:posOffset>
            </wp:positionH>
            <wp:positionV relativeFrom="paragraph">
              <wp:posOffset>-4445</wp:posOffset>
            </wp:positionV>
            <wp:extent cx="2549362" cy="608330"/>
            <wp:effectExtent l="0" t="0" r="3810" b="0"/>
            <wp:wrapTight wrapText="bothSides">
              <wp:wrapPolygon edited="0">
                <wp:start x="0" y="0"/>
                <wp:lineTo x="0" y="20292"/>
                <wp:lineTo x="21471" y="20292"/>
                <wp:lineTo x="21471" y="0"/>
                <wp:lineTo x="0" y="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9362" cy="608330"/>
                    </a:xfrm>
                    <a:prstGeom prst="rect">
                      <a:avLst/>
                    </a:prstGeom>
                    <a:noFill/>
                  </pic:spPr>
                </pic:pic>
              </a:graphicData>
            </a:graphic>
          </wp:anchor>
        </w:drawing>
      </w: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556485" w:rsidRPr="00565D2C" w:rsidRDefault="0055648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Planificación cumplió </w:t>
      </w:r>
      <w:r w:rsidR="00CD01C8">
        <w:rPr>
          <w:rFonts w:ascii="Times New Roman" w:hAnsi="Times New Roman" w:cs="Times New Roman"/>
          <w:sz w:val="24"/>
          <w:szCs w:val="24"/>
        </w:rPr>
        <w:t>en un 95.00</w:t>
      </w:r>
      <w:r w:rsidR="00905082" w:rsidRPr="00565D2C">
        <w:rPr>
          <w:rFonts w:ascii="Times New Roman" w:hAnsi="Times New Roman" w:cs="Times New Roman"/>
          <w:sz w:val="24"/>
          <w:szCs w:val="24"/>
        </w:rPr>
        <w:t>%</w:t>
      </w:r>
      <w:r w:rsidRPr="00565D2C">
        <w:rPr>
          <w:rFonts w:ascii="Times New Roman" w:hAnsi="Times New Roman" w:cs="Times New Roman"/>
          <w:sz w:val="24"/>
          <w:szCs w:val="24"/>
        </w:rPr>
        <w:t xml:space="preserve"> con las </w:t>
      </w:r>
      <w:r w:rsidR="00657D64">
        <w:rPr>
          <w:rFonts w:ascii="Times New Roman" w:hAnsi="Times New Roman" w:cs="Times New Roman"/>
          <w:sz w:val="24"/>
          <w:szCs w:val="24"/>
        </w:rPr>
        <w:t>7</w:t>
      </w:r>
      <w:r w:rsidRPr="00565D2C">
        <w:rPr>
          <w:rFonts w:ascii="Times New Roman" w:hAnsi="Times New Roman" w:cs="Times New Roman"/>
          <w:sz w:val="24"/>
          <w:szCs w:val="24"/>
        </w:rPr>
        <w:t xml:space="preserve"> actividades programadas</w:t>
      </w:r>
      <w:r w:rsidR="00905082" w:rsidRPr="00565D2C">
        <w:rPr>
          <w:rFonts w:ascii="Times New Roman" w:hAnsi="Times New Roman" w:cs="Times New Roman"/>
          <w:sz w:val="24"/>
          <w:szCs w:val="24"/>
        </w:rPr>
        <w:t xml:space="preserve"> este trimestre</w:t>
      </w:r>
      <w:r w:rsidRPr="00565D2C">
        <w:rPr>
          <w:rFonts w:ascii="Times New Roman" w:hAnsi="Times New Roman" w:cs="Times New Roman"/>
          <w:sz w:val="24"/>
          <w:szCs w:val="24"/>
        </w:rPr>
        <w:t xml:space="preserve">, </w:t>
      </w:r>
      <w:r w:rsidR="00C16657" w:rsidRPr="00565D2C">
        <w:rPr>
          <w:rFonts w:ascii="Times New Roman" w:hAnsi="Times New Roman" w:cs="Times New Roman"/>
          <w:sz w:val="24"/>
          <w:szCs w:val="24"/>
        </w:rPr>
        <w:t xml:space="preserve">siendo las más sustantivas las </w:t>
      </w:r>
      <w:r w:rsidRPr="00565D2C">
        <w:rPr>
          <w:rFonts w:ascii="Times New Roman" w:hAnsi="Times New Roman" w:cs="Times New Roman"/>
          <w:sz w:val="24"/>
          <w:szCs w:val="24"/>
        </w:rPr>
        <w:t>descritas a continuación:</w:t>
      </w:r>
    </w:p>
    <w:p w:rsidR="00F34171" w:rsidRPr="00565D2C" w:rsidRDefault="00F34171" w:rsidP="00565D2C">
      <w:pPr>
        <w:spacing w:after="0" w:line="240" w:lineRule="auto"/>
        <w:jc w:val="both"/>
        <w:rPr>
          <w:rFonts w:ascii="Times New Roman" w:hAnsi="Times New Roman" w:cs="Times New Roman"/>
          <w:sz w:val="24"/>
          <w:szCs w:val="24"/>
        </w:rPr>
      </w:pPr>
    </w:p>
    <w:p w:rsidR="009A0422" w:rsidRDefault="00FF47A2" w:rsidP="00565D2C">
      <w:pPr>
        <w:pStyle w:val="Prrafodelista"/>
        <w:numPr>
          <w:ilvl w:val="0"/>
          <w:numId w:val="5"/>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Monitorear y evaluar POA 201</w:t>
      </w:r>
      <w:r w:rsidR="00427805">
        <w:rPr>
          <w:rFonts w:ascii="Times New Roman" w:hAnsi="Times New Roman" w:cs="Times New Roman"/>
          <w:sz w:val="24"/>
          <w:szCs w:val="24"/>
        </w:rPr>
        <w:t>8</w:t>
      </w:r>
      <w:r w:rsidR="009A0422" w:rsidRPr="00565D2C">
        <w:rPr>
          <w:rFonts w:ascii="Times New Roman" w:hAnsi="Times New Roman" w:cs="Times New Roman"/>
          <w:sz w:val="24"/>
          <w:szCs w:val="24"/>
        </w:rPr>
        <w:t>.</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9A0422" w:rsidRDefault="00427805" w:rsidP="00565D2C">
      <w:pPr>
        <w:pStyle w:val="Prrafode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Coordinar y apoyar a las unidades en la formulación del POA 2019 y del presupuesto 2019.</w:t>
      </w:r>
    </w:p>
    <w:p w:rsidR="00787DB8" w:rsidRPr="00787DB8" w:rsidRDefault="00787DB8" w:rsidP="00787DB8">
      <w:pPr>
        <w:pStyle w:val="Prrafodelista"/>
        <w:rPr>
          <w:rFonts w:ascii="Times New Roman" w:hAnsi="Times New Roman" w:cs="Times New Roman"/>
          <w:sz w:val="24"/>
          <w:szCs w:val="24"/>
        </w:rPr>
      </w:pPr>
    </w:p>
    <w:p w:rsidR="00375387" w:rsidRPr="00427805" w:rsidRDefault="00375387" w:rsidP="00375387">
      <w:pPr>
        <w:tabs>
          <w:tab w:val="left" w:pos="567"/>
          <w:tab w:val="left" w:pos="851"/>
          <w:tab w:val="left" w:pos="993"/>
        </w:tabs>
        <w:ind w:left="567"/>
        <w:jc w:val="both"/>
        <w:rPr>
          <w:rFonts w:ascii="Times New Roman" w:hAnsi="Times New Roman" w:cs="Times New Roman"/>
          <w:b/>
          <w:sz w:val="24"/>
          <w:szCs w:val="24"/>
        </w:rPr>
      </w:pPr>
      <w:r w:rsidRPr="00427805">
        <w:rPr>
          <w:rFonts w:ascii="Times New Roman" w:hAnsi="Times New Roman" w:cs="Times New Roman"/>
          <w:b/>
          <w:sz w:val="24"/>
          <w:szCs w:val="24"/>
        </w:rPr>
        <w:t>Detalle de las actividades con ejecución media o baja de la UP:</w:t>
      </w:r>
    </w:p>
    <w:p w:rsidR="00375387" w:rsidRDefault="00375387" w:rsidP="00375387">
      <w:pPr>
        <w:tabs>
          <w:tab w:val="left" w:pos="567"/>
          <w:tab w:val="left" w:pos="851"/>
          <w:tab w:val="left" w:pos="993"/>
        </w:tabs>
        <w:ind w:left="56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8CAD21" wp14:editId="35DAA31B">
            <wp:extent cx="5194300" cy="579120"/>
            <wp:effectExtent l="0" t="0" r="635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4300" cy="579120"/>
                    </a:xfrm>
                    <a:prstGeom prst="rect">
                      <a:avLst/>
                    </a:prstGeom>
                    <a:noFill/>
                  </pic:spPr>
                </pic:pic>
              </a:graphicData>
            </a:graphic>
          </wp:inline>
        </w:drawing>
      </w:r>
    </w:p>
    <w:p w:rsidR="00427805" w:rsidRDefault="00427805" w:rsidP="00427805">
      <w:pPr>
        <w:pStyle w:val="Prrafodelista"/>
        <w:numPr>
          <w:ilvl w:val="0"/>
          <w:numId w:val="28"/>
        </w:numPr>
        <w:spacing w:after="0" w:line="240" w:lineRule="auto"/>
        <w:jc w:val="both"/>
        <w:rPr>
          <w:rFonts w:ascii="Times New Roman" w:hAnsi="Times New Roman" w:cs="Times New Roman"/>
          <w:sz w:val="24"/>
          <w:szCs w:val="24"/>
        </w:rPr>
      </w:pPr>
      <w:r w:rsidRPr="00427805">
        <w:rPr>
          <w:rFonts w:ascii="Times New Roman" w:hAnsi="Times New Roman" w:cs="Times New Roman"/>
          <w:sz w:val="24"/>
          <w:szCs w:val="24"/>
        </w:rPr>
        <w:t>En la AE.4.3.4, quedo un 15% pendiente en el diseño de la seguridad organizacional y el diseño de las TIC y la seguridad física de la información.</w:t>
      </w:r>
    </w:p>
    <w:p w:rsidR="009877E8" w:rsidRDefault="009877E8" w:rsidP="009877E8">
      <w:pPr>
        <w:pStyle w:val="Prrafodelista"/>
        <w:spacing w:after="0" w:line="240" w:lineRule="auto"/>
        <w:jc w:val="both"/>
        <w:rPr>
          <w:rFonts w:ascii="Times New Roman" w:hAnsi="Times New Roman" w:cs="Times New Roman"/>
          <w:sz w:val="24"/>
          <w:szCs w:val="24"/>
        </w:rPr>
      </w:pPr>
    </w:p>
    <w:p w:rsidR="009877E8" w:rsidRPr="009877E8" w:rsidRDefault="009877E8" w:rsidP="009877E8">
      <w:pPr>
        <w:spacing w:after="0" w:line="240" w:lineRule="auto"/>
        <w:jc w:val="both"/>
        <w:rPr>
          <w:rFonts w:ascii="Times New Roman" w:hAnsi="Times New Roman" w:cs="Times New Roman"/>
          <w:sz w:val="24"/>
          <w:szCs w:val="24"/>
        </w:rPr>
      </w:pPr>
    </w:p>
    <w:p w:rsidR="00BB67B4" w:rsidRPr="00565D2C" w:rsidRDefault="00BB67B4" w:rsidP="00657D64">
      <w:pPr>
        <w:pStyle w:val="Ttulo2"/>
        <w:numPr>
          <w:ilvl w:val="0"/>
          <w:numId w:val="31"/>
        </w:numPr>
        <w:rPr>
          <w:rFonts w:ascii="Times New Roman" w:hAnsi="Times New Roman" w:cs="Times New Roman"/>
          <w:szCs w:val="24"/>
        </w:rPr>
      </w:pPr>
      <w:bookmarkStart w:id="13" w:name="_Toc530046498"/>
      <w:r w:rsidRPr="00565D2C">
        <w:rPr>
          <w:rFonts w:ascii="Times New Roman" w:hAnsi="Times New Roman" w:cs="Times New Roman"/>
          <w:szCs w:val="24"/>
        </w:rPr>
        <w:t>Unidad de Acceso a la Información Pública</w:t>
      </w:r>
      <w:bookmarkEnd w:id="13"/>
    </w:p>
    <w:p w:rsidR="004F5CB5" w:rsidRPr="00565D2C" w:rsidRDefault="004F5CB5" w:rsidP="00565D2C">
      <w:pPr>
        <w:spacing w:after="0" w:line="240" w:lineRule="auto"/>
        <w:jc w:val="both"/>
        <w:rPr>
          <w:rFonts w:ascii="Times New Roman" w:hAnsi="Times New Roman" w:cs="Times New Roman"/>
          <w:sz w:val="24"/>
          <w:szCs w:val="24"/>
        </w:rPr>
      </w:pPr>
    </w:p>
    <w:p w:rsidR="004F5CB5" w:rsidRPr="00565D2C" w:rsidRDefault="009877E8" w:rsidP="00565D2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1056" behindDoc="1" locked="0" layoutInCell="1" allowOverlap="1">
            <wp:simplePos x="0" y="0"/>
            <wp:positionH relativeFrom="column">
              <wp:posOffset>3015615</wp:posOffset>
            </wp:positionH>
            <wp:positionV relativeFrom="paragraph">
              <wp:posOffset>44450</wp:posOffset>
            </wp:positionV>
            <wp:extent cx="2290445" cy="559435"/>
            <wp:effectExtent l="0" t="0" r="0" b="0"/>
            <wp:wrapTight wrapText="bothSides">
              <wp:wrapPolygon edited="0">
                <wp:start x="0" y="0"/>
                <wp:lineTo x="0" y="19859"/>
                <wp:lineTo x="21378" y="19859"/>
                <wp:lineTo x="21378" y="0"/>
                <wp:lineTo x="0" y="0"/>
              </wp:wrapPolygon>
            </wp:wrapTight>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0445" cy="559435"/>
                    </a:xfrm>
                    <a:prstGeom prst="rect">
                      <a:avLst/>
                    </a:prstGeom>
                    <a:noFill/>
                  </pic:spPr>
                </pic:pic>
              </a:graphicData>
            </a:graphic>
          </wp:anchor>
        </w:drawing>
      </w:r>
      <w:r>
        <w:rPr>
          <w:rFonts w:ascii="Times New Roman" w:hAnsi="Times New Roman" w:cs="Times New Roman"/>
          <w:noProof/>
          <w:sz w:val="24"/>
          <w:szCs w:val="24"/>
        </w:rPr>
        <w:drawing>
          <wp:anchor distT="0" distB="0" distL="114300" distR="114300" simplePos="0" relativeHeight="251820032" behindDoc="1" locked="0" layoutInCell="1" allowOverlap="1">
            <wp:simplePos x="0" y="0"/>
            <wp:positionH relativeFrom="column">
              <wp:posOffset>-3810</wp:posOffset>
            </wp:positionH>
            <wp:positionV relativeFrom="paragraph">
              <wp:posOffset>81280</wp:posOffset>
            </wp:positionV>
            <wp:extent cx="2234587" cy="522605"/>
            <wp:effectExtent l="0" t="0" r="0" b="0"/>
            <wp:wrapTight wrapText="bothSides">
              <wp:wrapPolygon edited="0">
                <wp:start x="0" y="0"/>
                <wp:lineTo x="0" y="20471"/>
                <wp:lineTo x="21361" y="20471"/>
                <wp:lineTo x="21361" y="0"/>
                <wp:lineTo x="0" y="0"/>
              </wp:wrapPolygon>
            </wp:wrapTight>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34587" cy="522605"/>
                    </a:xfrm>
                    <a:prstGeom prst="rect">
                      <a:avLst/>
                    </a:prstGeom>
                    <a:noFill/>
                  </pic:spPr>
                </pic:pic>
              </a:graphicData>
            </a:graphic>
          </wp:anchor>
        </w:drawing>
      </w:r>
    </w:p>
    <w:p w:rsidR="000A15CA" w:rsidRPr="00565D2C" w:rsidRDefault="000A15CA"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016DCF" w:rsidRPr="00565D2C" w:rsidRDefault="00016DCF" w:rsidP="00565D2C">
      <w:pPr>
        <w:spacing w:after="0" w:line="240" w:lineRule="auto"/>
        <w:jc w:val="both"/>
        <w:rPr>
          <w:rFonts w:ascii="Times New Roman" w:hAnsi="Times New Roman" w:cs="Times New Roman"/>
          <w:sz w:val="24"/>
          <w:szCs w:val="24"/>
        </w:rPr>
      </w:pPr>
    </w:p>
    <w:p w:rsidR="00EC16DD" w:rsidRPr="00565D2C" w:rsidRDefault="00EC16DD"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Acceso a la Información Pública </w:t>
      </w:r>
      <w:r w:rsidR="000A15CA" w:rsidRPr="00565D2C">
        <w:rPr>
          <w:rFonts w:ascii="Times New Roman" w:hAnsi="Times New Roman" w:cs="Times New Roman"/>
          <w:sz w:val="24"/>
          <w:szCs w:val="24"/>
        </w:rPr>
        <w:t xml:space="preserve">cumplió en un </w:t>
      </w:r>
      <w:r w:rsidR="00657D64">
        <w:rPr>
          <w:rFonts w:ascii="Times New Roman" w:hAnsi="Times New Roman" w:cs="Times New Roman"/>
          <w:sz w:val="24"/>
          <w:szCs w:val="24"/>
        </w:rPr>
        <w:t>60%</w:t>
      </w:r>
      <w:r w:rsidR="000A15CA" w:rsidRPr="00565D2C">
        <w:rPr>
          <w:rFonts w:ascii="Times New Roman" w:hAnsi="Times New Roman" w:cs="Times New Roman"/>
          <w:sz w:val="24"/>
          <w:szCs w:val="24"/>
        </w:rPr>
        <w:t xml:space="preserve"> con las actividades programadas, siendo las más sustantiva la descrita a continuación:</w:t>
      </w:r>
    </w:p>
    <w:p w:rsidR="000A15CA" w:rsidRPr="00565D2C" w:rsidRDefault="000A15CA" w:rsidP="00565D2C">
      <w:pPr>
        <w:spacing w:after="0" w:line="240" w:lineRule="auto"/>
        <w:jc w:val="both"/>
        <w:rPr>
          <w:rFonts w:ascii="Times New Roman" w:hAnsi="Times New Roman" w:cs="Times New Roman"/>
          <w:sz w:val="24"/>
          <w:szCs w:val="24"/>
        </w:rPr>
      </w:pPr>
    </w:p>
    <w:p w:rsidR="00375387" w:rsidRDefault="00657D64" w:rsidP="00657D64">
      <w:pPr>
        <w:pStyle w:val="Prrafodelista"/>
        <w:numPr>
          <w:ilvl w:val="0"/>
          <w:numId w:val="33"/>
        </w:numPr>
        <w:spacing w:after="0" w:line="240" w:lineRule="auto"/>
        <w:jc w:val="both"/>
        <w:rPr>
          <w:rFonts w:ascii="Times New Roman" w:hAnsi="Times New Roman" w:cs="Times New Roman"/>
          <w:sz w:val="24"/>
          <w:szCs w:val="24"/>
        </w:rPr>
      </w:pPr>
      <w:r w:rsidRPr="00657D64">
        <w:rPr>
          <w:rFonts w:ascii="Times New Roman" w:hAnsi="Times New Roman" w:cs="Times New Roman"/>
          <w:sz w:val="24"/>
          <w:szCs w:val="24"/>
        </w:rPr>
        <w:t>5 solicitud</w:t>
      </w:r>
      <w:r>
        <w:rPr>
          <w:rFonts w:ascii="Times New Roman" w:hAnsi="Times New Roman" w:cs="Times New Roman"/>
          <w:sz w:val="24"/>
          <w:szCs w:val="24"/>
        </w:rPr>
        <w:t>es de informació</w:t>
      </w:r>
      <w:r w:rsidRPr="00657D64">
        <w:rPr>
          <w:rFonts w:ascii="Times New Roman" w:hAnsi="Times New Roman" w:cs="Times New Roman"/>
          <w:sz w:val="24"/>
          <w:szCs w:val="24"/>
        </w:rPr>
        <w:t>n atendidas dentro del  tiempo  estipulado de los siguientes temas: a) participaci</w:t>
      </w:r>
      <w:r>
        <w:rPr>
          <w:rFonts w:ascii="Times New Roman" w:hAnsi="Times New Roman" w:cs="Times New Roman"/>
          <w:sz w:val="24"/>
          <w:szCs w:val="24"/>
        </w:rPr>
        <w:t>ó</w:t>
      </w:r>
      <w:r w:rsidRPr="00657D64">
        <w:rPr>
          <w:rFonts w:ascii="Times New Roman" w:hAnsi="Times New Roman" w:cs="Times New Roman"/>
          <w:sz w:val="24"/>
          <w:szCs w:val="24"/>
        </w:rPr>
        <w:t>n accionaria de MIDES, b) solicitud institucional sobre transparencia, rendici</w:t>
      </w:r>
      <w:r>
        <w:rPr>
          <w:rFonts w:ascii="Times New Roman" w:hAnsi="Times New Roman" w:cs="Times New Roman"/>
          <w:sz w:val="24"/>
          <w:szCs w:val="24"/>
        </w:rPr>
        <w:t>ó</w:t>
      </w:r>
      <w:r w:rsidRPr="00657D64">
        <w:rPr>
          <w:rFonts w:ascii="Times New Roman" w:hAnsi="Times New Roman" w:cs="Times New Roman"/>
          <w:sz w:val="24"/>
          <w:szCs w:val="24"/>
        </w:rPr>
        <w:t>n de cuentas y participaci</w:t>
      </w:r>
      <w:r>
        <w:rPr>
          <w:rFonts w:ascii="Times New Roman" w:hAnsi="Times New Roman" w:cs="Times New Roman"/>
          <w:sz w:val="24"/>
          <w:szCs w:val="24"/>
        </w:rPr>
        <w:t>ón ciudadana, c) r</w:t>
      </w:r>
      <w:r w:rsidRPr="00657D64">
        <w:rPr>
          <w:rFonts w:ascii="Times New Roman" w:hAnsi="Times New Roman" w:cs="Times New Roman"/>
          <w:sz w:val="24"/>
          <w:szCs w:val="24"/>
        </w:rPr>
        <w:t>esoluciones de prácticas anticompetitivas, d)Dependencia alimentaria, e) Investigaciones en sector medicamentos</w:t>
      </w:r>
      <w:r>
        <w:rPr>
          <w:rFonts w:ascii="Times New Roman" w:hAnsi="Times New Roman" w:cs="Times New Roman"/>
          <w:sz w:val="24"/>
          <w:szCs w:val="24"/>
        </w:rPr>
        <w:t>.</w:t>
      </w:r>
    </w:p>
    <w:p w:rsidR="00657D64" w:rsidRDefault="00657D64" w:rsidP="00375387">
      <w:pPr>
        <w:pStyle w:val="Prrafodelista"/>
        <w:spacing w:after="0" w:line="240" w:lineRule="auto"/>
        <w:jc w:val="both"/>
        <w:rPr>
          <w:rFonts w:ascii="Times New Roman" w:hAnsi="Times New Roman" w:cs="Times New Roman"/>
          <w:sz w:val="24"/>
          <w:szCs w:val="24"/>
        </w:rPr>
      </w:pPr>
    </w:p>
    <w:p w:rsidR="00375387" w:rsidRPr="00427805" w:rsidRDefault="0022345E" w:rsidP="00375387">
      <w:pPr>
        <w:pStyle w:val="Prrafodelista"/>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823104" behindDoc="1" locked="0" layoutInCell="1" allowOverlap="1">
            <wp:simplePos x="0" y="0"/>
            <wp:positionH relativeFrom="column">
              <wp:posOffset>-3810</wp:posOffset>
            </wp:positionH>
            <wp:positionV relativeFrom="paragraph">
              <wp:posOffset>274320</wp:posOffset>
            </wp:positionV>
            <wp:extent cx="5900761" cy="727710"/>
            <wp:effectExtent l="0" t="0" r="5080" b="0"/>
            <wp:wrapTight wrapText="bothSides">
              <wp:wrapPolygon edited="0">
                <wp:start x="0" y="0"/>
                <wp:lineTo x="0" y="20356"/>
                <wp:lineTo x="21549" y="20356"/>
                <wp:lineTo x="2154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0761" cy="727710"/>
                    </a:xfrm>
                    <a:prstGeom prst="rect">
                      <a:avLst/>
                    </a:prstGeom>
                    <a:noFill/>
                  </pic:spPr>
                </pic:pic>
              </a:graphicData>
            </a:graphic>
          </wp:anchor>
        </w:drawing>
      </w:r>
      <w:r w:rsidR="00375387" w:rsidRPr="00427805">
        <w:rPr>
          <w:rFonts w:ascii="Times New Roman" w:hAnsi="Times New Roman" w:cs="Times New Roman"/>
          <w:b/>
          <w:sz w:val="24"/>
          <w:szCs w:val="24"/>
        </w:rPr>
        <w:t>Detalle de las actividades con ejecución media o baja de la UP:</w:t>
      </w:r>
    </w:p>
    <w:p w:rsidR="00375387" w:rsidRDefault="00375387" w:rsidP="00375387">
      <w:pPr>
        <w:pStyle w:val="Prrafodelista"/>
        <w:spacing w:after="0" w:line="240" w:lineRule="auto"/>
        <w:jc w:val="both"/>
        <w:rPr>
          <w:rFonts w:ascii="Times New Roman" w:hAnsi="Times New Roman" w:cs="Times New Roman"/>
          <w:sz w:val="24"/>
          <w:szCs w:val="24"/>
        </w:rPr>
      </w:pPr>
    </w:p>
    <w:p w:rsidR="00427805" w:rsidRPr="00427805" w:rsidRDefault="00427805" w:rsidP="00427805">
      <w:pPr>
        <w:pStyle w:val="Prrafodelista"/>
        <w:numPr>
          <w:ilvl w:val="0"/>
          <w:numId w:val="29"/>
        </w:numPr>
        <w:spacing w:after="0" w:line="240" w:lineRule="auto"/>
        <w:jc w:val="both"/>
        <w:rPr>
          <w:rFonts w:ascii="Times New Roman" w:hAnsi="Times New Roman" w:cs="Times New Roman"/>
          <w:sz w:val="24"/>
          <w:szCs w:val="24"/>
        </w:rPr>
      </w:pPr>
      <w:r w:rsidRPr="00427805">
        <w:rPr>
          <w:rFonts w:ascii="Times New Roman" w:hAnsi="Times New Roman" w:cs="Times New Roman"/>
          <w:sz w:val="24"/>
          <w:szCs w:val="24"/>
        </w:rPr>
        <w:t>En la AE.4.3.</w:t>
      </w:r>
      <w:r w:rsidR="0022345E">
        <w:rPr>
          <w:rFonts w:ascii="Times New Roman" w:hAnsi="Times New Roman" w:cs="Times New Roman"/>
          <w:sz w:val="24"/>
          <w:szCs w:val="24"/>
        </w:rPr>
        <w:t>7</w:t>
      </w:r>
      <w:r w:rsidRPr="00427805">
        <w:rPr>
          <w:rFonts w:ascii="Times New Roman" w:hAnsi="Times New Roman" w:cs="Times New Roman"/>
          <w:sz w:val="24"/>
          <w:szCs w:val="24"/>
        </w:rPr>
        <w:t xml:space="preserve">, </w:t>
      </w:r>
      <w:r w:rsidR="0022345E">
        <w:rPr>
          <w:rFonts w:ascii="Times New Roman" w:hAnsi="Times New Roman" w:cs="Times New Roman"/>
          <w:sz w:val="24"/>
          <w:szCs w:val="24"/>
        </w:rPr>
        <w:t>no se realizaron las capacitaciones internas programadas en tema de transparencia y aplicación de LAIP.</w:t>
      </w:r>
    </w:p>
    <w:p w:rsidR="00F34171" w:rsidRPr="00565D2C" w:rsidRDefault="009877E8" w:rsidP="009877E8">
      <w:pPr>
        <w:tabs>
          <w:tab w:val="left" w:pos="5265"/>
        </w:tabs>
        <w:rPr>
          <w:rFonts w:ascii="Times New Roman" w:hAnsi="Times New Roman" w:cs="Times New Roman"/>
          <w:sz w:val="24"/>
        </w:rPr>
      </w:pPr>
      <w:r>
        <w:tab/>
      </w:r>
    </w:p>
    <w:p w:rsidR="001027B9" w:rsidRPr="00565D2C" w:rsidRDefault="000318A4" w:rsidP="00565D2C">
      <w:pPr>
        <w:pStyle w:val="Ttulo1"/>
        <w:numPr>
          <w:ilvl w:val="0"/>
          <w:numId w:val="11"/>
        </w:numPr>
        <w:spacing w:line="240" w:lineRule="auto"/>
        <w:rPr>
          <w:rFonts w:ascii="Times New Roman" w:hAnsi="Times New Roman" w:cs="Times New Roman"/>
          <w:sz w:val="24"/>
        </w:rPr>
      </w:pPr>
      <w:bookmarkStart w:id="14" w:name="_Toc530046499"/>
      <w:r w:rsidRPr="00565D2C">
        <w:rPr>
          <w:rFonts w:ascii="Times New Roman" w:hAnsi="Times New Roman" w:cs="Times New Roman"/>
          <w:sz w:val="24"/>
        </w:rPr>
        <w:t xml:space="preserve">Consolidado de la </w:t>
      </w:r>
      <w:r w:rsidR="00226A24" w:rsidRPr="00565D2C">
        <w:rPr>
          <w:rFonts w:ascii="Times New Roman" w:hAnsi="Times New Roman" w:cs="Times New Roman"/>
          <w:sz w:val="24"/>
        </w:rPr>
        <w:t xml:space="preserve">evaluación </w:t>
      </w:r>
      <w:r w:rsidRPr="00565D2C">
        <w:rPr>
          <w:rFonts w:ascii="Times New Roman" w:hAnsi="Times New Roman" w:cs="Times New Roman"/>
          <w:sz w:val="24"/>
        </w:rPr>
        <w:t xml:space="preserve">de POA </w:t>
      </w:r>
      <w:r w:rsidR="00226A24" w:rsidRPr="00565D2C">
        <w:rPr>
          <w:rFonts w:ascii="Times New Roman" w:hAnsi="Times New Roman" w:cs="Times New Roman"/>
          <w:sz w:val="24"/>
        </w:rPr>
        <w:t>institucional</w:t>
      </w:r>
      <w:bookmarkEnd w:id="14"/>
    </w:p>
    <w:p w:rsidR="00F34171" w:rsidRPr="00565D2C" w:rsidRDefault="00F34171" w:rsidP="00565D2C">
      <w:pPr>
        <w:spacing w:after="0" w:line="240" w:lineRule="auto"/>
        <w:jc w:val="both"/>
        <w:rPr>
          <w:rFonts w:ascii="Times New Roman" w:hAnsi="Times New Roman" w:cs="Times New Roman"/>
          <w:sz w:val="24"/>
          <w:szCs w:val="24"/>
        </w:rPr>
      </w:pPr>
    </w:p>
    <w:p w:rsidR="00C82CAA" w:rsidRPr="00565D2C" w:rsidRDefault="00F342C7"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 acuerdo a la planificación vigente, </w:t>
      </w:r>
      <w:r w:rsidR="00C17FB4" w:rsidRPr="00565D2C">
        <w:rPr>
          <w:rFonts w:ascii="Times New Roman" w:hAnsi="Times New Roman" w:cs="Times New Roman"/>
          <w:sz w:val="24"/>
          <w:szCs w:val="24"/>
        </w:rPr>
        <w:t>la evaluación integral del POA se calculará</w:t>
      </w:r>
      <w:r w:rsidR="0099219F" w:rsidRPr="00565D2C">
        <w:rPr>
          <w:rFonts w:ascii="Times New Roman" w:hAnsi="Times New Roman" w:cs="Times New Roman"/>
          <w:sz w:val="24"/>
          <w:szCs w:val="24"/>
        </w:rPr>
        <w:t xml:space="preserve"> consolidando la evaluación obtenida por cada una de las unidades funcionales </w:t>
      </w:r>
      <w:r w:rsidR="00C82CAA" w:rsidRPr="00565D2C">
        <w:rPr>
          <w:rFonts w:ascii="Times New Roman" w:hAnsi="Times New Roman" w:cs="Times New Roman"/>
          <w:sz w:val="24"/>
          <w:szCs w:val="24"/>
        </w:rPr>
        <w:t>con base en las atribuciones de la SC establecida en la Ley de Competencia, de acuerdo a los siguientes porcentajes:</w:t>
      </w:r>
    </w:p>
    <w:p w:rsidR="00F342C7" w:rsidRPr="00565D2C" w:rsidRDefault="00F342C7"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657D64"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860425</wp:posOffset>
            </wp:positionH>
            <wp:positionV relativeFrom="paragraph">
              <wp:posOffset>-254635</wp:posOffset>
            </wp:positionV>
            <wp:extent cx="3450590" cy="2263140"/>
            <wp:effectExtent l="0" t="0" r="0" b="3810"/>
            <wp:wrapTight wrapText="bothSides">
              <wp:wrapPolygon edited="0">
                <wp:start x="0" y="0"/>
                <wp:lineTo x="0" y="21455"/>
                <wp:lineTo x="16576" y="21455"/>
                <wp:lineTo x="21465" y="20909"/>
                <wp:lineTo x="21465"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50590" cy="226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14DD5" w:rsidRPr="00565D2C" w:rsidRDefault="00914DD5" w:rsidP="00565D2C">
      <w:pPr>
        <w:spacing w:after="0" w:line="240" w:lineRule="auto"/>
        <w:jc w:val="both"/>
        <w:rPr>
          <w:rFonts w:ascii="Times New Roman" w:hAnsi="Times New Roman" w:cs="Times New Roman"/>
          <w:sz w:val="24"/>
          <w:szCs w:val="24"/>
        </w:rPr>
      </w:pPr>
    </w:p>
    <w:p w:rsidR="00B66990" w:rsidRPr="00565D2C" w:rsidRDefault="00B66990"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Así entonces, la evaluación consolidada institucional de cada unidad organizativa de la SC, queda tal como lo muestra el siguiente cuadro:</w:t>
      </w:r>
    </w:p>
    <w:p w:rsidR="00064C1B" w:rsidRPr="00565D2C" w:rsidRDefault="00064C1B" w:rsidP="00565D2C">
      <w:pPr>
        <w:spacing w:after="0" w:line="240" w:lineRule="auto"/>
        <w:jc w:val="both"/>
        <w:rPr>
          <w:rFonts w:ascii="Times New Roman" w:hAnsi="Times New Roman" w:cs="Times New Roman"/>
          <w:sz w:val="24"/>
          <w:szCs w:val="24"/>
        </w:rPr>
      </w:pPr>
    </w:p>
    <w:tbl>
      <w:tblPr>
        <w:tblStyle w:val="Tablaconcuadrcula"/>
        <w:tblW w:w="8676" w:type="dxa"/>
        <w:tblInd w:w="108" w:type="dxa"/>
        <w:tblLayout w:type="fixed"/>
        <w:tblLook w:val="04A0" w:firstRow="1" w:lastRow="0" w:firstColumn="1" w:lastColumn="0" w:noHBand="0" w:noVBand="1"/>
      </w:tblPr>
      <w:tblGrid>
        <w:gridCol w:w="3573"/>
        <w:gridCol w:w="2268"/>
        <w:gridCol w:w="2835"/>
      </w:tblGrid>
      <w:tr w:rsidR="00BF1D04" w:rsidRPr="00565D2C" w:rsidTr="00387C4E">
        <w:trPr>
          <w:trHeight w:val="582"/>
        </w:trPr>
        <w:tc>
          <w:tcPr>
            <w:tcW w:w="3573" w:type="dxa"/>
            <w:noWrap/>
            <w:hideMark/>
          </w:tcPr>
          <w:p w:rsidR="00BF1D04" w:rsidRPr="00565D2C" w:rsidRDefault="00BF1D04" w:rsidP="00565D2C">
            <w:pPr>
              <w:jc w:val="both"/>
              <w:rPr>
                <w:sz w:val="24"/>
                <w:szCs w:val="24"/>
              </w:rPr>
            </w:pPr>
            <w:r w:rsidRPr="00565D2C">
              <w:rPr>
                <w:sz w:val="24"/>
                <w:szCs w:val="24"/>
              </w:rPr>
              <w:t>UNIDADES</w:t>
            </w:r>
          </w:p>
        </w:tc>
        <w:tc>
          <w:tcPr>
            <w:tcW w:w="2268" w:type="dxa"/>
            <w:hideMark/>
          </w:tcPr>
          <w:p w:rsidR="001C4CFD" w:rsidRPr="00565D2C" w:rsidRDefault="00BF1D04" w:rsidP="00565D2C">
            <w:pPr>
              <w:jc w:val="both"/>
              <w:rPr>
                <w:sz w:val="24"/>
                <w:szCs w:val="24"/>
              </w:rPr>
            </w:pPr>
            <w:r w:rsidRPr="00565D2C">
              <w:rPr>
                <w:sz w:val="24"/>
                <w:szCs w:val="24"/>
              </w:rPr>
              <w:t>EVALUACIÓN POA</w:t>
            </w:r>
            <w:r w:rsidR="00AE5226" w:rsidRPr="00565D2C">
              <w:rPr>
                <w:sz w:val="24"/>
                <w:szCs w:val="24"/>
              </w:rPr>
              <w:t xml:space="preserve"> POR UNIDAD</w:t>
            </w:r>
          </w:p>
          <w:p w:rsidR="00BF1D04" w:rsidRPr="00565D2C" w:rsidRDefault="001C4CFD" w:rsidP="00565D2C">
            <w:pPr>
              <w:jc w:val="both"/>
              <w:rPr>
                <w:sz w:val="24"/>
                <w:szCs w:val="24"/>
              </w:rPr>
            </w:pPr>
            <w:r w:rsidRPr="00565D2C">
              <w:rPr>
                <w:sz w:val="24"/>
                <w:szCs w:val="24"/>
              </w:rPr>
              <w:t>(sin pesos)</w:t>
            </w:r>
            <w:r w:rsidR="009B1F63" w:rsidRPr="00565D2C">
              <w:rPr>
                <w:sz w:val="24"/>
                <w:szCs w:val="24"/>
              </w:rPr>
              <w:t xml:space="preserve"> </w:t>
            </w:r>
          </w:p>
        </w:tc>
        <w:tc>
          <w:tcPr>
            <w:tcW w:w="2835" w:type="dxa"/>
            <w:hideMark/>
          </w:tcPr>
          <w:p w:rsidR="00BF1D04" w:rsidRPr="00565D2C" w:rsidRDefault="00BF1D04" w:rsidP="00565D2C">
            <w:pPr>
              <w:jc w:val="both"/>
              <w:rPr>
                <w:sz w:val="24"/>
                <w:szCs w:val="24"/>
              </w:rPr>
            </w:pPr>
            <w:r w:rsidRPr="00565D2C">
              <w:rPr>
                <w:sz w:val="24"/>
                <w:szCs w:val="24"/>
              </w:rPr>
              <w:t xml:space="preserve">EVALUACIÓN FINAL </w:t>
            </w:r>
            <w:r w:rsidRPr="00565D2C">
              <w:rPr>
                <w:sz w:val="24"/>
                <w:szCs w:val="24"/>
              </w:rPr>
              <w:br/>
            </w:r>
            <w:r w:rsidR="00AE5226" w:rsidRPr="00565D2C">
              <w:rPr>
                <w:sz w:val="24"/>
                <w:szCs w:val="24"/>
              </w:rPr>
              <w:t>PONDERADA</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INTENDENCIA DE INVESTIGACIONES</w:t>
            </w:r>
          </w:p>
        </w:tc>
        <w:tc>
          <w:tcPr>
            <w:tcW w:w="2268" w:type="dxa"/>
            <w:noWrap/>
          </w:tcPr>
          <w:p w:rsidR="00BF1D04" w:rsidRPr="00565D2C" w:rsidRDefault="00111D87" w:rsidP="00565D2C">
            <w:pPr>
              <w:jc w:val="both"/>
              <w:rPr>
                <w:sz w:val="24"/>
                <w:szCs w:val="24"/>
              </w:rPr>
            </w:pPr>
            <w:r>
              <w:rPr>
                <w:sz w:val="24"/>
                <w:szCs w:val="24"/>
              </w:rPr>
              <w:t>95.00</w:t>
            </w:r>
          </w:p>
        </w:tc>
        <w:tc>
          <w:tcPr>
            <w:tcW w:w="2835" w:type="dxa"/>
            <w:noWrap/>
          </w:tcPr>
          <w:p w:rsidR="00B82392" w:rsidRPr="00565D2C" w:rsidRDefault="00111D87" w:rsidP="00565D2C">
            <w:pPr>
              <w:jc w:val="both"/>
              <w:rPr>
                <w:sz w:val="24"/>
                <w:szCs w:val="24"/>
              </w:rPr>
            </w:pPr>
            <w:r>
              <w:rPr>
                <w:sz w:val="24"/>
                <w:szCs w:val="24"/>
              </w:rPr>
              <w:t>14.25</w:t>
            </w:r>
          </w:p>
        </w:tc>
      </w:tr>
      <w:tr w:rsidR="00BF1D04" w:rsidRPr="00565D2C" w:rsidTr="005B4D10">
        <w:trPr>
          <w:trHeight w:val="661"/>
        </w:trPr>
        <w:tc>
          <w:tcPr>
            <w:tcW w:w="3573" w:type="dxa"/>
            <w:hideMark/>
          </w:tcPr>
          <w:p w:rsidR="00BF1D04" w:rsidRPr="00565D2C" w:rsidRDefault="00BF1D04" w:rsidP="00565D2C">
            <w:pPr>
              <w:jc w:val="both"/>
              <w:rPr>
                <w:sz w:val="24"/>
                <w:szCs w:val="24"/>
              </w:rPr>
            </w:pPr>
            <w:r w:rsidRPr="00565D2C">
              <w:rPr>
                <w:sz w:val="24"/>
                <w:szCs w:val="24"/>
              </w:rPr>
              <w:t>INTENDENCIA DE ABOGACÍA DE LA COMPETENCIA</w:t>
            </w:r>
          </w:p>
        </w:tc>
        <w:tc>
          <w:tcPr>
            <w:tcW w:w="2268" w:type="dxa"/>
            <w:noWrap/>
          </w:tcPr>
          <w:p w:rsidR="00584AD6" w:rsidRPr="00565D2C" w:rsidRDefault="00111D87" w:rsidP="00565D2C">
            <w:pPr>
              <w:jc w:val="both"/>
              <w:rPr>
                <w:sz w:val="24"/>
                <w:szCs w:val="24"/>
              </w:rPr>
            </w:pPr>
            <w:r>
              <w:rPr>
                <w:sz w:val="24"/>
                <w:szCs w:val="24"/>
              </w:rPr>
              <w:t>91.16</w:t>
            </w:r>
          </w:p>
        </w:tc>
        <w:tc>
          <w:tcPr>
            <w:tcW w:w="2835" w:type="dxa"/>
            <w:noWrap/>
          </w:tcPr>
          <w:p w:rsidR="00BF1D04" w:rsidRPr="00565D2C" w:rsidRDefault="00111D87" w:rsidP="00565D2C">
            <w:pPr>
              <w:jc w:val="both"/>
              <w:rPr>
                <w:sz w:val="24"/>
                <w:szCs w:val="24"/>
              </w:rPr>
            </w:pPr>
            <w:r>
              <w:rPr>
                <w:sz w:val="24"/>
                <w:szCs w:val="24"/>
              </w:rPr>
              <w:t>13.67</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INTENDENCIA ECONÓMICA</w:t>
            </w:r>
          </w:p>
        </w:tc>
        <w:tc>
          <w:tcPr>
            <w:tcW w:w="2268" w:type="dxa"/>
            <w:noWrap/>
          </w:tcPr>
          <w:p w:rsidR="00BF1D04" w:rsidRPr="00565D2C" w:rsidRDefault="00111D87" w:rsidP="00565D2C">
            <w:pPr>
              <w:jc w:val="both"/>
              <w:rPr>
                <w:sz w:val="24"/>
                <w:szCs w:val="24"/>
              </w:rPr>
            </w:pPr>
            <w:r>
              <w:rPr>
                <w:sz w:val="24"/>
                <w:szCs w:val="24"/>
              </w:rPr>
              <w:t>96.84</w:t>
            </w:r>
          </w:p>
        </w:tc>
        <w:tc>
          <w:tcPr>
            <w:tcW w:w="2835" w:type="dxa"/>
            <w:noWrap/>
          </w:tcPr>
          <w:p w:rsidR="00BF1D04" w:rsidRPr="00565D2C" w:rsidRDefault="00111D87" w:rsidP="00565D2C">
            <w:pPr>
              <w:jc w:val="both"/>
              <w:rPr>
                <w:sz w:val="24"/>
                <w:szCs w:val="24"/>
              </w:rPr>
            </w:pPr>
            <w:r>
              <w:rPr>
                <w:sz w:val="24"/>
                <w:szCs w:val="24"/>
              </w:rPr>
              <w:t>14.53</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UNIDAD DE INFORMÁTICA</w:t>
            </w:r>
          </w:p>
        </w:tc>
        <w:tc>
          <w:tcPr>
            <w:tcW w:w="2268" w:type="dxa"/>
            <w:noWrap/>
          </w:tcPr>
          <w:p w:rsidR="00BF1D04" w:rsidRPr="00565D2C" w:rsidRDefault="00111D87" w:rsidP="00565D2C">
            <w:pPr>
              <w:jc w:val="both"/>
              <w:rPr>
                <w:sz w:val="24"/>
                <w:szCs w:val="24"/>
              </w:rPr>
            </w:pPr>
            <w:r>
              <w:rPr>
                <w:sz w:val="24"/>
                <w:szCs w:val="24"/>
              </w:rPr>
              <w:t>96.03</w:t>
            </w:r>
          </w:p>
        </w:tc>
        <w:tc>
          <w:tcPr>
            <w:tcW w:w="2835" w:type="dxa"/>
            <w:noWrap/>
          </w:tcPr>
          <w:p w:rsidR="00BF1D04" w:rsidRPr="00565D2C" w:rsidRDefault="00111D87" w:rsidP="00565D2C">
            <w:pPr>
              <w:jc w:val="both"/>
              <w:rPr>
                <w:sz w:val="24"/>
                <w:szCs w:val="24"/>
              </w:rPr>
            </w:pPr>
            <w:r>
              <w:rPr>
                <w:sz w:val="24"/>
                <w:szCs w:val="24"/>
              </w:rPr>
              <w:t>4.80</w:t>
            </w:r>
          </w:p>
        </w:tc>
      </w:tr>
      <w:tr w:rsidR="00BF1D04" w:rsidRPr="00565D2C" w:rsidTr="00387C4E">
        <w:trPr>
          <w:trHeight w:val="534"/>
        </w:trPr>
        <w:tc>
          <w:tcPr>
            <w:tcW w:w="3573" w:type="dxa"/>
            <w:hideMark/>
          </w:tcPr>
          <w:p w:rsidR="00BF1D04" w:rsidRPr="00565D2C" w:rsidRDefault="00BF1D04" w:rsidP="00565D2C">
            <w:pPr>
              <w:jc w:val="both"/>
              <w:rPr>
                <w:sz w:val="24"/>
                <w:szCs w:val="24"/>
              </w:rPr>
            </w:pPr>
            <w:r w:rsidRPr="00565D2C">
              <w:rPr>
                <w:sz w:val="24"/>
                <w:szCs w:val="24"/>
              </w:rPr>
              <w:t>UNIDAD DE ADMINISTRACIÓN Y RECURSOS HUMANOS</w:t>
            </w:r>
          </w:p>
        </w:tc>
        <w:tc>
          <w:tcPr>
            <w:tcW w:w="2268" w:type="dxa"/>
            <w:noWrap/>
          </w:tcPr>
          <w:p w:rsidR="00BF1D04" w:rsidRPr="00565D2C" w:rsidRDefault="00111D87" w:rsidP="00565D2C">
            <w:pPr>
              <w:jc w:val="both"/>
              <w:rPr>
                <w:sz w:val="24"/>
                <w:szCs w:val="24"/>
              </w:rPr>
            </w:pPr>
            <w:r>
              <w:rPr>
                <w:sz w:val="24"/>
                <w:szCs w:val="24"/>
              </w:rPr>
              <w:t>100.00</w:t>
            </w:r>
          </w:p>
        </w:tc>
        <w:tc>
          <w:tcPr>
            <w:tcW w:w="2835" w:type="dxa"/>
            <w:noWrap/>
          </w:tcPr>
          <w:p w:rsidR="00BF1D04" w:rsidRPr="00565D2C" w:rsidRDefault="00111D87" w:rsidP="00565D2C">
            <w:pPr>
              <w:jc w:val="both"/>
              <w:rPr>
                <w:sz w:val="24"/>
                <w:szCs w:val="24"/>
              </w:rPr>
            </w:pPr>
            <w:r>
              <w:rPr>
                <w:sz w:val="24"/>
                <w:szCs w:val="24"/>
              </w:rPr>
              <w:t>5.00</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UNIDAD DE COMUNICACIONES</w:t>
            </w:r>
          </w:p>
        </w:tc>
        <w:tc>
          <w:tcPr>
            <w:tcW w:w="2268" w:type="dxa"/>
            <w:noWrap/>
          </w:tcPr>
          <w:p w:rsidR="00BF1D04" w:rsidRPr="00565D2C" w:rsidRDefault="00111D87" w:rsidP="00565D2C">
            <w:pPr>
              <w:jc w:val="both"/>
              <w:rPr>
                <w:sz w:val="24"/>
                <w:szCs w:val="24"/>
              </w:rPr>
            </w:pPr>
            <w:r>
              <w:rPr>
                <w:sz w:val="24"/>
                <w:szCs w:val="24"/>
              </w:rPr>
              <w:t>100.00</w:t>
            </w:r>
          </w:p>
        </w:tc>
        <w:tc>
          <w:tcPr>
            <w:tcW w:w="2835" w:type="dxa"/>
            <w:noWrap/>
          </w:tcPr>
          <w:p w:rsidR="00BF1D04" w:rsidRPr="00565D2C" w:rsidRDefault="00111D87" w:rsidP="00565D2C">
            <w:pPr>
              <w:jc w:val="both"/>
              <w:rPr>
                <w:sz w:val="24"/>
                <w:szCs w:val="24"/>
              </w:rPr>
            </w:pPr>
            <w:r>
              <w:rPr>
                <w:sz w:val="24"/>
                <w:szCs w:val="24"/>
              </w:rPr>
              <w:t>10.00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UNIDAD FINANCIERA INSTITUCIONAL</w:t>
            </w:r>
          </w:p>
        </w:tc>
        <w:tc>
          <w:tcPr>
            <w:tcW w:w="2268" w:type="dxa"/>
            <w:noWrap/>
          </w:tcPr>
          <w:p w:rsidR="00BF1D04" w:rsidRPr="00565D2C" w:rsidRDefault="00111D87" w:rsidP="00565D2C">
            <w:pPr>
              <w:jc w:val="both"/>
              <w:rPr>
                <w:sz w:val="24"/>
                <w:szCs w:val="24"/>
              </w:rPr>
            </w:pPr>
            <w:r>
              <w:rPr>
                <w:sz w:val="24"/>
                <w:szCs w:val="24"/>
              </w:rPr>
              <w:t>99.77</w:t>
            </w:r>
          </w:p>
        </w:tc>
        <w:tc>
          <w:tcPr>
            <w:tcW w:w="2835" w:type="dxa"/>
            <w:noWrap/>
          </w:tcPr>
          <w:p w:rsidR="00BF1D04" w:rsidRPr="00565D2C" w:rsidRDefault="00111D87" w:rsidP="00565D2C">
            <w:pPr>
              <w:jc w:val="both"/>
              <w:rPr>
                <w:sz w:val="24"/>
                <w:szCs w:val="24"/>
              </w:rPr>
            </w:pPr>
            <w:r>
              <w:rPr>
                <w:sz w:val="24"/>
                <w:szCs w:val="24"/>
              </w:rPr>
              <w:t>4.99</w:t>
            </w:r>
          </w:p>
        </w:tc>
      </w:tr>
      <w:tr w:rsidR="00BF1D04" w:rsidRPr="00565D2C" w:rsidTr="005B4D10">
        <w:trPr>
          <w:trHeight w:val="810"/>
        </w:trPr>
        <w:tc>
          <w:tcPr>
            <w:tcW w:w="3573" w:type="dxa"/>
            <w:hideMark/>
          </w:tcPr>
          <w:p w:rsidR="00BF1D04" w:rsidRPr="00565D2C" w:rsidRDefault="00BF1D04" w:rsidP="00565D2C">
            <w:pPr>
              <w:jc w:val="both"/>
              <w:rPr>
                <w:sz w:val="24"/>
                <w:szCs w:val="24"/>
              </w:rPr>
            </w:pPr>
            <w:r w:rsidRPr="00565D2C">
              <w:rPr>
                <w:sz w:val="24"/>
                <w:szCs w:val="24"/>
              </w:rPr>
              <w:t>UNIDAD DE ADQUISICIONES Y CONTRATACIONES INSTITUCIONAL</w:t>
            </w:r>
          </w:p>
        </w:tc>
        <w:tc>
          <w:tcPr>
            <w:tcW w:w="2268" w:type="dxa"/>
            <w:noWrap/>
          </w:tcPr>
          <w:p w:rsidR="00BF1D04" w:rsidRPr="00565D2C" w:rsidRDefault="00375387" w:rsidP="00565D2C">
            <w:pPr>
              <w:jc w:val="both"/>
              <w:rPr>
                <w:sz w:val="24"/>
                <w:szCs w:val="24"/>
              </w:rPr>
            </w:pPr>
            <w:r>
              <w:rPr>
                <w:sz w:val="24"/>
                <w:szCs w:val="24"/>
              </w:rPr>
              <w:t>100.00</w:t>
            </w:r>
          </w:p>
        </w:tc>
        <w:tc>
          <w:tcPr>
            <w:tcW w:w="2835" w:type="dxa"/>
            <w:noWrap/>
          </w:tcPr>
          <w:p w:rsidR="00BF1D04" w:rsidRPr="00565D2C" w:rsidRDefault="00375387" w:rsidP="00565D2C">
            <w:pPr>
              <w:jc w:val="both"/>
              <w:rPr>
                <w:sz w:val="24"/>
                <w:szCs w:val="24"/>
              </w:rPr>
            </w:pPr>
            <w:r>
              <w:rPr>
                <w:sz w:val="24"/>
                <w:szCs w:val="24"/>
              </w:rPr>
              <w:t>5.00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SECRETARÍA GENERAL</w:t>
            </w:r>
          </w:p>
        </w:tc>
        <w:tc>
          <w:tcPr>
            <w:tcW w:w="2268" w:type="dxa"/>
            <w:noWrap/>
          </w:tcPr>
          <w:p w:rsidR="00BF1D04" w:rsidRPr="00565D2C" w:rsidRDefault="00375387" w:rsidP="00565D2C">
            <w:pPr>
              <w:jc w:val="both"/>
              <w:rPr>
                <w:sz w:val="24"/>
                <w:szCs w:val="24"/>
              </w:rPr>
            </w:pPr>
            <w:r>
              <w:rPr>
                <w:sz w:val="24"/>
                <w:szCs w:val="24"/>
              </w:rPr>
              <w:t>100.00</w:t>
            </w:r>
          </w:p>
        </w:tc>
        <w:tc>
          <w:tcPr>
            <w:tcW w:w="2835" w:type="dxa"/>
            <w:noWrap/>
          </w:tcPr>
          <w:p w:rsidR="00BF1D04" w:rsidRPr="00565D2C" w:rsidRDefault="00111D87" w:rsidP="00565D2C">
            <w:pPr>
              <w:jc w:val="both"/>
              <w:rPr>
                <w:sz w:val="24"/>
                <w:szCs w:val="24"/>
              </w:rPr>
            </w:pPr>
            <w:r>
              <w:rPr>
                <w:sz w:val="24"/>
                <w:szCs w:val="24"/>
              </w:rPr>
              <w:t>5.00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UNIDAD DE PLANIFICACIÓN</w:t>
            </w:r>
          </w:p>
        </w:tc>
        <w:tc>
          <w:tcPr>
            <w:tcW w:w="2268" w:type="dxa"/>
            <w:noWrap/>
          </w:tcPr>
          <w:p w:rsidR="00BF1D04" w:rsidRPr="00565D2C" w:rsidRDefault="00111D87" w:rsidP="00565D2C">
            <w:pPr>
              <w:jc w:val="both"/>
              <w:rPr>
                <w:sz w:val="24"/>
                <w:szCs w:val="24"/>
              </w:rPr>
            </w:pPr>
            <w:r>
              <w:rPr>
                <w:sz w:val="24"/>
                <w:szCs w:val="24"/>
              </w:rPr>
              <w:t>95.00</w:t>
            </w:r>
          </w:p>
        </w:tc>
        <w:tc>
          <w:tcPr>
            <w:tcW w:w="2835" w:type="dxa"/>
            <w:noWrap/>
          </w:tcPr>
          <w:p w:rsidR="00BF1D04" w:rsidRPr="00565D2C" w:rsidRDefault="00111D87" w:rsidP="00565D2C">
            <w:pPr>
              <w:jc w:val="both"/>
              <w:rPr>
                <w:sz w:val="24"/>
                <w:szCs w:val="24"/>
              </w:rPr>
            </w:pPr>
            <w:r>
              <w:rPr>
                <w:sz w:val="24"/>
                <w:szCs w:val="24"/>
              </w:rPr>
              <w:t>11.40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AUDITORÍA INTERNA</w:t>
            </w:r>
          </w:p>
        </w:tc>
        <w:tc>
          <w:tcPr>
            <w:tcW w:w="2268" w:type="dxa"/>
            <w:noWrap/>
          </w:tcPr>
          <w:p w:rsidR="00BF1D04" w:rsidRPr="00565D2C" w:rsidRDefault="00375387" w:rsidP="00565D2C">
            <w:pPr>
              <w:jc w:val="both"/>
              <w:rPr>
                <w:sz w:val="24"/>
                <w:szCs w:val="24"/>
              </w:rPr>
            </w:pPr>
            <w:r>
              <w:rPr>
                <w:sz w:val="24"/>
                <w:szCs w:val="24"/>
              </w:rPr>
              <w:t>100.00</w:t>
            </w:r>
          </w:p>
        </w:tc>
        <w:tc>
          <w:tcPr>
            <w:tcW w:w="2835" w:type="dxa"/>
            <w:noWrap/>
          </w:tcPr>
          <w:p w:rsidR="00BF1D04" w:rsidRPr="00565D2C" w:rsidRDefault="00375387" w:rsidP="00565D2C">
            <w:pPr>
              <w:jc w:val="both"/>
              <w:rPr>
                <w:sz w:val="24"/>
                <w:szCs w:val="24"/>
              </w:rPr>
            </w:pPr>
            <w:r>
              <w:rPr>
                <w:sz w:val="24"/>
                <w:szCs w:val="24"/>
              </w:rPr>
              <w:t>5.00</w:t>
            </w:r>
          </w:p>
        </w:tc>
      </w:tr>
      <w:tr w:rsidR="00B82392" w:rsidRPr="00565D2C" w:rsidTr="005B4D10">
        <w:trPr>
          <w:trHeight w:val="405"/>
        </w:trPr>
        <w:tc>
          <w:tcPr>
            <w:tcW w:w="3573" w:type="dxa"/>
          </w:tcPr>
          <w:p w:rsidR="00B82392" w:rsidRPr="00565D2C" w:rsidRDefault="00B82392" w:rsidP="00565D2C">
            <w:pPr>
              <w:jc w:val="both"/>
              <w:rPr>
                <w:sz w:val="24"/>
                <w:szCs w:val="24"/>
              </w:rPr>
            </w:pPr>
            <w:r w:rsidRPr="00565D2C">
              <w:rPr>
                <w:sz w:val="24"/>
                <w:szCs w:val="24"/>
              </w:rPr>
              <w:t>UNIDAD DE ACCESO A LA INFORMACIÓN PÚBLICA</w:t>
            </w:r>
          </w:p>
        </w:tc>
        <w:tc>
          <w:tcPr>
            <w:tcW w:w="2268" w:type="dxa"/>
            <w:noWrap/>
          </w:tcPr>
          <w:p w:rsidR="00B82392" w:rsidRPr="00565D2C" w:rsidRDefault="00375387" w:rsidP="00565D2C">
            <w:pPr>
              <w:jc w:val="both"/>
              <w:rPr>
                <w:sz w:val="24"/>
                <w:szCs w:val="24"/>
              </w:rPr>
            </w:pPr>
            <w:r>
              <w:rPr>
                <w:sz w:val="24"/>
                <w:szCs w:val="24"/>
              </w:rPr>
              <w:t>60.00</w:t>
            </w:r>
          </w:p>
        </w:tc>
        <w:tc>
          <w:tcPr>
            <w:tcW w:w="2835" w:type="dxa"/>
            <w:noWrap/>
          </w:tcPr>
          <w:p w:rsidR="00B82392" w:rsidRPr="00565D2C" w:rsidRDefault="00375387" w:rsidP="00565D2C">
            <w:pPr>
              <w:jc w:val="both"/>
              <w:rPr>
                <w:sz w:val="24"/>
                <w:szCs w:val="24"/>
              </w:rPr>
            </w:pPr>
            <w:r>
              <w:rPr>
                <w:sz w:val="24"/>
                <w:szCs w:val="24"/>
              </w:rPr>
              <w:t>1.80</w:t>
            </w:r>
          </w:p>
        </w:tc>
      </w:tr>
      <w:tr w:rsidR="00BF1D04" w:rsidRPr="00565D2C" w:rsidTr="00387C4E">
        <w:trPr>
          <w:trHeight w:val="208"/>
        </w:trPr>
        <w:tc>
          <w:tcPr>
            <w:tcW w:w="5841" w:type="dxa"/>
            <w:gridSpan w:val="2"/>
          </w:tcPr>
          <w:p w:rsidR="00BF1D04" w:rsidRPr="00565D2C" w:rsidRDefault="00584AD6" w:rsidP="00CB39FA">
            <w:pPr>
              <w:jc w:val="right"/>
              <w:rPr>
                <w:sz w:val="24"/>
                <w:szCs w:val="24"/>
              </w:rPr>
            </w:pPr>
            <w:r w:rsidRPr="00565D2C">
              <w:rPr>
                <w:sz w:val="24"/>
                <w:szCs w:val="24"/>
              </w:rPr>
              <w:t xml:space="preserve">                                                       </w:t>
            </w:r>
            <w:r w:rsidR="00BB7ED3" w:rsidRPr="00565D2C">
              <w:rPr>
                <w:sz w:val="24"/>
                <w:szCs w:val="24"/>
              </w:rPr>
              <w:t xml:space="preserve">      E</w:t>
            </w:r>
            <w:r w:rsidR="00071ED7" w:rsidRPr="00565D2C">
              <w:rPr>
                <w:sz w:val="24"/>
                <w:szCs w:val="24"/>
              </w:rPr>
              <w:t xml:space="preserve">VALUACIÓN </w:t>
            </w:r>
            <w:r w:rsidR="00CB39FA">
              <w:rPr>
                <w:sz w:val="24"/>
                <w:szCs w:val="24"/>
              </w:rPr>
              <w:t xml:space="preserve">     </w:t>
            </w:r>
            <w:r w:rsidR="00AE5226" w:rsidRPr="00565D2C">
              <w:rPr>
                <w:sz w:val="24"/>
                <w:szCs w:val="24"/>
              </w:rPr>
              <w:t xml:space="preserve">PONDERADA </w:t>
            </w:r>
            <w:r w:rsidR="00375387">
              <w:rPr>
                <w:sz w:val="24"/>
                <w:szCs w:val="24"/>
              </w:rPr>
              <w:t>TERCER TRIMESTRE</w:t>
            </w:r>
            <w:r w:rsidR="00AE5226" w:rsidRPr="00565D2C">
              <w:rPr>
                <w:sz w:val="24"/>
                <w:szCs w:val="24"/>
              </w:rPr>
              <w:t xml:space="preserve"> 2018</w:t>
            </w:r>
          </w:p>
        </w:tc>
        <w:tc>
          <w:tcPr>
            <w:tcW w:w="2835" w:type="dxa"/>
            <w:noWrap/>
          </w:tcPr>
          <w:p w:rsidR="00BF1D04" w:rsidRPr="00565D2C" w:rsidRDefault="00111D87" w:rsidP="00565D2C">
            <w:pPr>
              <w:jc w:val="both"/>
              <w:rPr>
                <w:sz w:val="24"/>
                <w:szCs w:val="24"/>
              </w:rPr>
            </w:pPr>
            <w:r>
              <w:rPr>
                <w:sz w:val="24"/>
                <w:szCs w:val="24"/>
              </w:rPr>
              <w:t>95.44</w:t>
            </w:r>
          </w:p>
        </w:tc>
      </w:tr>
    </w:tbl>
    <w:p w:rsidR="000113A9" w:rsidRPr="00565D2C" w:rsidRDefault="000113A9" w:rsidP="00565D2C">
      <w:pPr>
        <w:spacing w:after="0" w:line="240" w:lineRule="auto"/>
        <w:jc w:val="both"/>
        <w:rPr>
          <w:rFonts w:ascii="Times New Roman" w:hAnsi="Times New Roman" w:cs="Times New Roman"/>
          <w:sz w:val="24"/>
          <w:szCs w:val="24"/>
        </w:rPr>
      </w:pPr>
    </w:p>
    <w:p w:rsidR="00E008B1" w:rsidRDefault="00763CC4"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El esfuerzo realizado por la SC en </w:t>
      </w:r>
      <w:r w:rsidR="0018754C" w:rsidRPr="00565D2C">
        <w:rPr>
          <w:rFonts w:ascii="Times New Roman" w:hAnsi="Times New Roman" w:cs="Times New Roman"/>
          <w:sz w:val="24"/>
          <w:szCs w:val="24"/>
        </w:rPr>
        <w:t xml:space="preserve">el </w:t>
      </w:r>
      <w:r w:rsidR="005B587C">
        <w:rPr>
          <w:rFonts w:ascii="Times New Roman" w:hAnsi="Times New Roman" w:cs="Times New Roman"/>
          <w:sz w:val="24"/>
          <w:szCs w:val="24"/>
        </w:rPr>
        <w:t>tercer trimestre</w:t>
      </w:r>
      <w:r w:rsidR="0018754C" w:rsidRPr="00565D2C">
        <w:rPr>
          <w:rFonts w:ascii="Times New Roman" w:hAnsi="Times New Roman" w:cs="Times New Roman"/>
          <w:sz w:val="24"/>
          <w:szCs w:val="24"/>
        </w:rPr>
        <w:t xml:space="preserve"> de </w:t>
      </w:r>
      <w:r w:rsidRPr="00565D2C">
        <w:rPr>
          <w:rFonts w:ascii="Times New Roman" w:hAnsi="Times New Roman" w:cs="Times New Roman"/>
          <w:sz w:val="24"/>
          <w:szCs w:val="24"/>
        </w:rPr>
        <w:t>201</w:t>
      </w:r>
      <w:r w:rsidR="009F6E95" w:rsidRPr="00565D2C">
        <w:rPr>
          <w:rFonts w:ascii="Times New Roman" w:hAnsi="Times New Roman" w:cs="Times New Roman"/>
          <w:sz w:val="24"/>
          <w:szCs w:val="24"/>
        </w:rPr>
        <w:t>8</w:t>
      </w:r>
      <w:r w:rsidRPr="00565D2C">
        <w:rPr>
          <w:rFonts w:ascii="Times New Roman" w:hAnsi="Times New Roman" w:cs="Times New Roman"/>
          <w:sz w:val="24"/>
          <w:szCs w:val="24"/>
        </w:rPr>
        <w:t xml:space="preserve"> ha cosechado muy buenos frutos y eso se </w:t>
      </w:r>
      <w:r w:rsidR="002D3828" w:rsidRPr="00565D2C">
        <w:rPr>
          <w:rFonts w:ascii="Times New Roman" w:hAnsi="Times New Roman" w:cs="Times New Roman"/>
          <w:sz w:val="24"/>
          <w:szCs w:val="24"/>
        </w:rPr>
        <w:t xml:space="preserve">ve reflejado en el alcance del </w:t>
      </w:r>
      <w:r w:rsidR="00C11135" w:rsidRPr="00565D2C">
        <w:rPr>
          <w:rFonts w:ascii="Times New Roman" w:hAnsi="Times New Roman" w:cs="Times New Roman"/>
          <w:sz w:val="24"/>
          <w:szCs w:val="24"/>
        </w:rPr>
        <w:t>95.</w:t>
      </w:r>
      <w:r w:rsidR="005B587C">
        <w:rPr>
          <w:rFonts w:ascii="Times New Roman" w:hAnsi="Times New Roman" w:cs="Times New Roman"/>
          <w:sz w:val="24"/>
          <w:szCs w:val="24"/>
        </w:rPr>
        <w:t>44</w:t>
      </w:r>
      <w:r w:rsidR="00C11135" w:rsidRPr="00565D2C">
        <w:rPr>
          <w:rFonts w:ascii="Times New Roman" w:hAnsi="Times New Roman" w:cs="Times New Roman"/>
          <w:sz w:val="24"/>
          <w:szCs w:val="24"/>
        </w:rPr>
        <w:t xml:space="preserve">% </w:t>
      </w:r>
      <w:r w:rsidRPr="00565D2C">
        <w:rPr>
          <w:rFonts w:ascii="Times New Roman" w:hAnsi="Times New Roman" w:cs="Times New Roman"/>
          <w:sz w:val="24"/>
          <w:szCs w:val="24"/>
        </w:rPr>
        <w:t xml:space="preserve">en la evaluación </w:t>
      </w:r>
      <w:r w:rsidR="00C11135" w:rsidRPr="00565D2C">
        <w:rPr>
          <w:rFonts w:ascii="Times New Roman" w:hAnsi="Times New Roman" w:cs="Times New Roman"/>
          <w:sz w:val="24"/>
          <w:szCs w:val="24"/>
        </w:rPr>
        <w:t>ponderada</w:t>
      </w:r>
      <w:r w:rsidRPr="00565D2C">
        <w:rPr>
          <w:rFonts w:ascii="Times New Roman" w:hAnsi="Times New Roman" w:cs="Times New Roman"/>
          <w:sz w:val="24"/>
          <w:szCs w:val="24"/>
        </w:rPr>
        <w:t>, lo que sin duda contribuye a cumplir la Visión, Misión y Objetivos institucionales en favor de mejorar la eficiencia económica y el bienestar de los consumidores</w:t>
      </w:r>
      <w:r w:rsidR="00034BEE" w:rsidRPr="00565D2C">
        <w:rPr>
          <w:rFonts w:ascii="Times New Roman" w:hAnsi="Times New Roman" w:cs="Times New Roman"/>
          <w:sz w:val="24"/>
          <w:szCs w:val="24"/>
        </w:rPr>
        <w:t>.</w:t>
      </w:r>
      <w:r w:rsidR="00114B4B">
        <w:rPr>
          <w:rFonts w:ascii="Times New Roman" w:hAnsi="Times New Roman" w:cs="Times New Roman"/>
          <w:sz w:val="24"/>
          <w:szCs w:val="24"/>
        </w:rPr>
        <w:t xml:space="preserve"> </w:t>
      </w:r>
    </w:p>
    <w:p w:rsidR="00956232" w:rsidRPr="00565D2C" w:rsidRDefault="00956232" w:rsidP="00565D2C">
      <w:pPr>
        <w:spacing w:after="0" w:line="240" w:lineRule="auto"/>
        <w:jc w:val="both"/>
        <w:rPr>
          <w:rFonts w:ascii="Times New Roman" w:hAnsi="Times New Roman" w:cs="Times New Roman"/>
          <w:sz w:val="24"/>
          <w:szCs w:val="24"/>
        </w:rPr>
      </w:pPr>
    </w:p>
    <w:sectPr w:rsidR="00956232" w:rsidRPr="00565D2C" w:rsidSect="00D41FB7">
      <w:footerReference w:type="default" r:id="rId35"/>
      <w:pgSz w:w="12240" w:h="15840" w:code="1"/>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60" w:rsidRDefault="004E1C60" w:rsidP="00F179C6">
      <w:pPr>
        <w:spacing w:after="0" w:line="240" w:lineRule="auto"/>
      </w:pPr>
      <w:r>
        <w:separator/>
      </w:r>
    </w:p>
  </w:endnote>
  <w:endnote w:type="continuationSeparator" w:id="0">
    <w:p w:rsidR="004E1C60" w:rsidRDefault="004E1C60" w:rsidP="00F1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FA" w:rsidRDefault="003D73FA">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11A93" w:rsidRPr="00C11A93">
      <w:rPr>
        <w:caps/>
        <w:noProof/>
        <w:color w:val="4F81BD" w:themeColor="accent1"/>
        <w:lang w:val="es-ES"/>
      </w:rPr>
      <w:t>17</w:t>
    </w:r>
    <w:r>
      <w:rPr>
        <w:caps/>
        <w:color w:val="4F81BD" w:themeColor="accent1"/>
      </w:rPr>
      <w:fldChar w:fldCharType="end"/>
    </w:r>
  </w:p>
  <w:p w:rsidR="003D73FA" w:rsidRDefault="003D73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60" w:rsidRDefault="004E1C60" w:rsidP="00F179C6">
      <w:pPr>
        <w:spacing w:after="0" w:line="240" w:lineRule="auto"/>
      </w:pPr>
      <w:r>
        <w:separator/>
      </w:r>
    </w:p>
  </w:footnote>
  <w:footnote w:type="continuationSeparator" w:id="0">
    <w:p w:rsidR="004E1C60" w:rsidRDefault="004E1C60" w:rsidP="00F1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CC3"/>
    <w:multiLevelType w:val="hybridMultilevel"/>
    <w:tmpl w:val="84868F0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1F95DC9"/>
    <w:multiLevelType w:val="hybridMultilevel"/>
    <w:tmpl w:val="6A0E0E5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1D2DFC"/>
    <w:multiLevelType w:val="hybridMultilevel"/>
    <w:tmpl w:val="B9824B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837218"/>
    <w:multiLevelType w:val="hybridMultilevel"/>
    <w:tmpl w:val="9D3A412A"/>
    <w:lvl w:ilvl="0" w:tplc="440A0011">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4" w15:restartNumberingAfterBreak="0">
    <w:nsid w:val="04927E69"/>
    <w:multiLevelType w:val="hybridMultilevel"/>
    <w:tmpl w:val="BB02E2A6"/>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068D7414"/>
    <w:multiLevelType w:val="hybridMultilevel"/>
    <w:tmpl w:val="2940DAC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7C3F45"/>
    <w:multiLevelType w:val="hybridMultilevel"/>
    <w:tmpl w:val="B92EA34A"/>
    <w:lvl w:ilvl="0" w:tplc="F71A3EFC">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095A7952"/>
    <w:multiLevelType w:val="hybridMultilevel"/>
    <w:tmpl w:val="B7CA4E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B673180"/>
    <w:multiLevelType w:val="hybridMultilevel"/>
    <w:tmpl w:val="77B25E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517DB3"/>
    <w:multiLevelType w:val="hybridMultilevel"/>
    <w:tmpl w:val="D1EE2A8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AC519F"/>
    <w:multiLevelType w:val="hybridMultilevel"/>
    <w:tmpl w:val="E34211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3C366C"/>
    <w:multiLevelType w:val="hybridMultilevel"/>
    <w:tmpl w:val="9FA4E1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1D4702"/>
    <w:multiLevelType w:val="hybridMultilevel"/>
    <w:tmpl w:val="B1FE09CE"/>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28975356"/>
    <w:multiLevelType w:val="hybridMultilevel"/>
    <w:tmpl w:val="22929F3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CFD07D0"/>
    <w:multiLevelType w:val="hybridMultilevel"/>
    <w:tmpl w:val="0DB2C7A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3DC91827"/>
    <w:multiLevelType w:val="hybridMultilevel"/>
    <w:tmpl w:val="E6865A26"/>
    <w:lvl w:ilvl="0" w:tplc="8BF00C80">
      <w:start w:val="1"/>
      <w:numFmt w:val="upperRoman"/>
      <w:lvlText w:val="%1."/>
      <w:lvlJc w:val="left"/>
      <w:pPr>
        <w:ind w:left="862" w:hanging="720"/>
      </w:pPr>
      <w:rPr>
        <w:rFonts w:hint="default"/>
      </w:rPr>
    </w:lvl>
    <w:lvl w:ilvl="1" w:tplc="64D4AE2E">
      <w:start w:val="1"/>
      <w:numFmt w:val="decimal"/>
      <w:lvlText w:val="%2)"/>
      <w:lvlJc w:val="left"/>
      <w:pPr>
        <w:ind w:left="36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19D6AD4"/>
    <w:multiLevelType w:val="hybridMultilevel"/>
    <w:tmpl w:val="412A731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4B77133"/>
    <w:multiLevelType w:val="hybridMultilevel"/>
    <w:tmpl w:val="A47CA97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431950"/>
    <w:multiLevelType w:val="hybridMultilevel"/>
    <w:tmpl w:val="91A2572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479975F0"/>
    <w:multiLevelType w:val="hybridMultilevel"/>
    <w:tmpl w:val="871EF6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ED1044"/>
    <w:multiLevelType w:val="hybridMultilevel"/>
    <w:tmpl w:val="6EF05198"/>
    <w:lvl w:ilvl="0" w:tplc="440A0011">
      <w:start w:val="1"/>
      <w:numFmt w:val="decimal"/>
      <w:lvlText w:val="%1)"/>
      <w:lvlJc w:val="left"/>
      <w:pPr>
        <w:ind w:left="1080" w:hanging="720"/>
      </w:pPr>
      <w:rPr>
        <w:rFonts w:hint="default"/>
      </w:rPr>
    </w:lvl>
    <w:lvl w:ilvl="1" w:tplc="64D4AE2E">
      <w:start w:val="1"/>
      <w:numFmt w:val="decimal"/>
      <w:lvlText w:val="%2)"/>
      <w:lvlJc w:val="left"/>
      <w:pPr>
        <w:ind w:left="36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F711C4"/>
    <w:multiLevelType w:val="hybridMultilevel"/>
    <w:tmpl w:val="08BA3B4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0406CA3"/>
    <w:multiLevelType w:val="hybridMultilevel"/>
    <w:tmpl w:val="9A3684D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C30A7E"/>
    <w:multiLevelType w:val="hybridMultilevel"/>
    <w:tmpl w:val="E2241CE0"/>
    <w:lvl w:ilvl="0" w:tplc="2B4C532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5AB3602E"/>
    <w:multiLevelType w:val="hybridMultilevel"/>
    <w:tmpl w:val="08BA3B4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2692024"/>
    <w:multiLevelType w:val="hybridMultilevel"/>
    <w:tmpl w:val="FAA672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274588C"/>
    <w:multiLevelType w:val="hybridMultilevel"/>
    <w:tmpl w:val="8F9CBA2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15:restartNumberingAfterBreak="0">
    <w:nsid w:val="6828058C"/>
    <w:multiLevelType w:val="hybridMultilevel"/>
    <w:tmpl w:val="294475D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8320670"/>
    <w:multiLevelType w:val="hybridMultilevel"/>
    <w:tmpl w:val="B5DA15EA"/>
    <w:lvl w:ilvl="0" w:tplc="1AFE024A">
      <w:start w:val="1"/>
      <w:numFmt w:val="upperLetter"/>
      <w:pStyle w:val="Ttulo2"/>
      <w:lvlText w:val="%1. "/>
      <w:lvlJc w:val="left"/>
      <w:pPr>
        <w:ind w:left="360" w:hanging="360"/>
      </w:pPr>
      <w:rPr>
        <w:rFonts w:hint="default"/>
        <w:b/>
      </w:rPr>
    </w:lvl>
    <w:lvl w:ilvl="1" w:tplc="F914FECA">
      <w:start w:val="1"/>
      <w:numFmt w:val="decimal"/>
      <w:lvlText w:val="%2."/>
      <w:lvlJc w:val="left"/>
      <w:pPr>
        <w:ind w:left="1364" w:hanging="360"/>
      </w:pPr>
      <w:rPr>
        <w:rFonts w:hint="default"/>
        <w:b/>
      </w:rPr>
    </w:lvl>
    <w:lvl w:ilvl="2" w:tplc="440A001B">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 w15:restartNumberingAfterBreak="0">
    <w:nsid w:val="6C2F256B"/>
    <w:multiLevelType w:val="hybridMultilevel"/>
    <w:tmpl w:val="B05089B2"/>
    <w:lvl w:ilvl="0" w:tplc="B9C06E3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7664FD0"/>
    <w:multiLevelType w:val="hybridMultilevel"/>
    <w:tmpl w:val="6ECC1642"/>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1" w15:restartNumberingAfterBreak="0">
    <w:nsid w:val="7DD35CC2"/>
    <w:multiLevelType w:val="hybridMultilevel"/>
    <w:tmpl w:val="20FA8AF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19"/>
  </w:num>
  <w:num w:numId="3">
    <w:abstractNumId w:val="7"/>
  </w:num>
  <w:num w:numId="4">
    <w:abstractNumId w:val="25"/>
  </w:num>
  <w:num w:numId="5">
    <w:abstractNumId w:val="1"/>
  </w:num>
  <w:num w:numId="6">
    <w:abstractNumId w:val="29"/>
  </w:num>
  <w:num w:numId="7">
    <w:abstractNumId w:val="2"/>
  </w:num>
  <w:num w:numId="8">
    <w:abstractNumId w:val="8"/>
  </w:num>
  <w:num w:numId="9">
    <w:abstractNumId w:val="22"/>
  </w:num>
  <w:num w:numId="10">
    <w:abstractNumId w:val="11"/>
  </w:num>
  <w:num w:numId="11">
    <w:abstractNumId w:val="15"/>
  </w:num>
  <w:num w:numId="12">
    <w:abstractNumId w:val="10"/>
  </w:num>
  <w:num w:numId="13">
    <w:abstractNumId w:val="2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0"/>
  </w:num>
  <w:num w:numId="17">
    <w:abstractNumId w:val="30"/>
  </w:num>
  <w:num w:numId="18">
    <w:abstractNumId w:val="16"/>
  </w:num>
  <w:num w:numId="19">
    <w:abstractNumId w:val="4"/>
  </w:num>
  <w:num w:numId="20">
    <w:abstractNumId w:val="0"/>
  </w:num>
  <w:num w:numId="21">
    <w:abstractNumId w:val="12"/>
  </w:num>
  <w:num w:numId="22">
    <w:abstractNumId w:val="18"/>
  </w:num>
  <w:num w:numId="23">
    <w:abstractNumId w:val="21"/>
  </w:num>
  <w:num w:numId="24">
    <w:abstractNumId w:val="13"/>
  </w:num>
  <w:num w:numId="25">
    <w:abstractNumId w:val="9"/>
  </w:num>
  <w:num w:numId="26">
    <w:abstractNumId w:val="28"/>
  </w:num>
  <w:num w:numId="27">
    <w:abstractNumId w:val="5"/>
  </w:num>
  <w:num w:numId="28">
    <w:abstractNumId w:val="27"/>
  </w:num>
  <w:num w:numId="29">
    <w:abstractNumId w:val="17"/>
  </w:num>
  <w:num w:numId="30">
    <w:abstractNumId w:val="26"/>
  </w:num>
  <w:num w:numId="31">
    <w:abstractNumId w:val="31"/>
  </w:num>
  <w:num w:numId="32">
    <w:abstractNumId w:val="23"/>
  </w:num>
  <w:num w:numId="33">
    <w:abstractNumId w:val="6"/>
  </w:num>
  <w:num w:numId="3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4E"/>
    <w:rsid w:val="00001A8E"/>
    <w:rsid w:val="00001E78"/>
    <w:rsid w:val="0000212C"/>
    <w:rsid w:val="0000362A"/>
    <w:rsid w:val="00004331"/>
    <w:rsid w:val="00004C85"/>
    <w:rsid w:val="00005926"/>
    <w:rsid w:val="00007680"/>
    <w:rsid w:val="000113A9"/>
    <w:rsid w:val="0001219A"/>
    <w:rsid w:val="00013D7D"/>
    <w:rsid w:val="0001555F"/>
    <w:rsid w:val="00016889"/>
    <w:rsid w:val="00016DCF"/>
    <w:rsid w:val="0001742A"/>
    <w:rsid w:val="00017DB9"/>
    <w:rsid w:val="00021EB5"/>
    <w:rsid w:val="0002403B"/>
    <w:rsid w:val="000245E5"/>
    <w:rsid w:val="00025F23"/>
    <w:rsid w:val="0003024C"/>
    <w:rsid w:val="00030A98"/>
    <w:rsid w:val="000317B5"/>
    <w:rsid w:val="0003186F"/>
    <w:rsid w:val="000318A4"/>
    <w:rsid w:val="00034BEE"/>
    <w:rsid w:val="00036232"/>
    <w:rsid w:val="00036734"/>
    <w:rsid w:val="00045016"/>
    <w:rsid w:val="00045BFD"/>
    <w:rsid w:val="000464C4"/>
    <w:rsid w:val="00050EE6"/>
    <w:rsid w:val="000531D2"/>
    <w:rsid w:val="00053B2C"/>
    <w:rsid w:val="00053CD3"/>
    <w:rsid w:val="00055598"/>
    <w:rsid w:val="00055AF8"/>
    <w:rsid w:val="00055B6C"/>
    <w:rsid w:val="000565F7"/>
    <w:rsid w:val="00056880"/>
    <w:rsid w:val="00057A8C"/>
    <w:rsid w:val="0006246C"/>
    <w:rsid w:val="00063034"/>
    <w:rsid w:val="000636F8"/>
    <w:rsid w:val="00064C1B"/>
    <w:rsid w:val="00065650"/>
    <w:rsid w:val="00067090"/>
    <w:rsid w:val="000702A9"/>
    <w:rsid w:val="0007040D"/>
    <w:rsid w:val="000705BE"/>
    <w:rsid w:val="00071ED7"/>
    <w:rsid w:val="00072B60"/>
    <w:rsid w:val="00072D6A"/>
    <w:rsid w:val="00076760"/>
    <w:rsid w:val="00077AA9"/>
    <w:rsid w:val="00077AF5"/>
    <w:rsid w:val="0008216E"/>
    <w:rsid w:val="00082580"/>
    <w:rsid w:val="00082E74"/>
    <w:rsid w:val="000849FE"/>
    <w:rsid w:val="00084DED"/>
    <w:rsid w:val="0008564A"/>
    <w:rsid w:val="00091E38"/>
    <w:rsid w:val="00095CAD"/>
    <w:rsid w:val="00097790"/>
    <w:rsid w:val="000A00D7"/>
    <w:rsid w:val="000A12E5"/>
    <w:rsid w:val="000A15CA"/>
    <w:rsid w:val="000A2595"/>
    <w:rsid w:val="000A261D"/>
    <w:rsid w:val="000A2FC5"/>
    <w:rsid w:val="000A33E1"/>
    <w:rsid w:val="000A3DFD"/>
    <w:rsid w:val="000A5785"/>
    <w:rsid w:val="000A6577"/>
    <w:rsid w:val="000B0DA1"/>
    <w:rsid w:val="000B1F43"/>
    <w:rsid w:val="000B3053"/>
    <w:rsid w:val="000B4F94"/>
    <w:rsid w:val="000C0889"/>
    <w:rsid w:val="000C18CB"/>
    <w:rsid w:val="000C3165"/>
    <w:rsid w:val="000C4262"/>
    <w:rsid w:val="000C5981"/>
    <w:rsid w:val="000C63E3"/>
    <w:rsid w:val="000C78C3"/>
    <w:rsid w:val="000D1CB6"/>
    <w:rsid w:val="000D24A0"/>
    <w:rsid w:val="000D3507"/>
    <w:rsid w:val="000D37F2"/>
    <w:rsid w:val="000D4348"/>
    <w:rsid w:val="000D51C4"/>
    <w:rsid w:val="000D67F0"/>
    <w:rsid w:val="000E008A"/>
    <w:rsid w:val="000E0F24"/>
    <w:rsid w:val="000E2397"/>
    <w:rsid w:val="000E35A7"/>
    <w:rsid w:val="000E4499"/>
    <w:rsid w:val="000F43E0"/>
    <w:rsid w:val="000F5BA2"/>
    <w:rsid w:val="000F736D"/>
    <w:rsid w:val="000F7C48"/>
    <w:rsid w:val="000F7E7D"/>
    <w:rsid w:val="001027B9"/>
    <w:rsid w:val="00102CC0"/>
    <w:rsid w:val="001033A2"/>
    <w:rsid w:val="00104104"/>
    <w:rsid w:val="00104B4A"/>
    <w:rsid w:val="00104CE9"/>
    <w:rsid w:val="00105668"/>
    <w:rsid w:val="00107C5C"/>
    <w:rsid w:val="00111788"/>
    <w:rsid w:val="00111D87"/>
    <w:rsid w:val="0011284F"/>
    <w:rsid w:val="001133FE"/>
    <w:rsid w:val="00113757"/>
    <w:rsid w:val="00114B4B"/>
    <w:rsid w:val="00117F8B"/>
    <w:rsid w:val="00122D6F"/>
    <w:rsid w:val="00123B28"/>
    <w:rsid w:val="0012731F"/>
    <w:rsid w:val="00132792"/>
    <w:rsid w:val="00132F2B"/>
    <w:rsid w:val="00135E73"/>
    <w:rsid w:val="00136A48"/>
    <w:rsid w:val="00136D15"/>
    <w:rsid w:val="00142D86"/>
    <w:rsid w:val="001441DD"/>
    <w:rsid w:val="0014498C"/>
    <w:rsid w:val="00147192"/>
    <w:rsid w:val="001520EF"/>
    <w:rsid w:val="0015238B"/>
    <w:rsid w:val="00155DA0"/>
    <w:rsid w:val="00156DBF"/>
    <w:rsid w:val="00160228"/>
    <w:rsid w:val="00160A69"/>
    <w:rsid w:val="00162360"/>
    <w:rsid w:val="00167F8D"/>
    <w:rsid w:val="00172D72"/>
    <w:rsid w:val="00174B34"/>
    <w:rsid w:val="00176361"/>
    <w:rsid w:val="00176FE5"/>
    <w:rsid w:val="001773B1"/>
    <w:rsid w:val="001810F4"/>
    <w:rsid w:val="00182CB0"/>
    <w:rsid w:val="001844C7"/>
    <w:rsid w:val="001856F7"/>
    <w:rsid w:val="00185AD8"/>
    <w:rsid w:val="00185C73"/>
    <w:rsid w:val="00186CE4"/>
    <w:rsid w:val="0018754C"/>
    <w:rsid w:val="00191E1B"/>
    <w:rsid w:val="0019240F"/>
    <w:rsid w:val="00192C0A"/>
    <w:rsid w:val="00192D1E"/>
    <w:rsid w:val="001948D7"/>
    <w:rsid w:val="00195FC7"/>
    <w:rsid w:val="00196991"/>
    <w:rsid w:val="00197618"/>
    <w:rsid w:val="001A024E"/>
    <w:rsid w:val="001A0BB5"/>
    <w:rsid w:val="001A15AD"/>
    <w:rsid w:val="001B0258"/>
    <w:rsid w:val="001B14AB"/>
    <w:rsid w:val="001B15EA"/>
    <w:rsid w:val="001B6025"/>
    <w:rsid w:val="001C1E97"/>
    <w:rsid w:val="001C376A"/>
    <w:rsid w:val="001C3ECC"/>
    <w:rsid w:val="001C4B5B"/>
    <w:rsid w:val="001C4C54"/>
    <w:rsid w:val="001C4CFD"/>
    <w:rsid w:val="001C59C6"/>
    <w:rsid w:val="001C5CB6"/>
    <w:rsid w:val="001D1E46"/>
    <w:rsid w:val="001D2608"/>
    <w:rsid w:val="001D7CE8"/>
    <w:rsid w:val="001E0425"/>
    <w:rsid w:val="001E1641"/>
    <w:rsid w:val="001E20ED"/>
    <w:rsid w:val="001E23DE"/>
    <w:rsid w:val="001E5A3B"/>
    <w:rsid w:val="001E5E9E"/>
    <w:rsid w:val="001E665A"/>
    <w:rsid w:val="001F0384"/>
    <w:rsid w:val="001F0841"/>
    <w:rsid w:val="001F2520"/>
    <w:rsid w:val="001F3C94"/>
    <w:rsid w:val="001F3D21"/>
    <w:rsid w:val="00200260"/>
    <w:rsid w:val="00200395"/>
    <w:rsid w:val="002044EE"/>
    <w:rsid w:val="00205A05"/>
    <w:rsid w:val="00207B55"/>
    <w:rsid w:val="002131D6"/>
    <w:rsid w:val="00215842"/>
    <w:rsid w:val="0021633A"/>
    <w:rsid w:val="0022111D"/>
    <w:rsid w:val="00222AB0"/>
    <w:rsid w:val="0022345E"/>
    <w:rsid w:val="00224B2C"/>
    <w:rsid w:val="002266D1"/>
    <w:rsid w:val="00226A24"/>
    <w:rsid w:val="00227D05"/>
    <w:rsid w:val="002306CE"/>
    <w:rsid w:val="00230812"/>
    <w:rsid w:val="002311E4"/>
    <w:rsid w:val="002326B8"/>
    <w:rsid w:val="00241BAF"/>
    <w:rsid w:val="00247593"/>
    <w:rsid w:val="0025035D"/>
    <w:rsid w:val="00250B64"/>
    <w:rsid w:val="00250B94"/>
    <w:rsid w:val="00251807"/>
    <w:rsid w:val="00252394"/>
    <w:rsid w:val="0025508B"/>
    <w:rsid w:val="002575BA"/>
    <w:rsid w:val="00257DD6"/>
    <w:rsid w:val="002668AF"/>
    <w:rsid w:val="002745B3"/>
    <w:rsid w:val="00280797"/>
    <w:rsid w:val="00281833"/>
    <w:rsid w:val="00282CAD"/>
    <w:rsid w:val="002841C1"/>
    <w:rsid w:val="00285E9F"/>
    <w:rsid w:val="00287E4D"/>
    <w:rsid w:val="00290998"/>
    <w:rsid w:val="00293D17"/>
    <w:rsid w:val="0029775C"/>
    <w:rsid w:val="002A1BFA"/>
    <w:rsid w:val="002A250A"/>
    <w:rsid w:val="002A26D3"/>
    <w:rsid w:val="002A3B6A"/>
    <w:rsid w:val="002A4593"/>
    <w:rsid w:val="002A5074"/>
    <w:rsid w:val="002A78F2"/>
    <w:rsid w:val="002B597C"/>
    <w:rsid w:val="002C154E"/>
    <w:rsid w:val="002C1735"/>
    <w:rsid w:val="002C6473"/>
    <w:rsid w:val="002C6C32"/>
    <w:rsid w:val="002C7A18"/>
    <w:rsid w:val="002D1816"/>
    <w:rsid w:val="002D3828"/>
    <w:rsid w:val="002D3AEB"/>
    <w:rsid w:val="002D3BBA"/>
    <w:rsid w:val="002D4321"/>
    <w:rsid w:val="002D538C"/>
    <w:rsid w:val="002D5907"/>
    <w:rsid w:val="002D6AD5"/>
    <w:rsid w:val="002E1ACB"/>
    <w:rsid w:val="002E5F51"/>
    <w:rsid w:val="002E640A"/>
    <w:rsid w:val="002F408F"/>
    <w:rsid w:val="002F4DAD"/>
    <w:rsid w:val="002F6D23"/>
    <w:rsid w:val="002F78AA"/>
    <w:rsid w:val="00300BB1"/>
    <w:rsid w:val="00304289"/>
    <w:rsid w:val="0030428A"/>
    <w:rsid w:val="00304349"/>
    <w:rsid w:val="003046AD"/>
    <w:rsid w:val="0031198D"/>
    <w:rsid w:val="00311F2D"/>
    <w:rsid w:val="0031215F"/>
    <w:rsid w:val="003146AE"/>
    <w:rsid w:val="00316A03"/>
    <w:rsid w:val="0032214E"/>
    <w:rsid w:val="00324379"/>
    <w:rsid w:val="003244C2"/>
    <w:rsid w:val="003254E5"/>
    <w:rsid w:val="00326F41"/>
    <w:rsid w:val="00330CE1"/>
    <w:rsid w:val="0033599A"/>
    <w:rsid w:val="00335A5D"/>
    <w:rsid w:val="00336E8E"/>
    <w:rsid w:val="00337455"/>
    <w:rsid w:val="00340A18"/>
    <w:rsid w:val="00341010"/>
    <w:rsid w:val="00342033"/>
    <w:rsid w:val="0034309E"/>
    <w:rsid w:val="0034566C"/>
    <w:rsid w:val="00346DE3"/>
    <w:rsid w:val="0034720B"/>
    <w:rsid w:val="00347B82"/>
    <w:rsid w:val="00350333"/>
    <w:rsid w:val="00351269"/>
    <w:rsid w:val="003521E1"/>
    <w:rsid w:val="0035579D"/>
    <w:rsid w:val="00356FD2"/>
    <w:rsid w:val="00357F87"/>
    <w:rsid w:val="00360D3B"/>
    <w:rsid w:val="00362EF1"/>
    <w:rsid w:val="00367E1C"/>
    <w:rsid w:val="00371E31"/>
    <w:rsid w:val="00373566"/>
    <w:rsid w:val="00374464"/>
    <w:rsid w:val="00375387"/>
    <w:rsid w:val="00376350"/>
    <w:rsid w:val="003810C0"/>
    <w:rsid w:val="0038120C"/>
    <w:rsid w:val="003860E1"/>
    <w:rsid w:val="003875B2"/>
    <w:rsid w:val="00387C4E"/>
    <w:rsid w:val="00387DDC"/>
    <w:rsid w:val="0039159B"/>
    <w:rsid w:val="00391C77"/>
    <w:rsid w:val="00393478"/>
    <w:rsid w:val="003951FA"/>
    <w:rsid w:val="003A1760"/>
    <w:rsid w:val="003A260C"/>
    <w:rsid w:val="003A474B"/>
    <w:rsid w:val="003A6176"/>
    <w:rsid w:val="003A7304"/>
    <w:rsid w:val="003A7F14"/>
    <w:rsid w:val="003B0339"/>
    <w:rsid w:val="003B05C4"/>
    <w:rsid w:val="003B0AF0"/>
    <w:rsid w:val="003B0B2B"/>
    <w:rsid w:val="003B2B70"/>
    <w:rsid w:val="003B32A4"/>
    <w:rsid w:val="003B34AA"/>
    <w:rsid w:val="003B734C"/>
    <w:rsid w:val="003B7839"/>
    <w:rsid w:val="003B785D"/>
    <w:rsid w:val="003C2915"/>
    <w:rsid w:val="003C31F0"/>
    <w:rsid w:val="003C4B78"/>
    <w:rsid w:val="003C5CA8"/>
    <w:rsid w:val="003C6375"/>
    <w:rsid w:val="003C6538"/>
    <w:rsid w:val="003D055E"/>
    <w:rsid w:val="003D16BF"/>
    <w:rsid w:val="003D5CF6"/>
    <w:rsid w:val="003D706D"/>
    <w:rsid w:val="003D73FA"/>
    <w:rsid w:val="003E00AD"/>
    <w:rsid w:val="003E0937"/>
    <w:rsid w:val="003E1E22"/>
    <w:rsid w:val="003E21BF"/>
    <w:rsid w:val="003F1088"/>
    <w:rsid w:val="003F1BE9"/>
    <w:rsid w:val="00403665"/>
    <w:rsid w:val="004053E1"/>
    <w:rsid w:val="0040595F"/>
    <w:rsid w:val="0041043E"/>
    <w:rsid w:val="00411D39"/>
    <w:rsid w:val="00414051"/>
    <w:rsid w:val="00414DD1"/>
    <w:rsid w:val="004160E1"/>
    <w:rsid w:val="004229B0"/>
    <w:rsid w:val="00422FCD"/>
    <w:rsid w:val="0042555D"/>
    <w:rsid w:val="00427805"/>
    <w:rsid w:val="00430837"/>
    <w:rsid w:val="004317A2"/>
    <w:rsid w:val="0043599A"/>
    <w:rsid w:val="00440AF5"/>
    <w:rsid w:val="004450CB"/>
    <w:rsid w:val="00446324"/>
    <w:rsid w:val="00447CC4"/>
    <w:rsid w:val="004502B5"/>
    <w:rsid w:val="004528F5"/>
    <w:rsid w:val="00455348"/>
    <w:rsid w:val="00455A07"/>
    <w:rsid w:val="00456E4E"/>
    <w:rsid w:val="00460BC2"/>
    <w:rsid w:val="00466F83"/>
    <w:rsid w:val="004717BE"/>
    <w:rsid w:val="00473CAE"/>
    <w:rsid w:val="00474623"/>
    <w:rsid w:val="004760F2"/>
    <w:rsid w:val="00477E00"/>
    <w:rsid w:val="004819B2"/>
    <w:rsid w:val="00487B57"/>
    <w:rsid w:val="00490D6A"/>
    <w:rsid w:val="00492771"/>
    <w:rsid w:val="004957D9"/>
    <w:rsid w:val="004A1A88"/>
    <w:rsid w:val="004A26D5"/>
    <w:rsid w:val="004A7BF9"/>
    <w:rsid w:val="004B09C4"/>
    <w:rsid w:val="004B3AF2"/>
    <w:rsid w:val="004B53B2"/>
    <w:rsid w:val="004C2BD2"/>
    <w:rsid w:val="004C51F2"/>
    <w:rsid w:val="004C637B"/>
    <w:rsid w:val="004D258E"/>
    <w:rsid w:val="004D47C2"/>
    <w:rsid w:val="004D4E92"/>
    <w:rsid w:val="004D6354"/>
    <w:rsid w:val="004D66E7"/>
    <w:rsid w:val="004E0744"/>
    <w:rsid w:val="004E1C60"/>
    <w:rsid w:val="004E2FB7"/>
    <w:rsid w:val="004E360F"/>
    <w:rsid w:val="004E3799"/>
    <w:rsid w:val="004E56C5"/>
    <w:rsid w:val="004F04B4"/>
    <w:rsid w:val="004F04CB"/>
    <w:rsid w:val="004F1C44"/>
    <w:rsid w:val="004F5B3C"/>
    <w:rsid w:val="004F5CB5"/>
    <w:rsid w:val="005009BA"/>
    <w:rsid w:val="0051214C"/>
    <w:rsid w:val="005132D6"/>
    <w:rsid w:val="00520D2D"/>
    <w:rsid w:val="005211C2"/>
    <w:rsid w:val="00522FB3"/>
    <w:rsid w:val="00523438"/>
    <w:rsid w:val="00525DD5"/>
    <w:rsid w:val="005314FC"/>
    <w:rsid w:val="00532429"/>
    <w:rsid w:val="00533FE3"/>
    <w:rsid w:val="00535C43"/>
    <w:rsid w:val="00536CCB"/>
    <w:rsid w:val="00540BC5"/>
    <w:rsid w:val="0054301D"/>
    <w:rsid w:val="00544151"/>
    <w:rsid w:val="005444DA"/>
    <w:rsid w:val="00545E50"/>
    <w:rsid w:val="00547041"/>
    <w:rsid w:val="00547563"/>
    <w:rsid w:val="005501EB"/>
    <w:rsid w:val="00550A29"/>
    <w:rsid w:val="00556485"/>
    <w:rsid w:val="00557450"/>
    <w:rsid w:val="005648D5"/>
    <w:rsid w:val="00565D2C"/>
    <w:rsid w:val="00566F00"/>
    <w:rsid w:val="0056726B"/>
    <w:rsid w:val="00571972"/>
    <w:rsid w:val="00572958"/>
    <w:rsid w:val="005731A9"/>
    <w:rsid w:val="00574C8E"/>
    <w:rsid w:val="005812F3"/>
    <w:rsid w:val="0058305A"/>
    <w:rsid w:val="005846DD"/>
    <w:rsid w:val="00584AD6"/>
    <w:rsid w:val="00584C27"/>
    <w:rsid w:val="00586012"/>
    <w:rsid w:val="005867DB"/>
    <w:rsid w:val="00590B92"/>
    <w:rsid w:val="00593148"/>
    <w:rsid w:val="005955D6"/>
    <w:rsid w:val="005A0742"/>
    <w:rsid w:val="005A25C9"/>
    <w:rsid w:val="005A2F46"/>
    <w:rsid w:val="005A6A6E"/>
    <w:rsid w:val="005B0442"/>
    <w:rsid w:val="005B11A1"/>
    <w:rsid w:val="005B191A"/>
    <w:rsid w:val="005B1AC6"/>
    <w:rsid w:val="005B1E63"/>
    <w:rsid w:val="005B24D0"/>
    <w:rsid w:val="005B4D10"/>
    <w:rsid w:val="005B4D6A"/>
    <w:rsid w:val="005B55AE"/>
    <w:rsid w:val="005B587C"/>
    <w:rsid w:val="005B660F"/>
    <w:rsid w:val="005B67D0"/>
    <w:rsid w:val="005C2C71"/>
    <w:rsid w:val="005C383C"/>
    <w:rsid w:val="005C4C12"/>
    <w:rsid w:val="005C54C9"/>
    <w:rsid w:val="005C7601"/>
    <w:rsid w:val="005D28FD"/>
    <w:rsid w:val="005D407A"/>
    <w:rsid w:val="005D4E31"/>
    <w:rsid w:val="005D62BF"/>
    <w:rsid w:val="005E11A8"/>
    <w:rsid w:val="005E22CF"/>
    <w:rsid w:val="005F0FD9"/>
    <w:rsid w:val="005F17B5"/>
    <w:rsid w:val="005F1806"/>
    <w:rsid w:val="005F29C2"/>
    <w:rsid w:val="005F32D8"/>
    <w:rsid w:val="005F443A"/>
    <w:rsid w:val="005F55FD"/>
    <w:rsid w:val="00602470"/>
    <w:rsid w:val="00603814"/>
    <w:rsid w:val="00603FAE"/>
    <w:rsid w:val="00605874"/>
    <w:rsid w:val="006067DB"/>
    <w:rsid w:val="00606FEF"/>
    <w:rsid w:val="006077E2"/>
    <w:rsid w:val="0061733A"/>
    <w:rsid w:val="00620107"/>
    <w:rsid w:val="00624EF9"/>
    <w:rsid w:val="0062543F"/>
    <w:rsid w:val="00634691"/>
    <w:rsid w:val="006361D4"/>
    <w:rsid w:val="00636588"/>
    <w:rsid w:val="00640365"/>
    <w:rsid w:val="00644BFB"/>
    <w:rsid w:val="00646EB7"/>
    <w:rsid w:val="00647418"/>
    <w:rsid w:val="0065007D"/>
    <w:rsid w:val="00654719"/>
    <w:rsid w:val="00654804"/>
    <w:rsid w:val="00655BF8"/>
    <w:rsid w:val="0065695D"/>
    <w:rsid w:val="00657D64"/>
    <w:rsid w:val="006600B1"/>
    <w:rsid w:val="00661351"/>
    <w:rsid w:val="00663669"/>
    <w:rsid w:val="00663B2E"/>
    <w:rsid w:val="00664187"/>
    <w:rsid w:val="006656D2"/>
    <w:rsid w:val="0067272C"/>
    <w:rsid w:val="00672CE1"/>
    <w:rsid w:val="0067723A"/>
    <w:rsid w:val="00682BE9"/>
    <w:rsid w:val="00683B06"/>
    <w:rsid w:val="00686377"/>
    <w:rsid w:val="006900E9"/>
    <w:rsid w:val="00694738"/>
    <w:rsid w:val="00695A08"/>
    <w:rsid w:val="006A2038"/>
    <w:rsid w:val="006A2F34"/>
    <w:rsid w:val="006A3B6A"/>
    <w:rsid w:val="006A4220"/>
    <w:rsid w:val="006A4822"/>
    <w:rsid w:val="006A5CDF"/>
    <w:rsid w:val="006A5FAE"/>
    <w:rsid w:val="006A749F"/>
    <w:rsid w:val="006A7823"/>
    <w:rsid w:val="006B05EB"/>
    <w:rsid w:val="006B2CE1"/>
    <w:rsid w:val="006B3B07"/>
    <w:rsid w:val="006B3BB0"/>
    <w:rsid w:val="006B5C46"/>
    <w:rsid w:val="006C12BF"/>
    <w:rsid w:val="006C301E"/>
    <w:rsid w:val="006C339B"/>
    <w:rsid w:val="006C3D19"/>
    <w:rsid w:val="006C434D"/>
    <w:rsid w:val="006C47FB"/>
    <w:rsid w:val="006C4B4A"/>
    <w:rsid w:val="006C6E9E"/>
    <w:rsid w:val="006C7644"/>
    <w:rsid w:val="006D0B60"/>
    <w:rsid w:val="006D24E3"/>
    <w:rsid w:val="006D258C"/>
    <w:rsid w:val="006D2AED"/>
    <w:rsid w:val="006D43F6"/>
    <w:rsid w:val="006D5183"/>
    <w:rsid w:val="006D5B74"/>
    <w:rsid w:val="006D6517"/>
    <w:rsid w:val="006D6FF8"/>
    <w:rsid w:val="006E05CD"/>
    <w:rsid w:val="006E57A4"/>
    <w:rsid w:val="006F01F0"/>
    <w:rsid w:val="006F10B0"/>
    <w:rsid w:val="006F56A3"/>
    <w:rsid w:val="0071208B"/>
    <w:rsid w:val="00712319"/>
    <w:rsid w:val="0071472B"/>
    <w:rsid w:val="00716CF6"/>
    <w:rsid w:val="00721227"/>
    <w:rsid w:val="007223CC"/>
    <w:rsid w:val="00724E65"/>
    <w:rsid w:val="007251B9"/>
    <w:rsid w:val="00725FB9"/>
    <w:rsid w:val="0072789F"/>
    <w:rsid w:val="00730D2D"/>
    <w:rsid w:val="0073251A"/>
    <w:rsid w:val="00732944"/>
    <w:rsid w:val="00734AC4"/>
    <w:rsid w:val="0073524E"/>
    <w:rsid w:val="00736730"/>
    <w:rsid w:val="007433D3"/>
    <w:rsid w:val="0074366F"/>
    <w:rsid w:val="00745066"/>
    <w:rsid w:val="00745B02"/>
    <w:rsid w:val="0074637E"/>
    <w:rsid w:val="00746467"/>
    <w:rsid w:val="007534AE"/>
    <w:rsid w:val="00755F6F"/>
    <w:rsid w:val="007568B1"/>
    <w:rsid w:val="00756C03"/>
    <w:rsid w:val="00761917"/>
    <w:rsid w:val="00763CC4"/>
    <w:rsid w:val="00767254"/>
    <w:rsid w:val="00770996"/>
    <w:rsid w:val="0077130F"/>
    <w:rsid w:val="00772A80"/>
    <w:rsid w:val="00772E4F"/>
    <w:rsid w:val="00773AF0"/>
    <w:rsid w:val="00775743"/>
    <w:rsid w:val="0077762C"/>
    <w:rsid w:val="0078718A"/>
    <w:rsid w:val="00787DB8"/>
    <w:rsid w:val="00792553"/>
    <w:rsid w:val="00793129"/>
    <w:rsid w:val="007968F3"/>
    <w:rsid w:val="007A2D3D"/>
    <w:rsid w:val="007A4354"/>
    <w:rsid w:val="007A4EA4"/>
    <w:rsid w:val="007A70EA"/>
    <w:rsid w:val="007B07C3"/>
    <w:rsid w:val="007B16CF"/>
    <w:rsid w:val="007B1E02"/>
    <w:rsid w:val="007B7855"/>
    <w:rsid w:val="007C08A0"/>
    <w:rsid w:val="007C3433"/>
    <w:rsid w:val="007C4F5D"/>
    <w:rsid w:val="007C565C"/>
    <w:rsid w:val="007D0283"/>
    <w:rsid w:val="007D4DDB"/>
    <w:rsid w:val="007D6933"/>
    <w:rsid w:val="007E1E5C"/>
    <w:rsid w:val="007E56DB"/>
    <w:rsid w:val="007E764B"/>
    <w:rsid w:val="007F27E4"/>
    <w:rsid w:val="007F3265"/>
    <w:rsid w:val="007F3B1C"/>
    <w:rsid w:val="0080056B"/>
    <w:rsid w:val="008036EA"/>
    <w:rsid w:val="008041BD"/>
    <w:rsid w:val="0080585C"/>
    <w:rsid w:val="00805C66"/>
    <w:rsid w:val="00812E7B"/>
    <w:rsid w:val="00813D62"/>
    <w:rsid w:val="008165D2"/>
    <w:rsid w:val="00817BEC"/>
    <w:rsid w:val="008204CC"/>
    <w:rsid w:val="0082177D"/>
    <w:rsid w:val="00822C27"/>
    <w:rsid w:val="008237CD"/>
    <w:rsid w:val="00823EB4"/>
    <w:rsid w:val="00827D64"/>
    <w:rsid w:val="008327A6"/>
    <w:rsid w:val="008349A4"/>
    <w:rsid w:val="00840F25"/>
    <w:rsid w:val="00841970"/>
    <w:rsid w:val="00841E82"/>
    <w:rsid w:val="00842550"/>
    <w:rsid w:val="0084260C"/>
    <w:rsid w:val="00842DB9"/>
    <w:rsid w:val="008438FB"/>
    <w:rsid w:val="00845C49"/>
    <w:rsid w:val="008468A1"/>
    <w:rsid w:val="008470BC"/>
    <w:rsid w:val="00856091"/>
    <w:rsid w:val="00856787"/>
    <w:rsid w:val="00863358"/>
    <w:rsid w:val="00865866"/>
    <w:rsid w:val="00867A6D"/>
    <w:rsid w:val="008727BE"/>
    <w:rsid w:val="00875F54"/>
    <w:rsid w:val="008800D7"/>
    <w:rsid w:val="0088105C"/>
    <w:rsid w:val="00881390"/>
    <w:rsid w:val="00881F01"/>
    <w:rsid w:val="008835A8"/>
    <w:rsid w:val="00890C3E"/>
    <w:rsid w:val="00890C90"/>
    <w:rsid w:val="008925E9"/>
    <w:rsid w:val="008A7E4E"/>
    <w:rsid w:val="008A7FCA"/>
    <w:rsid w:val="008B20D1"/>
    <w:rsid w:val="008B3CBF"/>
    <w:rsid w:val="008B519A"/>
    <w:rsid w:val="008B5487"/>
    <w:rsid w:val="008B5BEC"/>
    <w:rsid w:val="008B6F06"/>
    <w:rsid w:val="008B7235"/>
    <w:rsid w:val="008C0AB6"/>
    <w:rsid w:val="008C287E"/>
    <w:rsid w:val="008C505B"/>
    <w:rsid w:val="008C509B"/>
    <w:rsid w:val="008C52E1"/>
    <w:rsid w:val="008C5466"/>
    <w:rsid w:val="008D1E48"/>
    <w:rsid w:val="008D6C07"/>
    <w:rsid w:val="008D763C"/>
    <w:rsid w:val="008E0F84"/>
    <w:rsid w:val="008E4039"/>
    <w:rsid w:val="008E43B8"/>
    <w:rsid w:val="008E7F07"/>
    <w:rsid w:val="008F1A98"/>
    <w:rsid w:val="008F2E19"/>
    <w:rsid w:val="008F34BC"/>
    <w:rsid w:val="008F4A1A"/>
    <w:rsid w:val="008F5A6B"/>
    <w:rsid w:val="008F6683"/>
    <w:rsid w:val="008F67BA"/>
    <w:rsid w:val="00903434"/>
    <w:rsid w:val="00905082"/>
    <w:rsid w:val="00905355"/>
    <w:rsid w:val="009066CF"/>
    <w:rsid w:val="0090729A"/>
    <w:rsid w:val="009073D9"/>
    <w:rsid w:val="00914DD5"/>
    <w:rsid w:val="00916ABE"/>
    <w:rsid w:val="00916EE8"/>
    <w:rsid w:val="00920A65"/>
    <w:rsid w:val="00920C6F"/>
    <w:rsid w:val="009224E8"/>
    <w:rsid w:val="00923158"/>
    <w:rsid w:val="0092780E"/>
    <w:rsid w:val="009313A6"/>
    <w:rsid w:val="009340D2"/>
    <w:rsid w:val="00942F2D"/>
    <w:rsid w:val="00945097"/>
    <w:rsid w:val="0094522A"/>
    <w:rsid w:val="0094632E"/>
    <w:rsid w:val="00950532"/>
    <w:rsid w:val="00951695"/>
    <w:rsid w:val="009524A5"/>
    <w:rsid w:val="009526F6"/>
    <w:rsid w:val="009538A5"/>
    <w:rsid w:val="00956232"/>
    <w:rsid w:val="0096204F"/>
    <w:rsid w:val="009652A9"/>
    <w:rsid w:val="00965D06"/>
    <w:rsid w:val="00966882"/>
    <w:rsid w:val="00967FCC"/>
    <w:rsid w:val="00971EE5"/>
    <w:rsid w:val="009721AF"/>
    <w:rsid w:val="00974AC5"/>
    <w:rsid w:val="00974D0A"/>
    <w:rsid w:val="0097544F"/>
    <w:rsid w:val="009769BB"/>
    <w:rsid w:val="00976E95"/>
    <w:rsid w:val="00976F7E"/>
    <w:rsid w:val="009776CE"/>
    <w:rsid w:val="0098246B"/>
    <w:rsid w:val="00985D48"/>
    <w:rsid w:val="0098620D"/>
    <w:rsid w:val="009871B3"/>
    <w:rsid w:val="009877E8"/>
    <w:rsid w:val="0099219F"/>
    <w:rsid w:val="0099399E"/>
    <w:rsid w:val="0099424E"/>
    <w:rsid w:val="0099459E"/>
    <w:rsid w:val="00996D71"/>
    <w:rsid w:val="0099790F"/>
    <w:rsid w:val="009A0422"/>
    <w:rsid w:val="009A09FB"/>
    <w:rsid w:val="009A3453"/>
    <w:rsid w:val="009A4084"/>
    <w:rsid w:val="009A7FB7"/>
    <w:rsid w:val="009B0D63"/>
    <w:rsid w:val="009B1581"/>
    <w:rsid w:val="009B1A81"/>
    <w:rsid w:val="009B1F63"/>
    <w:rsid w:val="009B3966"/>
    <w:rsid w:val="009B47B0"/>
    <w:rsid w:val="009B47B9"/>
    <w:rsid w:val="009B670E"/>
    <w:rsid w:val="009C0151"/>
    <w:rsid w:val="009C034C"/>
    <w:rsid w:val="009C3247"/>
    <w:rsid w:val="009C4DEF"/>
    <w:rsid w:val="009C6069"/>
    <w:rsid w:val="009D08DC"/>
    <w:rsid w:val="009D2083"/>
    <w:rsid w:val="009D2D92"/>
    <w:rsid w:val="009D3A1D"/>
    <w:rsid w:val="009D4EC5"/>
    <w:rsid w:val="009D62BE"/>
    <w:rsid w:val="009E257B"/>
    <w:rsid w:val="009E6FFE"/>
    <w:rsid w:val="009F0F9D"/>
    <w:rsid w:val="009F3B2E"/>
    <w:rsid w:val="009F44C3"/>
    <w:rsid w:val="009F6625"/>
    <w:rsid w:val="009F6B28"/>
    <w:rsid w:val="009F6E95"/>
    <w:rsid w:val="009F7434"/>
    <w:rsid w:val="00A02216"/>
    <w:rsid w:val="00A0598B"/>
    <w:rsid w:val="00A07343"/>
    <w:rsid w:val="00A10308"/>
    <w:rsid w:val="00A117C2"/>
    <w:rsid w:val="00A1310A"/>
    <w:rsid w:val="00A14852"/>
    <w:rsid w:val="00A17E7B"/>
    <w:rsid w:val="00A20467"/>
    <w:rsid w:val="00A205A2"/>
    <w:rsid w:val="00A227F5"/>
    <w:rsid w:val="00A22DCE"/>
    <w:rsid w:val="00A2496E"/>
    <w:rsid w:val="00A30CA3"/>
    <w:rsid w:val="00A313B8"/>
    <w:rsid w:val="00A32054"/>
    <w:rsid w:val="00A339D6"/>
    <w:rsid w:val="00A35576"/>
    <w:rsid w:val="00A366C6"/>
    <w:rsid w:val="00A37158"/>
    <w:rsid w:val="00A4386E"/>
    <w:rsid w:val="00A43F94"/>
    <w:rsid w:val="00A44F2C"/>
    <w:rsid w:val="00A4510E"/>
    <w:rsid w:val="00A46577"/>
    <w:rsid w:val="00A46904"/>
    <w:rsid w:val="00A5341C"/>
    <w:rsid w:val="00A54307"/>
    <w:rsid w:val="00A550F0"/>
    <w:rsid w:val="00A620A9"/>
    <w:rsid w:val="00A6294D"/>
    <w:rsid w:val="00A6327D"/>
    <w:rsid w:val="00A66046"/>
    <w:rsid w:val="00A66AF1"/>
    <w:rsid w:val="00A66F65"/>
    <w:rsid w:val="00A676E6"/>
    <w:rsid w:val="00A74183"/>
    <w:rsid w:val="00A7426C"/>
    <w:rsid w:val="00A74F4A"/>
    <w:rsid w:val="00A767AC"/>
    <w:rsid w:val="00A7741D"/>
    <w:rsid w:val="00A77F7F"/>
    <w:rsid w:val="00A865FE"/>
    <w:rsid w:val="00A86AB7"/>
    <w:rsid w:val="00A86FD1"/>
    <w:rsid w:val="00A91135"/>
    <w:rsid w:val="00A9135E"/>
    <w:rsid w:val="00A92C16"/>
    <w:rsid w:val="00A9335E"/>
    <w:rsid w:val="00A93A45"/>
    <w:rsid w:val="00A97D06"/>
    <w:rsid w:val="00AA0BF0"/>
    <w:rsid w:val="00AA5291"/>
    <w:rsid w:val="00AA5DCD"/>
    <w:rsid w:val="00AA6781"/>
    <w:rsid w:val="00AA759E"/>
    <w:rsid w:val="00AA7BDC"/>
    <w:rsid w:val="00AB0422"/>
    <w:rsid w:val="00AB09F7"/>
    <w:rsid w:val="00AB0B85"/>
    <w:rsid w:val="00AB1794"/>
    <w:rsid w:val="00AB2B9F"/>
    <w:rsid w:val="00AB3490"/>
    <w:rsid w:val="00AB3F88"/>
    <w:rsid w:val="00AB4029"/>
    <w:rsid w:val="00AB44DC"/>
    <w:rsid w:val="00AB5AD9"/>
    <w:rsid w:val="00AB6279"/>
    <w:rsid w:val="00AB6D91"/>
    <w:rsid w:val="00AC309F"/>
    <w:rsid w:val="00AC50DE"/>
    <w:rsid w:val="00AC5F7E"/>
    <w:rsid w:val="00AD093F"/>
    <w:rsid w:val="00AD1123"/>
    <w:rsid w:val="00AD2030"/>
    <w:rsid w:val="00AD237D"/>
    <w:rsid w:val="00AD3A31"/>
    <w:rsid w:val="00AD59C8"/>
    <w:rsid w:val="00AD5F61"/>
    <w:rsid w:val="00AD6099"/>
    <w:rsid w:val="00AE0C7D"/>
    <w:rsid w:val="00AE253F"/>
    <w:rsid w:val="00AE5226"/>
    <w:rsid w:val="00AE73F5"/>
    <w:rsid w:val="00AE7643"/>
    <w:rsid w:val="00AF14BB"/>
    <w:rsid w:val="00AF1FC6"/>
    <w:rsid w:val="00AF3EEB"/>
    <w:rsid w:val="00AF5B71"/>
    <w:rsid w:val="00AF6CA7"/>
    <w:rsid w:val="00AF7006"/>
    <w:rsid w:val="00AF7316"/>
    <w:rsid w:val="00AF7DDF"/>
    <w:rsid w:val="00B03E10"/>
    <w:rsid w:val="00B04CA4"/>
    <w:rsid w:val="00B110E0"/>
    <w:rsid w:val="00B11B12"/>
    <w:rsid w:val="00B16F21"/>
    <w:rsid w:val="00B17307"/>
    <w:rsid w:val="00B22C27"/>
    <w:rsid w:val="00B26991"/>
    <w:rsid w:val="00B308A5"/>
    <w:rsid w:val="00B33818"/>
    <w:rsid w:val="00B34C82"/>
    <w:rsid w:val="00B35B40"/>
    <w:rsid w:val="00B403AD"/>
    <w:rsid w:val="00B42E3C"/>
    <w:rsid w:val="00B43BF3"/>
    <w:rsid w:val="00B452ED"/>
    <w:rsid w:val="00B501AD"/>
    <w:rsid w:val="00B55D97"/>
    <w:rsid w:val="00B55F5F"/>
    <w:rsid w:val="00B56383"/>
    <w:rsid w:val="00B57685"/>
    <w:rsid w:val="00B579F9"/>
    <w:rsid w:val="00B619B7"/>
    <w:rsid w:val="00B6423D"/>
    <w:rsid w:val="00B6429B"/>
    <w:rsid w:val="00B659F9"/>
    <w:rsid w:val="00B66361"/>
    <w:rsid w:val="00B66990"/>
    <w:rsid w:val="00B66E3C"/>
    <w:rsid w:val="00B705B6"/>
    <w:rsid w:val="00B7063C"/>
    <w:rsid w:val="00B711D2"/>
    <w:rsid w:val="00B76A06"/>
    <w:rsid w:val="00B814C5"/>
    <w:rsid w:val="00B81746"/>
    <w:rsid w:val="00B82392"/>
    <w:rsid w:val="00B83335"/>
    <w:rsid w:val="00B878FB"/>
    <w:rsid w:val="00B87D74"/>
    <w:rsid w:val="00B87E38"/>
    <w:rsid w:val="00B90940"/>
    <w:rsid w:val="00B90E7F"/>
    <w:rsid w:val="00B91A47"/>
    <w:rsid w:val="00B92148"/>
    <w:rsid w:val="00B95084"/>
    <w:rsid w:val="00B9753A"/>
    <w:rsid w:val="00BA2194"/>
    <w:rsid w:val="00BA31C6"/>
    <w:rsid w:val="00BA424D"/>
    <w:rsid w:val="00BA4535"/>
    <w:rsid w:val="00BB028F"/>
    <w:rsid w:val="00BB67B4"/>
    <w:rsid w:val="00BB73EC"/>
    <w:rsid w:val="00BB7ED3"/>
    <w:rsid w:val="00BC0CAF"/>
    <w:rsid w:val="00BC0EB2"/>
    <w:rsid w:val="00BC30CB"/>
    <w:rsid w:val="00BC38D9"/>
    <w:rsid w:val="00BC5582"/>
    <w:rsid w:val="00BC591E"/>
    <w:rsid w:val="00BD262B"/>
    <w:rsid w:val="00BD4615"/>
    <w:rsid w:val="00BD4CBF"/>
    <w:rsid w:val="00BD6707"/>
    <w:rsid w:val="00BD7263"/>
    <w:rsid w:val="00BD73C3"/>
    <w:rsid w:val="00BD7840"/>
    <w:rsid w:val="00BE5810"/>
    <w:rsid w:val="00BE5AAE"/>
    <w:rsid w:val="00BE5B83"/>
    <w:rsid w:val="00BE608D"/>
    <w:rsid w:val="00BE69A1"/>
    <w:rsid w:val="00BF07A6"/>
    <w:rsid w:val="00BF1D04"/>
    <w:rsid w:val="00BF29C3"/>
    <w:rsid w:val="00BF2C6C"/>
    <w:rsid w:val="00BF2D93"/>
    <w:rsid w:val="00BF3250"/>
    <w:rsid w:val="00BF4B8D"/>
    <w:rsid w:val="00BF5635"/>
    <w:rsid w:val="00BF660D"/>
    <w:rsid w:val="00BF6A3B"/>
    <w:rsid w:val="00C0007B"/>
    <w:rsid w:val="00C015B9"/>
    <w:rsid w:val="00C06D06"/>
    <w:rsid w:val="00C06DBD"/>
    <w:rsid w:val="00C076AD"/>
    <w:rsid w:val="00C101BB"/>
    <w:rsid w:val="00C11135"/>
    <w:rsid w:val="00C11A93"/>
    <w:rsid w:val="00C12679"/>
    <w:rsid w:val="00C14640"/>
    <w:rsid w:val="00C15AF1"/>
    <w:rsid w:val="00C15B00"/>
    <w:rsid w:val="00C15C17"/>
    <w:rsid w:val="00C16657"/>
    <w:rsid w:val="00C170A8"/>
    <w:rsid w:val="00C17B9B"/>
    <w:rsid w:val="00C17FB4"/>
    <w:rsid w:val="00C20817"/>
    <w:rsid w:val="00C21839"/>
    <w:rsid w:val="00C2289F"/>
    <w:rsid w:val="00C22FEC"/>
    <w:rsid w:val="00C23379"/>
    <w:rsid w:val="00C2416F"/>
    <w:rsid w:val="00C247DB"/>
    <w:rsid w:val="00C25550"/>
    <w:rsid w:val="00C27CB3"/>
    <w:rsid w:val="00C301CB"/>
    <w:rsid w:val="00C30D5D"/>
    <w:rsid w:val="00C32EC8"/>
    <w:rsid w:val="00C364B7"/>
    <w:rsid w:val="00C405D0"/>
    <w:rsid w:val="00C40E33"/>
    <w:rsid w:val="00C41A91"/>
    <w:rsid w:val="00C41D7B"/>
    <w:rsid w:val="00C42BF7"/>
    <w:rsid w:val="00C4363C"/>
    <w:rsid w:val="00C43CB5"/>
    <w:rsid w:val="00C43D35"/>
    <w:rsid w:val="00C45C0C"/>
    <w:rsid w:val="00C4684A"/>
    <w:rsid w:val="00C47DAF"/>
    <w:rsid w:val="00C56A3D"/>
    <w:rsid w:val="00C56B78"/>
    <w:rsid w:val="00C615E6"/>
    <w:rsid w:val="00C62014"/>
    <w:rsid w:val="00C62814"/>
    <w:rsid w:val="00C62DE2"/>
    <w:rsid w:val="00C63997"/>
    <w:rsid w:val="00C64F46"/>
    <w:rsid w:val="00C66A33"/>
    <w:rsid w:val="00C7296D"/>
    <w:rsid w:val="00C72A99"/>
    <w:rsid w:val="00C77B01"/>
    <w:rsid w:val="00C81688"/>
    <w:rsid w:val="00C817B9"/>
    <w:rsid w:val="00C82297"/>
    <w:rsid w:val="00C82CAA"/>
    <w:rsid w:val="00C83A44"/>
    <w:rsid w:val="00C84BD3"/>
    <w:rsid w:val="00C86FA5"/>
    <w:rsid w:val="00C90FD9"/>
    <w:rsid w:val="00C91C3E"/>
    <w:rsid w:val="00C91FD1"/>
    <w:rsid w:val="00C921D6"/>
    <w:rsid w:val="00C9315C"/>
    <w:rsid w:val="00C945D4"/>
    <w:rsid w:val="00C96014"/>
    <w:rsid w:val="00C97C15"/>
    <w:rsid w:val="00CA455D"/>
    <w:rsid w:val="00CA7820"/>
    <w:rsid w:val="00CB07A4"/>
    <w:rsid w:val="00CB098E"/>
    <w:rsid w:val="00CB1FA5"/>
    <w:rsid w:val="00CB39FA"/>
    <w:rsid w:val="00CB5676"/>
    <w:rsid w:val="00CB6901"/>
    <w:rsid w:val="00CB6C02"/>
    <w:rsid w:val="00CB72CE"/>
    <w:rsid w:val="00CB7731"/>
    <w:rsid w:val="00CC0B68"/>
    <w:rsid w:val="00CC0EC3"/>
    <w:rsid w:val="00CC1A7C"/>
    <w:rsid w:val="00CC41AC"/>
    <w:rsid w:val="00CC6BB5"/>
    <w:rsid w:val="00CC7DBE"/>
    <w:rsid w:val="00CD01C8"/>
    <w:rsid w:val="00CD2973"/>
    <w:rsid w:val="00CD5ED0"/>
    <w:rsid w:val="00CD6C72"/>
    <w:rsid w:val="00CE01A5"/>
    <w:rsid w:val="00CE0863"/>
    <w:rsid w:val="00CE22D3"/>
    <w:rsid w:val="00CE4208"/>
    <w:rsid w:val="00CE5F5F"/>
    <w:rsid w:val="00CE6B10"/>
    <w:rsid w:val="00CE7185"/>
    <w:rsid w:val="00CF2D04"/>
    <w:rsid w:val="00CF34B1"/>
    <w:rsid w:val="00D01241"/>
    <w:rsid w:val="00D01E1E"/>
    <w:rsid w:val="00D02098"/>
    <w:rsid w:val="00D0395C"/>
    <w:rsid w:val="00D055F6"/>
    <w:rsid w:val="00D100CB"/>
    <w:rsid w:val="00D10D89"/>
    <w:rsid w:val="00D14BFB"/>
    <w:rsid w:val="00D14DF7"/>
    <w:rsid w:val="00D23AA7"/>
    <w:rsid w:val="00D305D4"/>
    <w:rsid w:val="00D30A76"/>
    <w:rsid w:val="00D3357E"/>
    <w:rsid w:val="00D339A5"/>
    <w:rsid w:val="00D33BE0"/>
    <w:rsid w:val="00D37579"/>
    <w:rsid w:val="00D40C89"/>
    <w:rsid w:val="00D4148A"/>
    <w:rsid w:val="00D41FB7"/>
    <w:rsid w:val="00D42D77"/>
    <w:rsid w:val="00D4330D"/>
    <w:rsid w:val="00D435EA"/>
    <w:rsid w:val="00D53F81"/>
    <w:rsid w:val="00D5483D"/>
    <w:rsid w:val="00D57DFB"/>
    <w:rsid w:val="00D638B7"/>
    <w:rsid w:val="00D64681"/>
    <w:rsid w:val="00D66984"/>
    <w:rsid w:val="00D67227"/>
    <w:rsid w:val="00D75C82"/>
    <w:rsid w:val="00D76C41"/>
    <w:rsid w:val="00D77375"/>
    <w:rsid w:val="00D90B8C"/>
    <w:rsid w:val="00D91CF9"/>
    <w:rsid w:val="00D92F9A"/>
    <w:rsid w:val="00D94084"/>
    <w:rsid w:val="00D955A3"/>
    <w:rsid w:val="00D96E9D"/>
    <w:rsid w:val="00D97DAE"/>
    <w:rsid w:val="00DA178A"/>
    <w:rsid w:val="00DA32F0"/>
    <w:rsid w:val="00DA5956"/>
    <w:rsid w:val="00DB0F76"/>
    <w:rsid w:val="00DB125F"/>
    <w:rsid w:val="00DB195D"/>
    <w:rsid w:val="00DB19D7"/>
    <w:rsid w:val="00DB2922"/>
    <w:rsid w:val="00DB3311"/>
    <w:rsid w:val="00DB37E5"/>
    <w:rsid w:val="00DB3BAD"/>
    <w:rsid w:val="00DB4395"/>
    <w:rsid w:val="00DC0633"/>
    <w:rsid w:val="00DC3DE5"/>
    <w:rsid w:val="00DC5AF9"/>
    <w:rsid w:val="00DD0141"/>
    <w:rsid w:val="00DD083B"/>
    <w:rsid w:val="00DD0BC4"/>
    <w:rsid w:val="00DD0EE1"/>
    <w:rsid w:val="00DD3533"/>
    <w:rsid w:val="00DD39CC"/>
    <w:rsid w:val="00DD6ED9"/>
    <w:rsid w:val="00DE0633"/>
    <w:rsid w:val="00DE0DB5"/>
    <w:rsid w:val="00DE370E"/>
    <w:rsid w:val="00DE4CF0"/>
    <w:rsid w:val="00DE60AA"/>
    <w:rsid w:val="00DE7BDE"/>
    <w:rsid w:val="00DF06B7"/>
    <w:rsid w:val="00DF668A"/>
    <w:rsid w:val="00DF758E"/>
    <w:rsid w:val="00E008B1"/>
    <w:rsid w:val="00E00F70"/>
    <w:rsid w:val="00E02C2E"/>
    <w:rsid w:val="00E03325"/>
    <w:rsid w:val="00E0385D"/>
    <w:rsid w:val="00E04668"/>
    <w:rsid w:val="00E063BF"/>
    <w:rsid w:val="00E07FBF"/>
    <w:rsid w:val="00E12AFA"/>
    <w:rsid w:val="00E1325C"/>
    <w:rsid w:val="00E1692D"/>
    <w:rsid w:val="00E16B14"/>
    <w:rsid w:val="00E17077"/>
    <w:rsid w:val="00E20668"/>
    <w:rsid w:val="00E20D0A"/>
    <w:rsid w:val="00E210E1"/>
    <w:rsid w:val="00E2154B"/>
    <w:rsid w:val="00E24099"/>
    <w:rsid w:val="00E2443E"/>
    <w:rsid w:val="00E255A0"/>
    <w:rsid w:val="00E25B4A"/>
    <w:rsid w:val="00E30955"/>
    <w:rsid w:val="00E32A78"/>
    <w:rsid w:val="00E33F9A"/>
    <w:rsid w:val="00E36D74"/>
    <w:rsid w:val="00E40B15"/>
    <w:rsid w:val="00E426A3"/>
    <w:rsid w:val="00E4378D"/>
    <w:rsid w:val="00E4492A"/>
    <w:rsid w:val="00E467EB"/>
    <w:rsid w:val="00E52082"/>
    <w:rsid w:val="00E525E7"/>
    <w:rsid w:val="00E52B46"/>
    <w:rsid w:val="00E54823"/>
    <w:rsid w:val="00E571FE"/>
    <w:rsid w:val="00E617B8"/>
    <w:rsid w:val="00E61DF7"/>
    <w:rsid w:val="00E63730"/>
    <w:rsid w:val="00E63BB3"/>
    <w:rsid w:val="00E67942"/>
    <w:rsid w:val="00E67D97"/>
    <w:rsid w:val="00E67EA3"/>
    <w:rsid w:val="00E71CDF"/>
    <w:rsid w:val="00E74E37"/>
    <w:rsid w:val="00E77971"/>
    <w:rsid w:val="00E81A1A"/>
    <w:rsid w:val="00E82151"/>
    <w:rsid w:val="00E879BE"/>
    <w:rsid w:val="00E87A9C"/>
    <w:rsid w:val="00E87AE1"/>
    <w:rsid w:val="00E91001"/>
    <w:rsid w:val="00E92A15"/>
    <w:rsid w:val="00EA0230"/>
    <w:rsid w:val="00EA26CC"/>
    <w:rsid w:val="00EA4A62"/>
    <w:rsid w:val="00EA720F"/>
    <w:rsid w:val="00EB448E"/>
    <w:rsid w:val="00EC02BF"/>
    <w:rsid w:val="00EC16DD"/>
    <w:rsid w:val="00EC3406"/>
    <w:rsid w:val="00EC6E8B"/>
    <w:rsid w:val="00ED0148"/>
    <w:rsid w:val="00ED0A8A"/>
    <w:rsid w:val="00ED0B44"/>
    <w:rsid w:val="00ED1EC9"/>
    <w:rsid w:val="00ED2120"/>
    <w:rsid w:val="00ED2A18"/>
    <w:rsid w:val="00ED3B8A"/>
    <w:rsid w:val="00ED3E75"/>
    <w:rsid w:val="00ED44E4"/>
    <w:rsid w:val="00ED46EB"/>
    <w:rsid w:val="00ED60BF"/>
    <w:rsid w:val="00ED6C14"/>
    <w:rsid w:val="00EE0CEC"/>
    <w:rsid w:val="00EE1784"/>
    <w:rsid w:val="00EE2307"/>
    <w:rsid w:val="00EE2790"/>
    <w:rsid w:val="00EE2C2A"/>
    <w:rsid w:val="00EE40F6"/>
    <w:rsid w:val="00EE56BA"/>
    <w:rsid w:val="00EE67C6"/>
    <w:rsid w:val="00EE6BD0"/>
    <w:rsid w:val="00EF2635"/>
    <w:rsid w:val="00F03FB2"/>
    <w:rsid w:val="00F04F60"/>
    <w:rsid w:val="00F12A58"/>
    <w:rsid w:val="00F14546"/>
    <w:rsid w:val="00F16762"/>
    <w:rsid w:val="00F179C6"/>
    <w:rsid w:val="00F17A81"/>
    <w:rsid w:val="00F21172"/>
    <w:rsid w:val="00F21D76"/>
    <w:rsid w:val="00F2316F"/>
    <w:rsid w:val="00F23718"/>
    <w:rsid w:val="00F2535D"/>
    <w:rsid w:val="00F255DD"/>
    <w:rsid w:val="00F25788"/>
    <w:rsid w:val="00F260C6"/>
    <w:rsid w:val="00F26433"/>
    <w:rsid w:val="00F264BD"/>
    <w:rsid w:val="00F26AB8"/>
    <w:rsid w:val="00F30220"/>
    <w:rsid w:val="00F30A8D"/>
    <w:rsid w:val="00F30C30"/>
    <w:rsid w:val="00F34171"/>
    <w:rsid w:val="00F342C7"/>
    <w:rsid w:val="00F35AB2"/>
    <w:rsid w:val="00F36CBD"/>
    <w:rsid w:val="00F37200"/>
    <w:rsid w:val="00F4158C"/>
    <w:rsid w:val="00F4197C"/>
    <w:rsid w:val="00F43395"/>
    <w:rsid w:val="00F433D4"/>
    <w:rsid w:val="00F43C0D"/>
    <w:rsid w:val="00F43CBF"/>
    <w:rsid w:val="00F44710"/>
    <w:rsid w:val="00F45374"/>
    <w:rsid w:val="00F46918"/>
    <w:rsid w:val="00F53643"/>
    <w:rsid w:val="00F543AA"/>
    <w:rsid w:val="00F56C78"/>
    <w:rsid w:val="00F57811"/>
    <w:rsid w:val="00F60D54"/>
    <w:rsid w:val="00F6161B"/>
    <w:rsid w:val="00F62423"/>
    <w:rsid w:val="00F64224"/>
    <w:rsid w:val="00F660CF"/>
    <w:rsid w:val="00F66EF0"/>
    <w:rsid w:val="00F700E5"/>
    <w:rsid w:val="00F73305"/>
    <w:rsid w:val="00F73E8A"/>
    <w:rsid w:val="00F75F19"/>
    <w:rsid w:val="00F80E49"/>
    <w:rsid w:val="00F812EF"/>
    <w:rsid w:val="00F813C9"/>
    <w:rsid w:val="00F81C51"/>
    <w:rsid w:val="00F8405A"/>
    <w:rsid w:val="00F906C3"/>
    <w:rsid w:val="00F90A7A"/>
    <w:rsid w:val="00F93B6E"/>
    <w:rsid w:val="00F93BCC"/>
    <w:rsid w:val="00F945C7"/>
    <w:rsid w:val="00F9657B"/>
    <w:rsid w:val="00F978B7"/>
    <w:rsid w:val="00F97E22"/>
    <w:rsid w:val="00FA1627"/>
    <w:rsid w:val="00FA2A13"/>
    <w:rsid w:val="00FA3161"/>
    <w:rsid w:val="00FA32DD"/>
    <w:rsid w:val="00FA3978"/>
    <w:rsid w:val="00FA3C36"/>
    <w:rsid w:val="00FA3CB6"/>
    <w:rsid w:val="00FA53AB"/>
    <w:rsid w:val="00FA798D"/>
    <w:rsid w:val="00FA7BD8"/>
    <w:rsid w:val="00FB0458"/>
    <w:rsid w:val="00FB0EF8"/>
    <w:rsid w:val="00FB2035"/>
    <w:rsid w:val="00FB2A1D"/>
    <w:rsid w:val="00FB2F17"/>
    <w:rsid w:val="00FB6822"/>
    <w:rsid w:val="00FB6DD5"/>
    <w:rsid w:val="00FB741D"/>
    <w:rsid w:val="00FC198C"/>
    <w:rsid w:val="00FC1B88"/>
    <w:rsid w:val="00FC2CD8"/>
    <w:rsid w:val="00FC3440"/>
    <w:rsid w:val="00FC36E4"/>
    <w:rsid w:val="00FC708B"/>
    <w:rsid w:val="00FC76CE"/>
    <w:rsid w:val="00FD04F6"/>
    <w:rsid w:val="00FD743E"/>
    <w:rsid w:val="00FE2B8A"/>
    <w:rsid w:val="00FE3EA0"/>
    <w:rsid w:val="00FE696E"/>
    <w:rsid w:val="00FF0FA2"/>
    <w:rsid w:val="00FF2438"/>
    <w:rsid w:val="00FF2509"/>
    <w:rsid w:val="00FF2D7D"/>
    <w:rsid w:val="00FF3BB2"/>
    <w:rsid w:val="00FF3C7B"/>
    <w:rsid w:val="00FF47A2"/>
    <w:rsid w:val="00FF4996"/>
    <w:rsid w:val="00FF52B0"/>
    <w:rsid w:val="00FF645D"/>
    <w:rsid w:val="00FF7EE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8AA593-8997-4239-8683-C25DF72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7A9C"/>
  </w:style>
  <w:style w:type="paragraph" w:styleId="Ttulo1">
    <w:name w:val="heading 1"/>
    <w:basedOn w:val="Prrafodelista"/>
    <w:next w:val="Normal"/>
    <w:link w:val="Ttulo1Car"/>
    <w:qFormat/>
    <w:rsid w:val="00C41A91"/>
    <w:pPr>
      <w:spacing w:after="0" w:line="360" w:lineRule="auto"/>
      <w:ind w:left="0"/>
      <w:jc w:val="both"/>
      <w:outlineLvl w:val="0"/>
    </w:pPr>
    <w:rPr>
      <w:rFonts w:ascii="Arial" w:hAnsi="Arial" w:cs="Arial"/>
      <w:b/>
      <w:sz w:val="28"/>
      <w:szCs w:val="24"/>
    </w:rPr>
  </w:style>
  <w:style w:type="paragraph" w:styleId="Ttulo2">
    <w:name w:val="heading 2"/>
    <w:basedOn w:val="Prrafodelista"/>
    <w:next w:val="Normal"/>
    <w:link w:val="Ttulo2Car"/>
    <w:qFormat/>
    <w:rsid w:val="00C41A91"/>
    <w:pPr>
      <w:numPr>
        <w:numId w:val="1"/>
      </w:numPr>
      <w:spacing w:after="0" w:line="360" w:lineRule="auto"/>
      <w:jc w:val="both"/>
      <w:outlineLvl w:val="1"/>
    </w:pPr>
    <w:rPr>
      <w:rFonts w:ascii="Arial" w:hAnsi="Arial" w:cs="Arial"/>
      <w:b/>
      <w:sz w:val="24"/>
    </w:rPr>
  </w:style>
  <w:style w:type="paragraph" w:styleId="Ttulo3">
    <w:name w:val="heading 3"/>
    <w:basedOn w:val="Normal"/>
    <w:next w:val="Normal"/>
    <w:link w:val="Ttulo3Car"/>
    <w:uiPriority w:val="9"/>
    <w:unhideWhenUsed/>
    <w:qFormat/>
    <w:rsid w:val="008D1E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C30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1A91"/>
    <w:rPr>
      <w:rFonts w:ascii="Arial" w:hAnsi="Arial" w:cs="Arial"/>
      <w:b/>
      <w:sz w:val="28"/>
      <w:szCs w:val="24"/>
    </w:rPr>
  </w:style>
  <w:style w:type="character" w:customStyle="1" w:styleId="Ttulo2Car">
    <w:name w:val="Título 2 Car"/>
    <w:basedOn w:val="Fuentedeprrafopredeter"/>
    <w:link w:val="Ttulo2"/>
    <w:rsid w:val="00C41A91"/>
    <w:rPr>
      <w:rFonts w:ascii="Arial" w:hAnsi="Arial" w:cs="Arial"/>
      <w:b/>
      <w:sz w:val="24"/>
    </w:rPr>
  </w:style>
  <w:style w:type="paragraph" w:styleId="Prrafodelista">
    <w:name w:val="List Paragraph"/>
    <w:basedOn w:val="Normal"/>
    <w:link w:val="PrrafodelistaCar"/>
    <w:uiPriority w:val="34"/>
    <w:qFormat/>
    <w:rsid w:val="00C41A91"/>
    <w:pPr>
      <w:ind w:left="720"/>
      <w:contextualSpacing/>
    </w:pPr>
  </w:style>
  <w:style w:type="paragraph" w:styleId="Textonotapie">
    <w:name w:val="footnote text"/>
    <w:aliases w:val="fn,fn Car Car,ALTS FOOTNOTE,Footnote Text 2,Footnote ak"/>
    <w:basedOn w:val="Normal"/>
    <w:link w:val="TextonotapieCar1"/>
    <w:qFormat/>
    <w:rsid w:val="00F179C6"/>
    <w:pPr>
      <w:spacing w:after="0" w:line="240" w:lineRule="auto"/>
      <w:jc w:val="both"/>
    </w:pPr>
    <w:rPr>
      <w:rFonts w:ascii="Times New Roman" w:eastAsia="Calibri" w:hAnsi="Times New Roman" w:cs="Times New Roman"/>
      <w:sz w:val="20"/>
      <w:szCs w:val="20"/>
      <w:lang w:eastAsia="es-ES"/>
    </w:rPr>
  </w:style>
  <w:style w:type="character" w:customStyle="1" w:styleId="TextonotapieCar">
    <w:name w:val="Texto nota pie Car"/>
    <w:basedOn w:val="Fuentedeprrafopredeter"/>
    <w:semiHidden/>
    <w:rsid w:val="00F179C6"/>
    <w:rPr>
      <w:sz w:val="20"/>
      <w:szCs w:val="20"/>
      <w:lang w:val="es-ES"/>
    </w:rPr>
  </w:style>
  <w:style w:type="character" w:customStyle="1" w:styleId="TextonotapieCar1">
    <w:name w:val="Texto nota pie Car1"/>
    <w:aliases w:val="fn Car,fn Car Car Car,ALTS FOOTNOTE Car,Footnote Text 2 Car,Footnote ak Car"/>
    <w:basedOn w:val="Fuentedeprrafopredeter"/>
    <w:link w:val="Textonotapie"/>
    <w:locked/>
    <w:rsid w:val="00F179C6"/>
    <w:rPr>
      <w:rFonts w:ascii="Times New Roman" w:eastAsia="Calibri" w:hAnsi="Times New Roman" w:cs="Times New Roman"/>
      <w:sz w:val="20"/>
      <w:szCs w:val="20"/>
      <w:lang w:val="es-ES" w:eastAsia="es-ES"/>
    </w:rPr>
  </w:style>
  <w:style w:type="character" w:styleId="Refdenotaalpie">
    <w:name w:val="footnote reference"/>
    <w:aliases w:val="(Ref. de nota al pie),Ref,de nota al pie"/>
    <w:basedOn w:val="Fuentedeprrafopredeter"/>
    <w:qFormat/>
    <w:rsid w:val="00F179C6"/>
    <w:rPr>
      <w:rFonts w:cs="Times New Roman"/>
      <w:vertAlign w:val="superscript"/>
    </w:rPr>
  </w:style>
  <w:style w:type="character" w:customStyle="1" w:styleId="PrrafodelistaCar">
    <w:name w:val="Párrafo de lista Car"/>
    <w:link w:val="Prrafodelista"/>
    <w:uiPriority w:val="34"/>
    <w:rsid w:val="00F179C6"/>
    <w:rPr>
      <w:lang w:val="es-ES"/>
    </w:rPr>
  </w:style>
  <w:style w:type="table" w:styleId="Tablaconcuadrcula">
    <w:name w:val="Table Grid"/>
    <w:basedOn w:val="Tablanormal"/>
    <w:uiPriority w:val="59"/>
    <w:rsid w:val="00F179C6"/>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1E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E48"/>
    <w:rPr>
      <w:rFonts w:ascii="Tahoma" w:hAnsi="Tahoma" w:cs="Tahoma"/>
      <w:sz w:val="16"/>
      <w:szCs w:val="16"/>
      <w:lang w:val="es-ES"/>
    </w:rPr>
  </w:style>
  <w:style w:type="character" w:customStyle="1" w:styleId="Ttulo3Car">
    <w:name w:val="Título 3 Car"/>
    <w:basedOn w:val="Fuentedeprrafopredeter"/>
    <w:link w:val="Ttulo3"/>
    <w:uiPriority w:val="9"/>
    <w:rsid w:val="008D1E48"/>
    <w:rPr>
      <w:rFonts w:asciiTheme="majorHAnsi" w:eastAsiaTheme="majorEastAsia" w:hAnsiTheme="majorHAnsi" w:cstheme="majorBidi"/>
      <w:b/>
      <w:bCs/>
      <w:color w:val="4F81BD" w:themeColor="accent1"/>
      <w:lang w:val="es-ES"/>
    </w:rPr>
  </w:style>
  <w:style w:type="paragraph" w:styleId="Textoindependiente">
    <w:name w:val="Body Text"/>
    <w:basedOn w:val="Normal"/>
    <w:link w:val="TextoindependienteCar"/>
    <w:uiPriority w:val="99"/>
    <w:semiHidden/>
    <w:unhideWhenUsed/>
    <w:rsid w:val="008D1E48"/>
    <w:pPr>
      <w:spacing w:after="120" w:line="240" w:lineRule="auto"/>
      <w:jc w:val="both"/>
    </w:pPr>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8D1E48"/>
    <w:rPr>
      <w:rFonts w:ascii="Times New Roman" w:hAnsi="Times New Roman" w:cs="Times New Roman"/>
      <w:sz w:val="24"/>
      <w:szCs w:val="24"/>
      <w:lang w:eastAsia="es-SV"/>
    </w:rPr>
  </w:style>
  <w:style w:type="paragraph" w:styleId="Sangra2detindependiente">
    <w:name w:val="Body Text Indent 2"/>
    <w:basedOn w:val="Normal"/>
    <w:link w:val="Sangra2detindependienteCar"/>
    <w:uiPriority w:val="99"/>
    <w:unhideWhenUsed/>
    <w:rsid w:val="003B0A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0AF0"/>
    <w:rPr>
      <w:lang w:val="es-ES"/>
    </w:rPr>
  </w:style>
  <w:style w:type="paragraph" w:styleId="NormalWeb">
    <w:name w:val="Normal (Web)"/>
    <w:basedOn w:val="Normal"/>
    <w:rsid w:val="004D66E7"/>
    <w:pPr>
      <w:spacing w:before="100" w:beforeAutospacing="1" w:after="100" w:afterAutospacing="1" w:line="240" w:lineRule="auto"/>
      <w:jc w:val="both"/>
    </w:pPr>
    <w:rPr>
      <w:rFonts w:ascii="Times New Roman" w:eastAsia="Calibri" w:hAnsi="Times New Roman" w:cs="Times New Roman"/>
      <w:sz w:val="24"/>
      <w:szCs w:val="24"/>
      <w:lang w:eastAsia="es-ES"/>
    </w:rPr>
  </w:style>
  <w:style w:type="character" w:styleId="nfasis">
    <w:name w:val="Emphasis"/>
    <w:basedOn w:val="Fuentedeprrafopredeter"/>
    <w:uiPriority w:val="20"/>
    <w:qFormat/>
    <w:rsid w:val="004D66E7"/>
    <w:rPr>
      <w:rFonts w:cs="Times New Roman"/>
      <w:i/>
      <w:iCs/>
    </w:rPr>
  </w:style>
  <w:style w:type="paragraph" w:customStyle="1" w:styleId="listparagraph">
    <w:name w:val="listparagraph"/>
    <w:basedOn w:val="Normal"/>
    <w:uiPriority w:val="99"/>
    <w:rsid w:val="004D66E7"/>
    <w:pPr>
      <w:ind w:left="720"/>
    </w:pPr>
    <w:rPr>
      <w:rFonts w:ascii="Calibri" w:eastAsia="Calibri" w:hAnsi="Calibri" w:cs="Calibri"/>
    </w:rPr>
  </w:style>
  <w:style w:type="character" w:styleId="Textoennegrita">
    <w:name w:val="Strong"/>
    <w:basedOn w:val="Fuentedeprrafopredeter"/>
    <w:uiPriority w:val="22"/>
    <w:qFormat/>
    <w:rsid w:val="00BF07A6"/>
    <w:rPr>
      <w:b/>
      <w:bCs/>
    </w:rPr>
  </w:style>
  <w:style w:type="character" w:customStyle="1" w:styleId="Ttulo4Car">
    <w:name w:val="Título 4 Car"/>
    <w:basedOn w:val="Fuentedeprrafopredeter"/>
    <w:link w:val="Ttulo4"/>
    <w:uiPriority w:val="9"/>
    <w:rsid w:val="006C301E"/>
    <w:rPr>
      <w:rFonts w:asciiTheme="majorHAnsi" w:eastAsiaTheme="majorEastAsia" w:hAnsiTheme="majorHAnsi" w:cstheme="majorBidi"/>
      <w:b/>
      <w:bCs/>
      <w:i/>
      <w:iCs/>
      <w:color w:val="4F81BD" w:themeColor="accent1"/>
    </w:rPr>
  </w:style>
  <w:style w:type="character" w:styleId="Refdecomentario">
    <w:name w:val="annotation reference"/>
    <w:basedOn w:val="Fuentedeprrafopredeter"/>
    <w:uiPriority w:val="99"/>
    <w:semiHidden/>
    <w:unhideWhenUsed/>
    <w:rsid w:val="006C301E"/>
    <w:rPr>
      <w:sz w:val="16"/>
      <w:szCs w:val="16"/>
    </w:rPr>
  </w:style>
  <w:style w:type="paragraph" w:styleId="Textocomentario">
    <w:name w:val="annotation text"/>
    <w:basedOn w:val="Normal"/>
    <w:link w:val="TextocomentarioCar"/>
    <w:uiPriority w:val="99"/>
    <w:semiHidden/>
    <w:unhideWhenUsed/>
    <w:rsid w:val="006C301E"/>
    <w:pPr>
      <w:spacing w:line="240" w:lineRule="auto"/>
    </w:pPr>
    <w:rPr>
      <w:rFonts w:ascii="Arial" w:eastAsiaTheme="minorHAnsi" w:hAnsi="Arial"/>
      <w:sz w:val="20"/>
      <w:szCs w:val="20"/>
      <w:lang w:val="es-ES" w:eastAsia="en-US"/>
    </w:rPr>
  </w:style>
  <w:style w:type="character" w:customStyle="1" w:styleId="TextocomentarioCar">
    <w:name w:val="Texto comentario Car"/>
    <w:basedOn w:val="Fuentedeprrafopredeter"/>
    <w:link w:val="Textocomentario"/>
    <w:uiPriority w:val="99"/>
    <w:semiHidden/>
    <w:rsid w:val="006C301E"/>
    <w:rPr>
      <w:rFonts w:ascii="Arial" w:eastAsiaTheme="minorHAnsi" w:hAnsi="Arial"/>
      <w:sz w:val="20"/>
      <w:szCs w:val="20"/>
      <w:lang w:val="es-ES" w:eastAsia="en-US"/>
    </w:rPr>
  </w:style>
  <w:style w:type="paragraph" w:customStyle="1" w:styleId="Default">
    <w:name w:val="Default"/>
    <w:rsid w:val="00EA4A62"/>
    <w:pPr>
      <w:autoSpaceDE w:val="0"/>
      <w:autoSpaceDN w:val="0"/>
      <w:adjustRightInd w:val="0"/>
      <w:spacing w:after="0" w:line="240" w:lineRule="auto"/>
    </w:pPr>
    <w:rPr>
      <w:rFonts w:ascii="Arial" w:hAnsi="Arial" w:cs="Arial"/>
      <w:color w:val="000000"/>
      <w:sz w:val="24"/>
      <w:szCs w:val="24"/>
      <w:lang w:val="es-ES"/>
    </w:rPr>
  </w:style>
  <w:style w:type="paragraph" w:customStyle="1" w:styleId="Textocomentario1">
    <w:name w:val="Texto comentario1"/>
    <w:basedOn w:val="Normal"/>
    <w:next w:val="Textocomentario"/>
    <w:uiPriority w:val="99"/>
    <w:unhideWhenUsed/>
    <w:rsid w:val="00E36D74"/>
    <w:pPr>
      <w:spacing w:line="240" w:lineRule="auto"/>
    </w:pPr>
    <w:rPr>
      <w:rFonts w:ascii="Arial" w:eastAsia="Calibri" w:hAnsi="Arial"/>
      <w:sz w:val="20"/>
      <w:szCs w:val="20"/>
      <w:lang w:val="es-ES" w:eastAsia="en-US"/>
    </w:rPr>
  </w:style>
  <w:style w:type="character" w:customStyle="1" w:styleId="TextocomentarioCar1">
    <w:name w:val="Texto comentario Car1"/>
    <w:basedOn w:val="Fuentedeprrafopredeter"/>
    <w:uiPriority w:val="99"/>
    <w:semiHidden/>
    <w:rsid w:val="0097544F"/>
    <w:rPr>
      <w:sz w:val="20"/>
      <w:szCs w:val="20"/>
    </w:rPr>
  </w:style>
  <w:style w:type="character" w:styleId="Hipervnculo">
    <w:name w:val="Hyperlink"/>
    <w:basedOn w:val="Fuentedeprrafopredeter"/>
    <w:uiPriority w:val="99"/>
    <w:unhideWhenUsed/>
    <w:rsid w:val="00C45C0C"/>
    <w:rPr>
      <w:color w:val="0563C1"/>
      <w:u w:val="single"/>
    </w:rPr>
  </w:style>
  <w:style w:type="paragraph" w:styleId="Textosinformato">
    <w:name w:val="Plain Text"/>
    <w:basedOn w:val="Normal"/>
    <w:link w:val="TextosinformatoCar"/>
    <w:uiPriority w:val="99"/>
    <w:semiHidden/>
    <w:unhideWhenUsed/>
    <w:rsid w:val="00F36CBD"/>
    <w:pPr>
      <w:spacing w:after="0" w:line="240" w:lineRule="auto"/>
    </w:pPr>
    <w:rPr>
      <w:rFonts w:ascii="Courier New" w:eastAsiaTheme="minorHAnsi" w:hAnsi="Courier New" w:cs="Courier New"/>
      <w:sz w:val="20"/>
      <w:szCs w:val="20"/>
    </w:rPr>
  </w:style>
  <w:style w:type="character" w:customStyle="1" w:styleId="TextosinformatoCar">
    <w:name w:val="Texto sin formato Car"/>
    <w:basedOn w:val="Fuentedeprrafopredeter"/>
    <w:link w:val="Textosinformato"/>
    <w:uiPriority w:val="99"/>
    <w:semiHidden/>
    <w:rsid w:val="00F36CBD"/>
    <w:rPr>
      <w:rFonts w:ascii="Courier New" w:eastAsiaTheme="minorHAnsi" w:hAnsi="Courier New" w:cs="Courier New"/>
      <w:sz w:val="20"/>
      <w:szCs w:val="20"/>
    </w:rPr>
  </w:style>
  <w:style w:type="paragraph" w:styleId="Encabezado">
    <w:name w:val="header"/>
    <w:basedOn w:val="Normal"/>
    <w:link w:val="EncabezadoCar"/>
    <w:uiPriority w:val="99"/>
    <w:unhideWhenUsed/>
    <w:rsid w:val="00064C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C1B"/>
  </w:style>
  <w:style w:type="paragraph" w:styleId="Piedepgina">
    <w:name w:val="footer"/>
    <w:basedOn w:val="Normal"/>
    <w:link w:val="PiedepginaCar"/>
    <w:uiPriority w:val="99"/>
    <w:unhideWhenUsed/>
    <w:rsid w:val="00064C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C1B"/>
  </w:style>
  <w:style w:type="paragraph" w:styleId="TtuloTDC">
    <w:name w:val="TOC Heading"/>
    <w:basedOn w:val="Ttulo1"/>
    <w:next w:val="Normal"/>
    <w:uiPriority w:val="39"/>
    <w:unhideWhenUsed/>
    <w:qFormat/>
    <w:rsid w:val="00FB2F17"/>
    <w:pPr>
      <w:keepNext/>
      <w:keepLine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B2F17"/>
    <w:pPr>
      <w:spacing w:after="100"/>
    </w:pPr>
  </w:style>
  <w:style w:type="paragraph" w:styleId="TDC2">
    <w:name w:val="toc 2"/>
    <w:basedOn w:val="Normal"/>
    <w:next w:val="Normal"/>
    <w:autoRedefine/>
    <w:uiPriority w:val="39"/>
    <w:unhideWhenUsed/>
    <w:rsid w:val="002F6D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828">
      <w:bodyDiv w:val="1"/>
      <w:marLeft w:val="0"/>
      <w:marRight w:val="0"/>
      <w:marTop w:val="0"/>
      <w:marBottom w:val="0"/>
      <w:divBdr>
        <w:top w:val="none" w:sz="0" w:space="0" w:color="auto"/>
        <w:left w:val="none" w:sz="0" w:space="0" w:color="auto"/>
        <w:bottom w:val="none" w:sz="0" w:space="0" w:color="auto"/>
        <w:right w:val="none" w:sz="0" w:space="0" w:color="auto"/>
      </w:divBdr>
    </w:div>
    <w:div w:id="49501708">
      <w:bodyDiv w:val="1"/>
      <w:marLeft w:val="0"/>
      <w:marRight w:val="0"/>
      <w:marTop w:val="0"/>
      <w:marBottom w:val="0"/>
      <w:divBdr>
        <w:top w:val="none" w:sz="0" w:space="0" w:color="auto"/>
        <w:left w:val="none" w:sz="0" w:space="0" w:color="auto"/>
        <w:bottom w:val="none" w:sz="0" w:space="0" w:color="auto"/>
        <w:right w:val="none" w:sz="0" w:space="0" w:color="auto"/>
      </w:divBdr>
    </w:div>
    <w:div w:id="79180268">
      <w:bodyDiv w:val="1"/>
      <w:marLeft w:val="0"/>
      <w:marRight w:val="0"/>
      <w:marTop w:val="0"/>
      <w:marBottom w:val="0"/>
      <w:divBdr>
        <w:top w:val="none" w:sz="0" w:space="0" w:color="auto"/>
        <w:left w:val="none" w:sz="0" w:space="0" w:color="auto"/>
        <w:bottom w:val="none" w:sz="0" w:space="0" w:color="auto"/>
        <w:right w:val="none" w:sz="0" w:space="0" w:color="auto"/>
      </w:divBdr>
    </w:div>
    <w:div w:id="92241612">
      <w:bodyDiv w:val="1"/>
      <w:marLeft w:val="0"/>
      <w:marRight w:val="0"/>
      <w:marTop w:val="0"/>
      <w:marBottom w:val="0"/>
      <w:divBdr>
        <w:top w:val="none" w:sz="0" w:space="0" w:color="auto"/>
        <w:left w:val="none" w:sz="0" w:space="0" w:color="auto"/>
        <w:bottom w:val="none" w:sz="0" w:space="0" w:color="auto"/>
        <w:right w:val="none" w:sz="0" w:space="0" w:color="auto"/>
      </w:divBdr>
    </w:div>
    <w:div w:id="100876471">
      <w:bodyDiv w:val="1"/>
      <w:marLeft w:val="0"/>
      <w:marRight w:val="0"/>
      <w:marTop w:val="0"/>
      <w:marBottom w:val="0"/>
      <w:divBdr>
        <w:top w:val="none" w:sz="0" w:space="0" w:color="auto"/>
        <w:left w:val="none" w:sz="0" w:space="0" w:color="auto"/>
        <w:bottom w:val="none" w:sz="0" w:space="0" w:color="auto"/>
        <w:right w:val="none" w:sz="0" w:space="0" w:color="auto"/>
      </w:divBdr>
    </w:div>
    <w:div w:id="161090417">
      <w:bodyDiv w:val="1"/>
      <w:marLeft w:val="0"/>
      <w:marRight w:val="0"/>
      <w:marTop w:val="0"/>
      <w:marBottom w:val="0"/>
      <w:divBdr>
        <w:top w:val="none" w:sz="0" w:space="0" w:color="auto"/>
        <w:left w:val="none" w:sz="0" w:space="0" w:color="auto"/>
        <w:bottom w:val="none" w:sz="0" w:space="0" w:color="auto"/>
        <w:right w:val="none" w:sz="0" w:space="0" w:color="auto"/>
      </w:divBdr>
    </w:div>
    <w:div w:id="228077606">
      <w:bodyDiv w:val="1"/>
      <w:marLeft w:val="0"/>
      <w:marRight w:val="0"/>
      <w:marTop w:val="0"/>
      <w:marBottom w:val="0"/>
      <w:divBdr>
        <w:top w:val="none" w:sz="0" w:space="0" w:color="auto"/>
        <w:left w:val="none" w:sz="0" w:space="0" w:color="auto"/>
        <w:bottom w:val="none" w:sz="0" w:space="0" w:color="auto"/>
        <w:right w:val="none" w:sz="0" w:space="0" w:color="auto"/>
      </w:divBdr>
    </w:div>
    <w:div w:id="253170990">
      <w:bodyDiv w:val="1"/>
      <w:marLeft w:val="0"/>
      <w:marRight w:val="0"/>
      <w:marTop w:val="0"/>
      <w:marBottom w:val="0"/>
      <w:divBdr>
        <w:top w:val="none" w:sz="0" w:space="0" w:color="auto"/>
        <w:left w:val="none" w:sz="0" w:space="0" w:color="auto"/>
        <w:bottom w:val="none" w:sz="0" w:space="0" w:color="auto"/>
        <w:right w:val="none" w:sz="0" w:space="0" w:color="auto"/>
      </w:divBdr>
    </w:div>
    <w:div w:id="284314970">
      <w:bodyDiv w:val="1"/>
      <w:marLeft w:val="0"/>
      <w:marRight w:val="0"/>
      <w:marTop w:val="0"/>
      <w:marBottom w:val="0"/>
      <w:divBdr>
        <w:top w:val="none" w:sz="0" w:space="0" w:color="auto"/>
        <w:left w:val="none" w:sz="0" w:space="0" w:color="auto"/>
        <w:bottom w:val="none" w:sz="0" w:space="0" w:color="auto"/>
        <w:right w:val="none" w:sz="0" w:space="0" w:color="auto"/>
      </w:divBdr>
      <w:divsChild>
        <w:div w:id="753160719">
          <w:marLeft w:val="446"/>
          <w:marRight w:val="0"/>
          <w:marTop w:val="0"/>
          <w:marBottom w:val="0"/>
          <w:divBdr>
            <w:top w:val="none" w:sz="0" w:space="0" w:color="auto"/>
            <w:left w:val="none" w:sz="0" w:space="0" w:color="auto"/>
            <w:bottom w:val="none" w:sz="0" w:space="0" w:color="auto"/>
            <w:right w:val="none" w:sz="0" w:space="0" w:color="auto"/>
          </w:divBdr>
        </w:div>
        <w:div w:id="1952710880">
          <w:marLeft w:val="446"/>
          <w:marRight w:val="0"/>
          <w:marTop w:val="0"/>
          <w:marBottom w:val="0"/>
          <w:divBdr>
            <w:top w:val="none" w:sz="0" w:space="0" w:color="auto"/>
            <w:left w:val="none" w:sz="0" w:space="0" w:color="auto"/>
            <w:bottom w:val="none" w:sz="0" w:space="0" w:color="auto"/>
            <w:right w:val="none" w:sz="0" w:space="0" w:color="auto"/>
          </w:divBdr>
        </w:div>
      </w:divsChild>
    </w:div>
    <w:div w:id="306134966">
      <w:bodyDiv w:val="1"/>
      <w:marLeft w:val="0"/>
      <w:marRight w:val="0"/>
      <w:marTop w:val="0"/>
      <w:marBottom w:val="0"/>
      <w:divBdr>
        <w:top w:val="none" w:sz="0" w:space="0" w:color="auto"/>
        <w:left w:val="none" w:sz="0" w:space="0" w:color="auto"/>
        <w:bottom w:val="none" w:sz="0" w:space="0" w:color="auto"/>
        <w:right w:val="none" w:sz="0" w:space="0" w:color="auto"/>
      </w:divBdr>
    </w:div>
    <w:div w:id="343938995">
      <w:bodyDiv w:val="1"/>
      <w:marLeft w:val="0"/>
      <w:marRight w:val="0"/>
      <w:marTop w:val="0"/>
      <w:marBottom w:val="0"/>
      <w:divBdr>
        <w:top w:val="none" w:sz="0" w:space="0" w:color="auto"/>
        <w:left w:val="none" w:sz="0" w:space="0" w:color="auto"/>
        <w:bottom w:val="none" w:sz="0" w:space="0" w:color="auto"/>
        <w:right w:val="none" w:sz="0" w:space="0" w:color="auto"/>
      </w:divBdr>
    </w:div>
    <w:div w:id="424882964">
      <w:bodyDiv w:val="1"/>
      <w:marLeft w:val="0"/>
      <w:marRight w:val="0"/>
      <w:marTop w:val="0"/>
      <w:marBottom w:val="0"/>
      <w:divBdr>
        <w:top w:val="none" w:sz="0" w:space="0" w:color="auto"/>
        <w:left w:val="none" w:sz="0" w:space="0" w:color="auto"/>
        <w:bottom w:val="none" w:sz="0" w:space="0" w:color="auto"/>
        <w:right w:val="none" w:sz="0" w:space="0" w:color="auto"/>
      </w:divBdr>
    </w:div>
    <w:div w:id="458570540">
      <w:bodyDiv w:val="1"/>
      <w:marLeft w:val="0"/>
      <w:marRight w:val="0"/>
      <w:marTop w:val="0"/>
      <w:marBottom w:val="0"/>
      <w:divBdr>
        <w:top w:val="none" w:sz="0" w:space="0" w:color="auto"/>
        <w:left w:val="none" w:sz="0" w:space="0" w:color="auto"/>
        <w:bottom w:val="none" w:sz="0" w:space="0" w:color="auto"/>
        <w:right w:val="none" w:sz="0" w:space="0" w:color="auto"/>
      </w:divBdr>
    </w:div>
    <w:div w:id="475880511">
      <w:bodyDiv w:val="1"/>
      <w:marLeft w:val="0"/>
      <w:marRight w:val="0"/>
      <w:marTop w:val="0"/>
      <w:marBottom w:val="0"/>
      <w:divBdr>
        <w:top w:val="none" w:sz="0" w:space="0" w:color="auto"/>
        <w:left w:val="none" w:sz="0" w:space="0" w:color="auto"/>
        <w:bottom w:val="none" w:sz="0" w:space="0" w:color="auto"/>
        <w:right w:val="none" w:sz="0" w:space="0" w:color="auto"/>
      </w:divBdr>
    </w:div>
    <w:div w:id="506870156">
      <w:bodyDiv w:val="1"/>
      <w:marLeft w:val="0"/>
      <w:marRight w:val="0"/>
      <w:marTop w:val="0"/>
      <w:marBottom w:val="0"/>
      <w:divBdr>
        <w:top w:val="none" w:sz="0" w:space="0" w:color="auto"/>
        <w:left w:val="none" w:sz="0" w:space="0" w:color="auto"/>
        <w:bottom w:val="none" w:sz="0" w:space="0" w:color="auto"/>
        <w:right w:val="none" w:sz="0" w:space="0" w:color="auto"/>
      </w:divBdr>
    </w:div>
    <w:div w:id="515534616">
      <w:bodyDiv w:val="1"/>
      <w:marLeft w:val="0"/>
      <w:marRight w:val="0"/>
      <w:marTop w:val="0"/>
      <w:marBottom w:val="0"/>
      <w:divBdr>
        <w:top w:val="none" w:sz="0" w:space="0" w:color="auto"/>
        <w:left w:val="none" w:sz="0" w:space="0" w:color="auto"/>
        <w:bottom w:val="none" w:sz="0" w:space="0" w:color="auto"/>
        <w:right w:val="none" w:sz="0" w:space="0" w:color="auto"/>
      </w:divBdr>
    </w:div>
    <w:div w:id="579944387">
      <w:bodyDiv w:val="1"/>
      <w:marLeft w:val="0"/>
      <w:marRight w:val="0"/>
      <w:marTop w:val="0"/>
      <w:marBottom w:val="0"/>
      <w:divBdr>
        <w:top w:val="none" w:sz="0" w:space="0" w:color="auto"/>
        <w:left w:val="none" w:sz="0" w:space="0" w:color="auto"/>
        <w:bottom w:val="none" w:sz="0" w:space="0" w:color="auto"/>
        <w:right w:val="none" w:sz="0" w:space="0" w:color="auto"/>
      </w:divBdr>
    </w:div>
    <w:div w:id="605618553">
      <w:bodyDiv w:val="1"/>
      <w:marLeft w:val="0"/>
      <w:marRight w:val="0"/>
      <w:marTop w:val="0"/>
      <w:marBottom w:val="0"/>
      <w:divBdr>
        <w:top w:val="none" w:sz="0" w:space="0" w:color="auto"/>
        <w:left w:val="none" w:sz="0" w:space="0" w:color="auto"/>
        <w:bottom w:val="none" w:sz="0" w:space="0" w:color="auto"/>
        <w:right w:val="none" w:sz="0" w:space="0" w:color="auto"/>
      </w:divBdr>
    </w:div>
    <w:div w:id="640156463">
      <w:bodyDiv w:val="1"/>
      <w:marLeft w:val="0"/>
      <w:marRight w:val="0"/>
      <w:marTop w:val="0"/>
      <w:marBottom w:val="0"/>
      <w:divBdr>
        <w:top w:val="none" w:sz="0" w:space="0" w:color="auto"/>
        <w:left w:val="none" w:sz="0" w:space="0" w:color="auto"/>
        <w:bottom w:val="none" w:sz="0" w:space="0" w:color="auto"/>
        <w:right w:val="none" w:sz="0" w:space="0" w:color="auto"/>
      </w:divBdr>
    </w:div>
    <w:div w:id="661397063">
      <w:bodyDiv w:val="1"/>
      <w:marLeft w:val="0"/>
      <w:marRight w:val="0"/>
      <w:marTop w:val="0"/>
      <w:marBottom w:val="0"/>
      <w:divBdr>
        <w:top w:val="none" w:sz="0" w:space="0" w:color="auto"/>
        <w:left w:val="none" w:sz="0" w:space="0" w:color="auto"/>
        <w:bottom w:val="none" w:sz="0" w:space="0" w:color="auto"/>
        <w:right w:val="none" w:sz="0" w:space="0" w:color="auto"/>
      </w:divBdr>
    </w:div>
    <w:div w:id="678389101">
      <w:bodyDiv w:val="1"/>
      <w:marLeft w:val="0"/>
      <w:marRight w:val="0"/>
      <w:marTop w:val="0"/>
      <w:marBottom w:val="0"/>
      <w:divBdr>
        <w:top w:val="none" w:sz="0" w:space="0" w:color="auto"/>
        <w:left w:val="none" w:sz="0" w:space="0" w:color="auto"/>
        <w:bottom w:val="none" w:sz="0" w:space="0" w:color="auto"/>
        <w:right w:val="none" w:sz="0" w:space="0" w:color="auto"/>
      </w:divBdr>
    </w:div>
    <w:div w:id="709452483">
      <w:bodyDiv w:val="1"/>
      <w:marLeft w:val="0"/>
      <w:marRight w:val="0"/>
      <w:marTop w:val="0"/>
      <w:marBottom w:val="0"/>
      <w:divBdr>
        <w:top w:val="none" w:sz="0" w:space="0" w:color="auto"/>
        <w:left w:val="none" w:sz="0" w:space="0" w:color="auto"/>
        <w:bottom w:val="none" w:sz="0" w:space="0" w:color="auto"/>
        <w:right w:val="none" w:sz="0" w:space="0" w:color="auto"/>
      </w:divBdr>
    </w:div>
    <w:div w:id="718284298">
      <w:bodyDiv w:val="1"/>
      <w:marLeft w:val="0"/>
      <w:marRight w:val="0"/>
      <w:marTop w:val="0"/>
      <w:marBottom w:val="0"/>
      <w:divBdr>
        <w:top w:val="none" w:sz="0" w:space="0" w:color="auto"/>
        <w:left w:val="none" w:sz="0" w:space="0" w:color="auto"/>
        <w:bottom w:val="none" w:sz="0" w:space="0" w:color="auto"/>
        <w:right w:val="none" w:sz="0" w:space="0" w:color="auto"/>
      </w:divBdr>
    </w:div>
    <w:div w:id="735014458">
      <w:bodyDiv w:val="1"/>
      <w:marLeft w:val="0"/>
      <w:marRight w:val="0"/>
      <w:marTop w:val="0"/>
      <w:marBottom w:val="0"/>
      <w:divBdr>
        <w:top w:val="none" w:sz="0" w:space="0" w:color="auto"/>
        <w:left w:val="none" w:sz="0" w:space="0" w:color="auto"/>
        <w:bottom w:val="none" w:sz="0" w:space="0" w:color="auto"/>
        <w:right w:val="none" w:sz="0" w:space="0" w:color="auto"/>
      </w:divBdr>
    </w:div>
    <w:div w:id="775179495">
      <w:bodyDiv w:val="1"/>
      <w:marLeft w:val="0"/>
      <w:marRight w:val="0"/>
      <w:marTop w:val="0"/>
      <w:marBottom w:val="0"/>
      <w:divBdr>
        <w:top w:val="none" w:sz="0" w:space="0" w:color="auto"/>
        <w:left w:val="none" w:sz="0" w:space="0" w:color="auto"/>
        <w:bottom w:val="none" w:sz="0" w:space="0" w:color="auto"/>
        <w:right w:val="none" w:sz="0" w:space="0" w:color="auto"/>
      </w:divBdr>
    </w:div>
    <w:div w:id="794719488">
      <w:bodyDiv w:val="1"/>
      <w:marLeft w:val="0"/>
      <w:marRight w:val="0"/>
      <w:marTop w:val="0"/>
      <w:marBottom w:val="0"/>
      <w:divBdr>
        <w:top w:val="none" w:sz="0" w:space="0" w:color="auto"/>
        <w:left w:val="none" w:sz="0" w:space="0" w:color="auto"/>
        <w:bottom w:val="none" w:sz="0" w:space="0" w:color="auto"/>
        <w:right w:val="none" w:sz="0" w:space="0" w:color="auto"/>
      </w:divBdr>
    </w:div>
    <w:div w:id="804784875">
      <w:bodyDiv w:val="1"/>
      <w:marLeft w:val="0"/>
      <w:marRight w:val="0"/>
      <w:marTop w:val="0"/>
      <w:marBottom w:val="0"/>
      <w:divBdr>
        <w:top w:val="none" w:sz="0" w:space="0" w:color="auto"/>
        <w:left w:val="none" w:sz="0" w:space="0" w:color="auto"/>
        <w:bottom w:val="none" w:sz="0" w:space="0" w:color="auto"/>
        <w:right w:val="none" w:sz="0" w:space="0" w:color="auto"/>
      </w:divBdr>
    </w:div>
    <w:div w:id="839269916">
      <w:bodyDiv w:val="1"/>
      <w:marLeft w:val="0"/>
      <w:marRight w:val="0"/>
      <w:marTop w:val="0"/>
      <w:marBottom w:val="0"/>
      <w:divBdr>
        <w:top w:val="none" w:sz="0" w:space="0" w:color="auto"/>
        <w:left w:val="none" w:sz="0" w:space="0" w:color="auto"/>
        <w:bottom w:val="none" w:sz="0" w:space="0" w:color="auto"/>
        <w:right w:val="none" w:sz="0" w:space="0" w:color="auto"/>
      </w:divBdr>
    </w:div>
    <w:div w:id="852231476">
      <w:bodyDiv w:val="1"/>
      <w:marLeft w:val="0"/>
      <w:marRight w:val="0"/>
      <w:marTop w:val="0"/>
      <w:marBottom w:val="0"/>
      <w:divBdr>
        <w:top w:val="none" w:sz="0" w:space="0" w:color="auto"/>
        <w:left w:val="none" w:sz="0" w:space="0" w:color="auto"/>
        <w:bottom w:val="none" w:sz="0" w:space="0" w:color="auto"/>
        <w:right w:val="none" w:sz="0" w:space="0" w:color="auto"/>
      </w:divBdr>
    </w:div>
    <w:div w:id="909072438">
      <w:bodyDiv w:val="1"/>
      <w:marLeft w:val="0"/>
      <w:marRight w:val="0"/>
      <w:marTop w:val="0"/>
      <w:marBottom w:val="0"/>
      <w:divBdr>
        <w:top w:val="none" w:sz="0" w:space="0" w:color="auto"/>
        <w:left w:val="none" w:sz="0" w:space="0" w:color="auto"/>
        <w:bottom w:val="none" w:sz="0" w:space="0" w:color="auto"/>
        <w:right w:val="none" w:sz="0" w:space="0" w:color="auto"/>
      </w:divBdr>
    </w:div>
    <w:div w:id="956259901">
      <w:bodyDiv w:val="1"/>
      <w:marLeft w:val="0"/>
      <w:marRight w:val="0"/>
      <w:marTop w:val="0"/>
      <w:marBottom w:val="0"/>
      <w:divBdr>
        <w:top w:val="none" w:sz="0" w:space="0" w:color="auto"/>
        <w:left w:val="none" w:sz="0" w:space="0" w:color="auto"/>
        <w:bottom w:val="none" w:sz="0" w:space="0" w:color="auto"/>
        <w:right w:val="none" w:sz="0" w:space="0" w:color="auto"/>
      </w:divBdr>
    </w:div>
    <w:div w:id="1013410568">
      <w:bodyDiv w:val="1"/>
      <w:marLeft w:val="0"/>
      <w:marRight w:val="0"/>
      <w:marTop w:val="0"/>
      <w:marBottom w:val="0"/>
      <w:divBdr>
        <w:top w:val="none" w:sz="0" w:space="0" w:color="auto"/>
        <w:left w:val="none" w:sz="0" w:space="0" w:color="auto"/>
        <w:bottom w:val="none" w:sz="0" w:space="0" w:color="auto"/>
        <w:right w:val="none" w:sz="0" w:space="0" w:color="auto"/>
      </w:divBdr>
    </w:div>
    <w:div w:id="1050108578">
      <w:bodyDiv w:val="1"/>
      <w:marLeft w:val="0"/>
      <w:marRight w:val="0"/>
      <w:marTop w:val="0"/>
      <w:marBottom w:val="0"/>
      <w:divBdr>
        <w:top w:val="none" w:sz="0" w:space="0" w:color="auto"/>
        <w:left w:val="none" w:sz="0" w:space="0" w:color="auto"/>
        <w:bottom w:val="none" w:sz="0" w:space="0" w:color="auto"/>
        <w:right w:val="none" w:sz="0" w:space="0" w:color="auto"/>
      </w:divBdr>
    </w:div>
    <w:div w:id="1051074081">
      <w:bodyDiv w:val="1"/>
      <w:marLeft w:val="0"/>
      <w:marRight w:val="0"/>
      <w:marTop w:val="0"/>
      <w:marBottom w:val="0"/>
      <w:divBdr>
        <w:top w:val="none" w:sz="0" w:space="0" w:color="auto"/>
        <w:left w:val="none" w:sz="0" w:space="0" w:color="auto"/>
        <w:bottom w:val="none" w:sz="0" w:space="0" w:color="auto"/>
        <w:right w:val="none" w:sz="0" w:space="0" w:color="auto"/>
      </w:divBdr>
    </w:div>
    <w:div w:id="1057388345">
      <w:bodyDiv w:val="1"/>
      <w:marLeft w:val="0"/>
      <w:marRight w:val="0"/>
      <w:marTop w:val="0"/>
      <w:marBottom w:val="0"/>
      <w:divBdr>
        <w:top w:val="none" w:sz="0" w:space="0" w:color="auto"/>
        <w:left w:val="none" w:sz="0" w:space="0" w:color="auto"/>
        <w:bottom w:val="none" w:sz="0" w:space="0" w:color="auto"/>
        <w:right w:val="none" w:sz="0" w:space="0" w:color="auto"/>
      </w:divBdr>
    </w:div>
    <w:div w:id="1198352960">
      <w:bodyDiv w:val="1"/>
      <w:marLeft w:val="0"/>
      <w:marRight w:val="0"/>
      <w:marTop w:val="0"/>
      <w:marBottom w:val="0"/>
      <w:divBdr>
        <w:top w:val="none" w:sz="0" w:space="0" w:color="auto"/>
        <w:left w:val="none" w:sz="0" w:space="0" w:color="auto"/>
        <w:bottom w:val="none" w:sz="0" w:space="0" w:color="auto"/>
        <w:right w:val="none" w:sz="0" w:space="0" w:color="auto"/>
      </w:divBdr>
    </w:div>
    <w:div w:id="1202327646">
      <w:bodyDiv w:val="1"/>
      <w:marLeft w:val="0"/>
      <w:marRight w:val="0"/>
      <w:marTop w:val="0"/>
      <w:marBottom w:val="0"/>
      <w:divBdr>
        <w:top w:val="none" w:sz="0" w:space="0" w:color="auto"/>
        <w:left w:val="none" w:sz="0" w:space="0" w:color="auto"/>
        <w:bottom w:val="none" w:sz="0" w:space="0" w:color="auto"/>
        <w:right w:val="none" w:sz="0" w:space="0" w:color="auto"/>
      </w:divBdr>
    </w:div>
    <w:div w:id="1203902030">
      <w:bodyDiv w:val="1"/>
      <w:marLeft w:val="0"/>
      <w:marRight w:val="0"/>
      <w:marTop w:val="0"/>
      <w:marBottom w:val="0"/>
      <w:divBdr>
        <w:top w:val="none" w:sz="0" w:space="0" w:color="auto"/>
        <w:left w:val="none" w:sz="0" w:space="0" w:color="auto"/>
        <w:bottom w:val="none" w:sz="0" w:space="0" w:color="auto"/>
        <w:right w:val="none" w:sz="0" w:space="0" w:color="auto"/>
      </w:divBdr>
    </w:div>
    <w:div w:id="1209298001">
      <w:bodyDiv w:val="1"/>
      <w:marLeft w:val="0"/>
      <w:marRight w:val="0"/>
      <w:marTop w:val="0"/>
      <w:marBottom w:val="0"/>
      <w:divBdr>
        <w:top w:val="none" w:sz="0" w:space="0" w:color="auto"/>
        <w:left w:val="none" w:sz="0" w:space="0" w:color="auto"/>
        <w:bottom w:val="none" w:sz="0" w:space="0" w:color="auto"/>
        <w:right w:val="none" w:sz="0" w:space="0" w:color="auto"/>
      </w:divBdr>
    </w:div>
    <w:div w:id="1240214002">
      <w:bodyDiv w:val="1"/>
      <w:marLeft w:val="0"/>
      <w:marRight w:val="0"/>
      <w:marTop w:val="0"/>
      <w:marBottom w:val="0"/>
      <w:divBdr>
        <w:top w:val="none" w:sz="0" w:space="0" w:color="auto"/>
        <w:left w:val="none" w:sz="0" w:space="0" w:color="auto"/>
        <w:bottom w:val="none" w:sz="0" w:space="0" w:color="auto"/>
        <w:right w:val="none" w:sz="0" w:space="0" w:color="auto"/>
      </w:divBdr>
    </w:div>
    <w:div w:id="1269393983">
      <w:bodyDiv w:val="1"/>
      <w:marLeft w:val="0"/>
      <w:marRight w:val="0"/>
      <w:marTop w:val="0"/>
      <w:marBottom w:val="0"/>
      <w:divBdr>
        <w:top w:val="none" w:sz="0" w:space="0" w:color="auto"/>
        <w:left w:val="none" w:sz="0" w:space="0" w:color="auto"/>
        <w:bottom w:val="none" w:sz="0" w:space="0" w:color="auto"/>
        <w:right w:val="none" w:sz="0" w:space="0" w:color="auto"/>
      </w:divBdr>
    </w:div>
    <w:div w:id="1306737025">
      <w:bodyDiv w:val="1"/>
      <w:marLeft w:val="0"/>
      <w:marRight w:val="0"/>
      <w:marTop w:val="0"/>
      <w:marBottom w:val="0"/>
      <w:divBdr>
        <w:top w:val="none" w:sz="0" w:space="0" w:color="auto"/>
        <w:left w:val="none" w:sz="0" w:space="0" w:color="auto"/>
        <w:bottom w:val="none" w:sz="0" w:space="0" w:color="auto"/>
        <w:right w:val="none" w:sz="0" w:space="0" w:color="auto"/>
      </w:divBdr>
    </w:div>
    <w:div w:id="1344287591">
      <w:bodyDiv w:val="1"/>
      <w:marLeft w:val="0"/>
      <w:marRight w:val="0"/>
      <w:marTop w:val="0"/>
      <w:marBottom w:val="0"/>
      <w:divBdr>
        <w:top w:val="none" w:sz="0" w:space="0" w:color="auto"/>
        <w:left w:val="none" w:sz="0" w:space="0" w:color="auto"/>
        <w:bottom w:val="none" w:sz="0" w:space="0" w:color="auto"/>
        <w:right w:val="none" w:sz="0" w:space="0" w:color="auto"/>
      </w:divBdr>
    </w:div>
    <w:div w:id="1352028764">
      <w:bodyDiv w:val="1"/>
      <w:marLeft w:val="0"/>
      <w:marRight w:val="0"/>
      <w:marTop w:val="0"/>
      <w:marBottom w:val="0"/>
      <w:divBdr>
        <w:top w:val="none" w:sz="0" w:space="0" w:color="auto"/>
        <w:left w:val="none" w:sz="0" w:space="0" w:color="auto"/>
        <w:bottom w:val="none" w:sz="0" w:space="0" w:color="auto"/>
        <w:right w:val="none" w:sz="0" w:space="0" w:color="auto"/>
      </w:divBdr>
    </w:div>
    <w:div w:id="1361859978">
      <w:bodyDiv w:val="1"/>
      <w:marLeft w:val="0"/>
      <w:marRight w:val="0"/>
      <w:marTop w:val="0"/>
      <w:marBottom w:val="0"/>
      <w:divBdr>
        <w:top w:val="none" w:sz="0" w:space="0" w:color="auto"/>
        <w:left w:val="none" w:sz="0" w:space="0" w:color="auto"/>
        <w:bottom w:val="none" w:sz="0" w:space="0" w:color="auto"/>
        <w:right w:val="none" w:sz="0" w:space="0" w:color="auto"/>
      </w:divBdr>
    </w:div>
    <w:div w:id="1426462693">
      <w:bodyDiv w:val="1"/>
      <w:marLeft w:val="0"/>
      <w:marRight w:val="0"/>
      <w:marTop w:val="0"/>
      <w:marBottom w:val="0"/>
      <w:divBdr>
        <w:top w:val="none" w:sz="0" w:space="0" w:color="auto"/>
        <w:left w:val="none" w:sz="0" w:space="0" w:color="auto"/>
        <w:bottom w:val="none" w:sz="0" w:space="0" w:color="auto"/>
        <w:right w:val="none" w:sz="0" w:space="0" w:color="auto"/>
      </w:divBdr>
    </w:div>
    <w:div w:id="1433085989">
      <w:bodyDiv w:val="1"/>
      <w:marLeft w:val="0"/>
      <w:marRight w:val="0"/>
      <w:marTop w:val="0"/>
      <w:marBottom w:val="0"/>
      <w:divBdr>
        <w:top w:val="none" w:sz="0" w:space="0" w:color="auto"/>
        <w:left w:val="none" w:sz="0" w:space="0" w:color="auto"/>
        <w:bottom w:val="none" w:sz="0" w:space="0" w:color="auto"/>
        <w:right w:val="none" w:sz="0" w:space="0" w:color="auto"/>
      </w:divBdr>
    </w:div>
    <w:div w:id="1454594474">
      <w:bodyDiv w:val="1"/>
      <w:marLeft w:val="0"/>
      <w:marRight w:val="0"/>
      <w:marTop w:val="0"/>
      <w:marBottom w:val="0"/>
      <w:divBdr>
        <w:top w:val="none" w:sz="0" w:space="0" w:color="auto"/>
        <w:left w:val="none" w:sz="0" w:space="0" w:color="auto"/>
        <w:bottom w:val="none" w:sz="0" w:space="0" w:color="auto"/>
        <w:right w:val="none" w:sz="0" w:space="0" w:color="auto"/>
      </w:divBdr>
    </w:div>
    <w:div w:id="1480264990">
      <w:bodyDiv w:val="1"/>
      <w:marLeft w:val="0"/>
      <w:marRight w:val="0"/>
      <w:marTop w:val="0"/>
      <w:marBottom w:val="0"/>
      <w:divBdr>
        <w:top w:val="none" w:sz="0" w:space="0" w:color="auto"/>
        <w:left w:val="none" w:sz="0" w:space="0" w:color="auto"/>
        <w:bottom w:val="none" w:sz="0" w:space="0" w:color="auto"/>
        <w:right w:val="none" w:sz="0" w:space="0" w:color="auto"/>
      </w:divBdr>
    </w:div>
    <w:div w:id="1493062258">
      <w:bodyDiv w:val="1"/>
      <w:marLeft w:val="0"/>
      <w:marRight w:val="0"/>
      <w:marTop w:val="0"/>
      <w:marBottom w:val="0"/>
      <w:divBdr>
        <w:top w:val="none" w:sz="0" w:space="0" w:color="auto"/>
        <w:left w:val="none" w:sz="0" w:space="0" w:color="auto"/>
        <w:bottom w:val="none" w:sz="0" w:space="0" w:color="auto"/>
        <w:right w:val="none" w:sz="0" w:space="0" w:color="auto"/>
      </w:divBdr>
    </w:div>
    <w:div w:id="1530146682">
      <w:bodyDiv w:val="1"/>
      <w:marLeft w:val="0"/>
      <w:marRight w:val="0"/>
      <w:marTop w:val="0"/>
      <w:marBottom w:val="0"/>
      <w:divBdr>
        <w:top w:val="none" w:sz="0" w:space="0" w:color="auto"/>
        <w:left w:val="none" w:sz="0" w:space="0" w:color="auto"/>
        <w:bottom w:val="none" w:sz="0" w:space="0" w:color="auto"/>
        <w:right w:val="none" w:sz="0" w:space="0" w:color="auto"/>
      </w:divBdr>
    </w:div>
    <w:div w:id="1552570374">
      <w:bodyDiv w:val="1"/>
      <w:marLeft w:val="0"/>
      <w:marRight w:val="0"/>
      <w:marTop w:val="0"/>
      <w:marBottom w:val="0"/>
      <w:divBdr>
        <w:top w:val="none" w:sz="0" w:space="0" w:color="auto"/>
        <w:left w:val="none" w:sz="0" w:space="0" w:color="auto"/>
        <w:bottom w:val="none" w:sz="0" w:space="0" w:color="auto"/>
        <w:right w:val="none" w:sz="0" w:space="0" w:color="auto"/>
      </w:divBdr>
    </w:div>
    <w:div w:id="1594822387">
      <w:bodyDiv w:val="1"/>
      <w:marLeft w:val="0"/>
      <w:marRight w:val="0"/>
      <w:marTop w:val="0"/>
      <w:marBottom w:val="0"/>
      <w:divBdr>
        <w:top w:val="none" w:sz="0" w:space="0" w:color="auto"/>
        <w:left w:val="none" w:sz="0" w:space="0" w:color="auto"/>
        <w:bottom w:val="none" w:sz="0" w:space="0" w:color="auto"/>
        <w:right w:val="none" w:sz="0" w:space="0" w:color="auto"/>
      </w:divBdr>
    </w:div>
    <w:div w:id="1612200886">
      <w:bodyDiv w:val="1"/>
      <w:marLeft w:val="0"/>
      <w:marRight w:val="0"/>
      <w:marTop w:val="0"/>
      <w:marBottom w:val="0"/>
      <w:divBdr>
        <w:top w:val="none" w:sz="0" w:space="0" w:color="auto"/>
        <w:left w:val="none" w:sz="0" w:space="0" w:color="auto"/>
        <w:bottom w:val="none" w:sz="0" w:space="0" w:color="auto"/>
        <w:right w:val="none" w:sz="0" w:space="0" w:color="auto"/>
      </w:divBdr>
    </w:div>
    <w:div w:id="1640304190">
      <w:bodyDiv w:val="1"/>
      <w:marLeft w:val="0"/>
      <w:marRight w:val="0"/>
      <w:marTop w:val="0"/>
      <w:marBottom w:val="0"/>
      <w:divBdr>
        <w:top w:val="none" w:sz="0" w:space="0" w:color="auto"/>
        <w:left w:val="none" w:sz="0" w:space="0" w:color="auto"/>
        <w:bottom w:val="none" w:sz="0" w:space="0" w:color="auto"/>
        <w:right w:val="none" w:sz="0" w:space="0" w:color="auto"/>
      </w:divBdr>
    </w:div>
    <w:div w:id="1644193280">
      <w:bodyDiv w:val="1"/>
      <w:marLeft w:val="0"/>
      <w:marRight w:val="0"/>
      <w:marTop w:val="0"/>
      <w:marBottom w:val="0"/>
      <w:divBdr>
        <w:top w:val="none" w:sz="0" w:space="0" w:color="auto"/>
        <w:left w:val="none" w:sz="0" w:space="0" w:color="auto"/>
        <w:bottom w:val="none" w:sz="0" w:space="0" w:color="auto"/>
        <w:right w:val="none" w:sz="0" w:space="0" w:color="auto"/>
      </w:divBdr>
    </w:div>
    <w:div w:id="1648513948">
      <w:bodyDiv w:val="1"/>
      <w:marLeft w:val="0"/>
      <w:marRight w:val="0"/>
      <w:marTop w:val="0"/>
      <w:marBottom w:val="0"/>
      <w:divBdr>
        <w:top w:val="none" w:sz="0" w:space="0" w:color="auto"/>
        <w:left w:val="none" w:sz="0" w:space="0" w:color="auto"/>
        <w:bottom w:val="none" w:sz="0" w:space="0" w:color="auto"/>
        <w:right w:val="none" w:sz="0" w:space="0" w:color="auto"/>
      </w:divBdr>
    </w:div>
    <w:div w:id="1652247747">
      <w:bodyDiv w:val="1"/>
      <w:marLeft w:val="0"/>
      <w:marRight w:val="0"/>
      <w:marTop w:val="0"/>
      <w:marBottom w:val="0"/>
      <w:divBdr>
        <w:top w:val="none" w:sz="0" w:space="0" w:color="auto"/>
        <w:left w:val="none" w:sz="0" w:space="0" w:color="auto"/>
        <w:bottom w:val="none" w:sz="0" w:space="0" w:color="auto"/>
        <w:right w:val="none" w:sz="0" w:space="0" w:color="auto"/>
      </w:divBdr>
    </w:div>
    <w:div w:id="1654066063">
      <w:bodyDiv w:val="1"/>
      <w:marLeft w:val="0"/>
      <w:marRight w:val="0"/>
      <w:marTop w:val="0"/>
      <w:marBottom w:val="0"/>
      <w:divBdr>
        <w:top w:val="none" w:sz="0" w:space="0" w:color="auto"/>
        <w:left w:val="none" w:sz="0" w:space="0" w:color="auto"/>
        <w:bottom w:val="none" w:sz="0" w:space="0" w:color="auto"/>
        <w:right w:val="none" w:sz="0" w:space="0" w:color="auto"/>
      </w:divBdr>
    </w:div>
    <w:div w:id="1664311660">
      <w:bodyDiv w:val="1"/>
      <w:marLeft w:val="0"/>
      <w:marRight w:val="0"/>
      <w:marTop w:val="0"/>
      <w:marBottom w:val="0"/>
      <w:divBdr>
        <w:top w:val="none" w:sz="0" w:space="0" w:color="auto"/>
        <w:left w:val="none" w:sz="0" w:space="0" w:color="auto"/>
        <w:bottom w:val="none" w:sz="0" w:space="0" w:color="auto"/>
        <w:right w:val="none" w:sz="0" w:space="0" w:color="auto"/>
      </w:divBdr>
    </w:div>
    <w:div w:id="1689867378">
      <w:bodyDiv w:val="1"/>
      <w:marLeft w:val="0"/>
      <w:marRight w:val="0"/>
      <w:marTop w:val="0"/>
      <w:marBottom w:val="0"/>
      <w:divBdr>
        <w:top w:val="none" w:sz="0" w:space="0" w:color="auto"/>
        <w:left w:val="none" w:sz="0" w:space="0" w:color="auto"/>
        <w:bottom w:val="none" w:sz="0" w:space="0" w:color="auto"/>
        <w:right w:val="none" w:sz="0" w:space="0" w:color="auto"/>
      </w:divBdr>
    </w:div>
    <w:div w:id="1714688766">
      <w:bodyDiv w:val="1"/>
      <w:marLeft w:val="0"/>
      <w:marRight w:val="0"/>
      <w:marTop w:val="0"/>
      <w:marBottom w:val="0"/>
      <w:divBdr>
        <w:top w:val="none" w:sz="0" w:space="0" w:color="auto"/>
        <w:left w:val="none" w:sz="0" w:space="0" w:color="auto"/>
        <w:bottom w:val="none" w:sz="0" w:space="0" w:color="auto"/>
        <w:right w:val="none" w:sz="0" w:space="0" w:color="auto"/>
      </w:divBdr>
    </w:div>
    <w:div w:id="1718629598">
      <w:bodyDiv w:val="1"/>
      <w:marLeft w:val="0"/>
      <w:marRight w:val="0"/>
      <w:marTop w:val="0"/>
      <w:marBottom w:val="0"/>
      <w:divBdr>
        <w:top w:val="none" w:sz="0" w:space="0" w:color="auto"/>
        <w:left w:val="none" w:sz="0" w:space="0" w:color="auto"/>
        <w:bottom w:val="none" w:sz="0" w:space="0" w:color="auto"/>
        <w:right w:val="none" w:sz="0" w:space="0" w:color="auto"/>
      </w:divBdr>
    </w:div>
    <w:div w:id="1727144218">
      <w:bodyDiv w:val="1"/>
      <w:marLeft w:val="0"/>
      <w:marRight w:val="0"/>
      <w:marTop w:val="0"/>
      <w:marBottom w:val="0"/>
      <w:divBdr>
        <w:top w:val="none" w:sz="0" w:space="0" w:color="auto"/>
        <w:left w:val="none" w:sz="0" w:space="0" w:color="auto"/>
        <w:bottom w:val="none" w:sz="0" w:space="0" w:color="auto"/>
        <w:right w:val="none" w:sz="0" w:space="0" w:color="auto"/>
      </w:divBdr>
    </w:div>
    <w:div w:id="1738090200">
      <w:bodyDiv w:val="1"/>
      <w:marLeft w:val="0"/>
      <w:marRight w:val="0"/>
      <w:marTop w:val="0"/>
      <w:marBottom w:val="0"/>
      <w:divBdr>
        <w:top w:val="none" w:sz="0" w:space="0" w:color="auto"/>
        <w:left w:val="none" w:sz="0" w:space="0" w:color="auto"/>
        <w:bottom w:val="none" w:sz="0" w:space="0" w:color="auto"/>
        <w:right w:val="none" w:sz="0" w:space="0" w:color="auto"/>
      </w:divBdr>
    </w:div>
    <w:div w:id="1739787295">
      <w:bodyDiv w:val="1"/>
      <w:marLeft w:val="0"/>
      <w:marRight w:val="0"/>
      <w:marTop w:val="0"/>
      <w:marBottom w:val="0"/>
      <w:divBdr>
        <w:top w:val="none" w:sz="0" w:space="0" w:color="auto"/>
        <w:left w:val="none" w:sz="0" w:space="0" w:color="auto"/>
        <w:bottom w:val="none" w:sz="0" w:space="0" w:color="auto"/>
        <w:right w:val="none" w:sz="0" w:space="0" w:color="auto"/>
      </w:divBdr>
    </w:div>
    <w:div w:id="1781220103">
      <w:bodyDiv w:val="1"/>
      <w:marLeft w:val="0"/>
      <w:marRight w:val="0"/>
      <w:marTop w:val="0"/>
      <w:marBottom w:val="0"/>
      <w:divBdr>
        <w:top w:val="none" w:sz="0" w:space="0" w:color="auto"/>
        <w:left w:val="none" w:sz="0" w:space="0" w:color="auto"/>
        <w:bottom w:val="none" w:sz="0" w:space="0" w:color="auto"/>
        <w:right w:val="none" w:sz="0" w:space="0" w:color="auto"/>
      </w:divBdr>
    </w:div>
    <w:div w:id="1796361708">
      <w:bodyDiv w:val="1"/>
      <w:marLeft w:val="0"/>
      <w:marRight w:val="0"/>
      <w:marTop w:val="0"/>
      <w:marBottom w:val="0"/>
      <w:divBdr>
        <w:top w:val="none" w:sz="0" w:space="0" w:color="auto"/>
        <w:left w:val="none" w:sz="0" w:space="0" w:color="auto"/>
        <w:bottom w:val="none" w:sz="0" w:space="0" w:color="auto"/>
        <w:right w:val="none" w:sz="0" w:space="0" w:color="auto"/>
      </w:divBdr>
    </w:div>
    <w:div w:id="1806921142">
      <w:bodyDiv w:val="1"/>
      <w:marLeft w:val="0"/>
      <w:marRight w:val="0"/>
      <w:marTop w:val="0"/>
      <w:marBottom w:val="0"/>
      <w:divBdr>
        <w:top w:val="none" w:sz="0" w:space="0" w:color="auto"/>
        <w:left w:val="none" w:sz="0" w:space="0" w:color="auto"/>
        <w:bottom w:val="none" w:sz="0" w:space="0" w:color="auto"/>
        <w:right w:val="none" w:sz="0" w:space="0" w:color="auto"/>
      </w:divBdr>
    </w:div>
    <w:div w:id="1840850157">
      <w:bodyDiv w:val="1"/>
      <w:marLeft w:val="0"/>
      <w:marRight w:val="0"/>
      <w:marTop w:val="0"/>
      <w:marBottom w:val="0"/>
      <w:divBdr>
        <w:top w:val="none" w:sz="0" w:space="0" w:color="auto"/>
        <w:left w:val="none" w:sz="0" w:space="0" w:color="auto"/>
        <w:bottom w:val="none" w:sz="0" w:space="0" w:color="auto"/>
        <w:right w:val="none" w:sz="0" w:space="0" w:color="auto"/>
      </w:divBdr>
    </w:div>
    <w:div w:id="1842423628">
      <w:bodyDiv w:val="1"/>
      <w:marLeft w:val="0"/>
      <w:marRight w:val="0"/>
      <w:marTop w:val="0"/>
      <w:marBottom w:val="0"/>
      <w:divBdr>
        <w:top w:val="none" w:sz="0" w:space="0" w:color="auto"/>
        <w:left w:val="none" w:sz="0" w:space="0" w:color="auto"/>
        <w:bottom w:val="none" w:sz="0" w:space="0" w:color="auto"/>
        <w:right w:val="none" w:sz="0" w:space="0" w:color="auto"/>
      </w:divBdr>
    </w:div>
    <w:div w:id="1866669371">
      <w:bodyDiv w:val="1"/>
      <w:marLeft w:val="0"/>
      <w:marRight w:val="0"/>
      <w:marTop w:val="0"/>
      <w:marBottom w:val="0"/>
      <w:divBdr>
        <w:top w:val="none" w:sz="0" w:space="0" w:color="auto"/>
        <w:left w:val="none" w:sz="0" w:space="0" w:color="auto"/>
        <w:bottom w:val="none" w:sz="0" w:space="0" w:color="auto"/>
        <w:right w:val="none" w:sz="0" w:space="0" w:color="auto"/>
      </w:divBdr>
    </w:div>
    <w:div w:id="1879390561">
      <w:bodyDiv w:val="1"/>
      <w:marLeft w:val="0"/>
      <w:marRight w:val="0"/>
      <w:marTop w:val="0"/>
      <w:marBottom w:val="0"/>
      <w:divBdr>
        <w:top w:val="none" w:sz="0" w:space="0" w:color="auto"/>
        <w:left w:val="none" w:sz="0" w:space="0" w:color="auto"/>
        <w:bottom w:val="none" w:sz="0" w:space="0" w:color="auto"/>
        <w:right w:val="none" w:sz="0" w:space="0" w:color="auto"/>
      </w:divBdr>
    </w:div>
    <w:div w:id="1892959321">
      <w:bodyDiv w:val="1"/>
      <w:marLeft w:val="0"/>
      <w:marRight w:val="0"/>
      <w:marTop w:val="0"/>
      <w:marBottom w:val="0"/>
      <w:divBdr>
        <w:top w:val="none" w:sz="0" w:space="0" w:color="auto"/>
        <w:left w:val="none" w:sz="0" w:space="0" w:color="auto"/>
        <w:bottom w:val="none" w:sz="0" w:space="0" w:color="auto"/>
        <w:right w:val="none" w:sz="0" w:space="0" w:color="auto"/>
      </w:divBdr>
    </w:div>
    <w:div w:id="1897466853">
      <w:bodyDiv w:val="1"/>
      <w:marLeft w:val="0"/>
      <w:marRight w:val="0"/>
      <w:marTop w:val="0"/>
      <w:marBottom w:val="0"/>
      <w:divBdr>
        <w:top w:val="none" w:sz="0" w:space="0" w:color="auto"/>
        <w:left w:val="none" w:sz="0" w:space="0" w:color="auto"/>
        <w:bottom w:val="none" w:sz="0" w:space="0" w:color="auto"/>
        <w:right w:val="none" w:sz="0" w:space="0" w:color="auto"/>
      </w:divBdr>
    </w:div>
    <w:div w:id="1918979885">
      <w:bodyDiv w:val="1"/>
      <w:marLeft w:val="0"/>
      <w:marRight w:val="0"/>
      <w:marTop w:val="0"/>
      <w:marBottom w:val="0"/>
      <w:divBdr>
        <w:top w:val="none" w:sz="0" w:space="0" w:color="auto"/>
        <w:left w:val="none" w:sz="0" w:space="0" w:color="auto"/>
        <w:bottom w:val="none" w:sz="0" w:space="0" w:color="auto"/>
        <w:right w:val="none" w:sz="0" w:space="0" w:color="auto"/>
      </w:divBdr>
    </w:div>
    <w:div w:id="1925996147">
      <w:bodyDiv w:val="1"/>
      <w:marLeft w:val="0"/>
      <w:marRight w:val="0"/>
      <w:marTop w:val="0"/>
      <w:marBottom w:val="0"/>
      <w:divBdr>
        <w:top w:val="none" w:sz="0" w:space="0" w:color="auto"/>
        <w:left w:val="none" w:sz="0" w:space="0" w:color="auto"/>
        <w:bottom w:val="none" w:sz="0" w:space="0" w:color="auto"/>
        <w:right w:val="none" w:sz="0" w:space="0" w:color="auto"/>
      </w:divBdr>
    </w:div>
    <w:div w:id="1926761179">
      <w:bodyDiv w:val="1"/>
      <w:marLeft w:val="0"/>
      <w:marRight w:val="0"/>
      <w:marTop w:val="0"/>
      <w:marBottom w:val="0"/>
      <w:divBdr>
        <w:top w:val="none" w:sz="0" w:space="0" w:color="auto"/>
        <w:left w:val="none" w:sz="0" w:space="0" w:color="auto"/>
        <w:bottom w:val="none" w:sz="0" w:space="0" w:color="auto"/>
        <w:right w:val="none" w:sz="0" w:space="0" w:color="auto"/>
      </w:divBdr>
    </w:div>
    <w:div w:id="1945724970">
      <w:bodyDiv w:val="1"/>
      <w:marLeft w:val="0"/>
      <w:marRight w:val="0"/>
      <w:marTop w:val="0"/>
      <w:marBottom w:val="0"/>
      <w:divBdr>
        <w:top w:val="none" w:sz="0" w:space="0" w:color="auto"/>
        <w:left w:val="none" w:sz="0" w:space="0" w:color="auto"/>
        <w:bottom w:val="none" w:sz="0" w:space="0" w:color="auto"/>
        <w:right w:val="none" w:sz="0" w:space="0" w:color="auto"/>
      </w:divBdr>
    </w:div>
    <w:div w:id="2016951583">
      <w:bodyDiv w:val="1"/>
      <w:marLeft w:val="0"/>
      <w:marRight w:val="0"/>
      <w:marTop w:val="0"/>
      <w:marBottom w:val="0"/>
      <w:divBdr>
        <w:top w:val="none" w:sz="0" w:space="0" w:color="auto"/>
        <w:left w:val="none" w:sz="0" w:space="0" w:color="auto"/>
        <w:bottom w:val="none" w:sz="0" w:space="0" w:color="auto"/>
        <w:right w:val="none" w:sz="0" w:space="0" w:color="auto"/>
      </w:divBdr>
    </w:div>
    <w:div w:id="2020085420">
      <w:bodyDiv w:val="1"/>
      <w:marLeft w:val="0"/>
      <w:marRight w:val="0"/>
      <w:marTop w:val="0"/>
      <w:marBottom w:val="0"/>
      <w:divBdr>
        <w:top w:val="none" w:sz="0" w:space="0" w:color="auto"/>
        <w:left w:val="none" w:sz="0" w:space="0" w:color="auto"/>
        <w:bottom w:val="none" w:sz="0" w:space="0" w:color="auto"/>
        <w:right w:val="none" w:sz="0" w:space="0" w:color="auto"/>
      </w:divBdr>
    </w:div>
    <w:div w:id="2048942416">
      <w:bodyDiv w:val="1"/>
      <w:marLeft w:val="0"/>
      <w:marRight w:val="0"/>
      <w:marTop w:val="0"/>
      <w:marBottom w:val="0"/>
      <w:divBdr>
        <w:top w:val="none" w:sz="0" w:space="0" w:color="auto"/>
        <w:left w:val="none" w:sz="0" w:space="0" w:color="auto"/>
        <w:bottom w:val="none" w:sz="0" w:space="0" w:color="auto"/>
        <w:right w:val="none" w:sz="0" w:space="0" w:color="auto"/>
      </w:divBdr>
    </w:div>
    <w:div w:id="2060282236">
      <w:bodyDiv w:val="1"/>
      <w:marLeft w:val="0"/>
      <w:marRight w:val="0"/>
      <w:marTop w:val="0"/>
      <w:marBottom w:val="0"/>
      <w:divBdr>
        <w:top w:val="none" w:sz="0" w:space="0" w:color="auto"/>
        <w:left w:val="none" w:sz="0" w:space="0" w:color="auto"/>
        <w:bottom w:val="none" w:sz="0" w:space="0" w:color="auto"/>
        <w:right w:val="none" w:sz="0" w:space="0" w:color="auto"/>
      </w:divBdr>
    </w:div>
    <w:div w:id="2070642200">
      <w:bodyDiv w:val="1"/>
      <w:marLeft w:val="0"/>
      <w:marRight w:val="0"/>
      <w:marTop w:val="0"/>
      <w:marBottom w:val="0"/>
      <w:divBdr>
        <w:top w:val="none" w:sz="0" w:space="0" w:color="auto"/>
        <w:left w:val="none" w:sz="0" w:space="0" w:color="auto"/>
        <w:bottom w:val="none" w:sz="0" w:space="0" w:color="auto"/>
        <w:right w:val="none" w:sz="0" w:space="0" w:color="auto"/>
      </w:divBdr>
    </w:div>
    <w:div w:id="2071616919">
      <w:bodyDiv w:val="1"/>
      <w:marLeft w:val="0"/>
      <w:marRight w:val="0"/>
      <w:marTop w:val="0"/>
      <w:marBottom w:val="0"/>
      <w:divBdr>
        <w:top w:val="none" w:sz="0" w:space="0" w:color="auto"/>
        <w:left w:val="none" w:sz="0" w:space="0" w:color="auto"/>
        <w:bottom w:val="none" w:sz="0" w:space="0" w:color="auto"/>
        <w:right w:val="none" w:sz="0" w:space="0" w:color="auto"/>
      </w:divBdr>
    </w:div>
    <w:div w:id="2122914341">
      <w:bodyDiv w:val="1"/>
      <w:marLeft w:val="0"/>
      <w:marRight w:val="0"/>
      <w:marTop w:val="0"/>
      <w:marBottom w:val="0"/>
      <w:divBdr>
        <w:top w:val="none" w:sz="0" w:space="0" w:color="auto"/>
        <w:left w:val="none" w:sz="0" w:space="0" w:color="auto"/>
        <w:bottom w:val="none" w:sz="0" w:space="0" w:color="auto"/>
        <w:right w:val="none" w:sz="0" w:space="0" w:color="auto"/>
      </w:divBdr>
    </w:div>
    <w:div w:id="2134516567">
      <w:bodyDiv w:val="1"/>
      <w:marLeft w:val="0"/>
      <w:marRight w:val="0"/>
      <w:marTop w:val="0"/>
      <w:marBottom w:val="0"/>
      <w:divBdr>
        <w:top w:val="none" w:sz="0" w:space="0" w:color="auto"/>
        <w:left w:val="none" w:sz="0" w:space="0" w:color="auto"/>
        <w:bottom w:val="none" w:sz="0" w:space="0" w:color="auto"/>
        <w:right w:val="none" w:sz="0" w:space="0" w:color="auto"/>
      </w:divBdr>
    </w:div>
    <w:div w:id="21454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9F2D-BA8E-4328-AFEB-5FC2DCFB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4008</Words>
  <Characters>22047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Martinez</dc:creator>
  <cp:lastModifiedBy>Roxana Martinez</cp:lastModifiedBy>
  <cp:revision>27</cp:revision>
  <cp:lastPrinted>2018-11-15T19:24:00Z</cp:lastPrinted>
  <dcterms:created xsi:type="dcterms:W3CDTF">2018-10-26T16:41:00Z</dcterms:created>
  <dcterms:modified xsi:type="dcterms:W3CDTF">2018-11-16T14:37:00Z</dcterms:modified>
</cp:coreProperties>
</file>