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091" w:rsidRPr="00565D2C" w:rsidRDefault="00856091" w:rsidP="00565D2C">
      <w:pPr>
        <w:jc w:val="both"/>
        <w:rPr>
          <w:rFonts w:ascii="Times New Roman" w:hAnsi="Times New Roman" w:cs="Times New Roman"/>
          <w:b/>
          <w:sz w:val="24"/>
          <w:szCs w:val="24"/>
        </w:rPr>
      </w:pPr>
      <w:r w:rsidRPr="00565D2C">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1992249</wp:posOffset>
            </wp:positionH>
            <wp:positionV relativeFrom="paragraph">
              <wp:posOffset>80442</wp:posOffset>
            </wp:positionV>
            <wp:extent cx="1389888" cy="1163117"/>
            <wp:effectExtent l="19050" t="0" r="762" b="0"/>
            <wp:wrapNone/>
            <wp:docPr id="11" name="Imagen 1" descr="C:\Documents and Settings\lhurtado\Configuración local\Archivos temporales de Internet\Content.Outlook\EKFFFY03\LOGOTIPO SC VERTICAL.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lhurtado\Configuración local\Archivos temporales de Internet\Content.Outlook\EKFFFY03\LOGOTIPO SC VERTICAL.jpg"/>
                    <pic:cNvPicPr>
                      <a:picLocks noChangeAspect="1" noChangeArrowheads="1"/>
                    </pic:cNvPicPr>
                  </pic:nvPicPr>
                  <pic:blipFill>
                    <a:blip r:embed="rId8" cstate="print"/>
                    <a:srcRect/>
                    <a:stretch>
                      <a:fillRect/>
                    </a:stretch>
                  </pic:blipFill>
                  <pic:spPr bwMode="auto">
                    <a:xfrm>
                      <a:off x="0" y="0"/>
                      <a:ext cx="1389888" cy="1163117"/>
                    </a:xfrm>
                    <a:prstGeom prst="rect">
                      <a:avLst/>
                    </a:prstGeom>
                    <a:noFill/>
                    <a:ln w="9525">
                      <a:noFill/>
                      <a:miter lim="800000"/>
                      <a:headEnd/>
                      <a:tailEnd/>
                    </a:ln>
                  </pic:spPr>
                </pic:pic>
              </a:graphicData>
            </a:graphic>
          </wp:anchor>
        </w:drawing>
      </w:r>
    </w:p>
    <w:p w:rsidR="00856091" w:rsidRPr="00565D2C" w:rsidRDefault="00856091" w:rsidP="00565D2C">
      <w:pPr>
        <w:jc w:val="both"/>
        <w:rPr>
          <w:rFonts w:ascii="Times New Roman" w:hAnsi="Times New Roman" w:cs="Times New Roman"/>
          <w:sz w:val="24"/>
          <w:szCs w:val="24"/>
        </w:rPr>
      </w:pPr>
    </w:p>
    <w:p w:rsidR="00856091" w:rsidRPr="00565D2C" w:rsidRDefault="00856091" w:rsidP="00565D2C">
      <w:pPr>
        <w:jc w:val="both"/>
        <w:rPr>
          <w:rFonts w:ascii="Times New Roman" w:hAnsi="Times New Roman" w:cs="Times New Roman"/>
          <w:sz w:val="24"/>
          <w:szCs w:val="24"/>
        </w:rPr>
      </w:pPr>
    </w:p>
    <w:p w:rsidR="00856091" w:rsidRPr="00565D2C" w:rsidRDefault="00856091" w:rsidP="00565D2C">
      <w:pPr>
        <w:jc w:val="both"/>
        <w:rPr>
          <w:rFonts w:ascii="Times New Roman" w:hAnsi="Times New Roman" w:cs="Times New Roman"/>
          <w:sz w:val="24"/>
          <w:szCs w:val="24"/>
        </w:rPr>
      </w:pPr>
    </w:p>
    <w:p w:rsidR="00856091" w:rsidRPr="00565D2C" w:rsidRDefault="00856091" w:rsidP="00565D2C">
      <w:pPr>
        <w:jc w:val="both"/>
        <w:rPr>
          <w:rFonts w:ascii="Times New Roman" w:hAnsi="Times New Roman" w:cs="Times New Roman"/>
          <w:sz w:val="24"/>
          <w:szCs w:val="24"/>
        </w:rPr>
      </w:pPr>
    </w:p>
    <w:p w:rsidR="00856091" w:rsidRPr="00565D2C" w:rsidRDefault="00856091" w:rsidP="00565D2C">
      <w:pPr>
        <w:jc w:val="both"/>
        <w:rPr>
          <w:rFonts w:ascii="Times New Roman" w:hAnsi="Times New Roman" w:cs="Times New Roman"/>
          <w:sz w:val="24"/>
          <w:szCs w:val="24"/>
        </w:rPr>
      </w:pPr>
    </w:p>
    <w:p w:rsidR="007C08A0" w:rsidRPr="00565D2C" w:rsidRDefault="007C08A0" w:rsidP="00565D2C">
      <w:pPr>
        <w:jc w:val="both"/>
        <w:rPr>
          <w:rFonts w:ascii="Times New Roman" w:hAnsi="Times New Roman" w:cs="Times New Roman"/>
          <w:b/>
          <w:sz w:val="24"/>
          <w:szCs w:val="24"/>
        </w:rPr>
      </w:pPr>
    </w:p>
    <w:p w:rsidR="007C08A0" w:rsidRPr="00565D2C" w:rsidRDefault="007C08A0" w:rsidP="00565D2C">
      <w:pPr>
        <w:jc w:val="both"/>
        <w:rPr>
          <w:rFonts w:ascii="Times New Roman" w:hAnsi="Times New Roman" w:cs="Times New Roman"/>
          <w:b/>
          <w:sz w:val="24"/>
          <w:szCs w:val="24"/>
        </w:rPr>
      </w:pPr>
    </w:p>
    <w:p w:rsidR="007C08A0" w:rsidRPr="00565D2C" w:rsidRDefault="007C08A0" w:rsidP="00565D2C">
      <w:pPr>
        <w:jc w:val="both"/>
        <w:rPr>
          <w:rFonts w:ascii="Times New Roman" w:hAnsi="Times New Roman" w:cs="Times New Roman"/>
          <w:b/>
          <w:sz w:val="24"/>
          <w:szCs w:val="24"/>
        </w:rPr>
      </w:pPr>
    </w:p>
    <w:p w:rsidR="00F35AB2" w:rsidRPr="000A00D7" w:rsidRDefault="00DB19D7" w:rsidP="000A00D7">
      <w:pPr>
        <w:jc w:val="center"/>
        <w:rPr>
          <w:rFonts w:ascii="Times New Roman" w:hAnsi="Times New Roman" w:cs="Times New Roman"/>
          <w:b/>
          <w:sz w:val="36"/>
          <w:szCs w:val="24"/>
        </w:rPr>
      </w:pPr>
      <w:r w:rsidRPr="000A00D7">
        <w:rPr>
          <w:rFonts w:ascii="Times New Roman" w:hAnsi="Times New Roman" w:cs="Times New Roman"/>
          <w:b/>
          <w:sz w:val="36"/>
          <w:szCs w:val="24"/>
        </w:rPr>
        <w:t xml:space="preserve">Informe de </w:t>
      </w:r>
      <w:r w:rsidR="00FA3978" w:rsidRPr="000A00D7">
        <w:rPr>
          <w:rFonts w:ascii="Times New Roman" w:hAnsi="Times New Roman" w:cs="Times New Roman"/>
          <w:b/>
          <w:sz w:val="36"/>
          <w:szCs w:val="24"/>
        </w:rPr>
        <w:t xml:space="preserve">seguimiento y </w:t>
      </w:r>
      <w:r w:rsidRPr="000A00D7">
        <w:rPr>
          <w:rFonts w:ascii="Times New Roman" w:hAnsi="Times New Roman" w:cs="Times New Roman"/>
          <w:b/>
          <w:sz w:val="36"/>
          <w:szCs w:val="24"/>
        </w:rPr>
        <w:t xml:space="preserve">evaluación </w:t>
      </w:r>
      <w:r w:rsidR="00644BFB" w:rsidRPr="000A00D7">
        <w:rPr>
          <w:rFonts w:ascii="Times New Roman" w:hAnsi="Times New Roman" w:cs="Times New Roman"/>
          <w:b/>
          <w:sz w:val="36"/>
          <w:szCs w:val="24"/>
        </w:rPr>
        <w:t xml:space="preserve">del </w:t>
      </w:r>
      <w:r w:rsidR="00E1325C" w:rsidRPr="000A00D7">
        <w:rPr>
          <w:rFonts w:ascii="Times New Roman" w:hAnsi="Times New Roman" w:cs="Times New Roman"/>
          <w:b/>
          <w:sz w:val="36"/>
          <w:szCs w:val="24"/>
        </w:rPr>
        <w:t xml:space="preserve">plan estratégico, del </w:t>
      </w:r>
      <w:r w:rsidR="00053CD3" w:rsidRPr="000A00D7">
        <w:rPr>
          <w:rFonts w:ascii="Times New Roman" w:hAnsi="Times New Roman" w:cs="Times New Roman"/>
          <w:b/>
          <w:sz w:val="36"/>
          <w:szCs w:val="24"/>
        </w:rPr>
        <w:t>plan operativo anual</w:t>
      </w:r>
      <w:r w:rsidR="00E1325C" w:rsidRPr="000A00D7">
        <w:rPr>
          <w:rFonts w:ascii="Times New Roman" w:hAnsi="Times New Roman" w:cs="Times New Roman"/>
          <w:b/>
          <w:sz w:val="36"/>
          <w:szCs w:val="24"/>
        </w:rPr>
        <w:t xml:space="preserve"> y de la matriz de riesgos</w:t>
      </w:r>
      <w:r w:rsidR="00053CD3" w:rsidRPr="000A00D7">
        <w:rPr>
          <w:rFonts w:ascii="Times New Roman" w:hAnsi="Times New Roman" w:cs="Times New Roman"/>
          <w:b/>
          <w:sz w:val="36"/>
          <w:szCs w:val="24"/>
        </w:rPr>
        <w:t xml:space="preserve"> de la Superintendencia</w:t>
      </w:r>
      <w:r w:rsidR="008800D7" w:rsidRPr="000A00D7">
        <w:rPr>
          <w:rFonts w:ascii="Times New Roman" w:hAnsi="Times New Roman" w:cs="Times New Roman"/>
          <w:b/>
          <w:sz w:val="36"/>
          <w:szCs w:val="24"/>
        </w:rPr>
        <w:t xml:space="preserve"> de Competencia </w:t>
      </w:r>
      <w:r w:rsidR="00053CD3" w:rsidRPr="000A00D7">
        <w:rPr>
          <w:rFonts w:ascii="Times New Roman" w:hAnsi="Times New Roman" w:cs="Times New Roman"/>
          <w:b/>
          <w:sz w:val="36"/>
          <w:szCs w:val="24"/>
        </w:rPr>
        <w:t xml:space="preserve">al </w:t>
      </w:r>
      <w:r w:rsidR="004053E1" w:rsidRPr="000A00D7">
        <w:rPr>
          <w:rFonts w:ascii="Times New Roman" w:hAnsi="Times New Roman" w:cs="Times New Roman"/>
          <w:b/>
          <w:sz w:val="36"/>
          <w:szCs w:val="24"/>
        </w:rPr>
        <w:t xml:space="preserve">primer semestre </w:t>
      </w:r>
      <w:r w:rsidR="00FB6DD5" w:rsidRPr="000A00D7">
        <w:rPr>
          <w:rFonts w:ascii="Times New Roman" w:hAnsi="Times New Roman" w:cs="Times New Roman"/>
          <w:b/>
          <w:sz w:val="36"/>
          <w:szCs w:val="24"/>
        </w:rPr>
        <w:t>2018</w:t>
      </w:r>
      <w:r w:rsidR="00F34171" w:rsidRPr="000A00D7">
        <w:rPr>
          <w:rFonts w:ascii="Times New Roman" w:hAnsi="Times New Roman" w:cs="Times New Roman"/>
          <w:b/>
          <w:sz w:val="36"/>
          <w:szCs w:val="24"/>
        </w:rPr>
        <w:t>.</w:t>
      </w: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p w:rsidR="00FB2F17" w:rsidRDefault="00FB2F17" w:rsidP="00565D2C">
      <w:pPr>
        <w:jc w:val="both"/>
        <w:rPr>
          <w:rFonts w:ascii="Times New Roman" w:hAnsi="Times New Roman" w:cs="Times New Roman"/>
          <w:b/>
          <w:sz w:val="24"/>
          <w:szCs w:val="24"/>
        </w:rPr>
      </w:pPr>
    </w:p>
    <w:p w:rsidR="0001555F" w:rsidRPr="00565D2C" w:rsidRDefault="0001555F" w:rsidP="00565D2C">
      <w:pPr>
        <w:jc w:val="both"/>
        <w:rPr>
          <w:rFonts w:ascii="Times New Roman" w:hAnsi="Times New Roman" w:cs="Times New Roman"/>
          <w:b/>
          <w:sz w:val="24"/>
          <w:szCs w:val="24"/>
        </w:rPr>
      </w:pPr>
    </w:p>
    <w:p w:rsidR="00FB2F17" w:rsidRPr="00565D2C" w:rsidRDefault="00FB2F17" w:rsidP="00565D2C">
      <w:pPr>
        <w:jc w:val="both"/>
        <w:rPr>
          <w:rFonts w:ascii="Times New Roman" w:hAnsi="Times New Roman" w:cs="Times New Roman"/>
          <w:b/>
          <w:sz w:val="24"/>
          <w:szCs w:val="24"/>
        </w:rPr>
      </w:pPr>
    </w:p>
    <w:sdt>
      <w:sdtPr>
        <w:rPr>
          <w:rFonts w:ascii="Times New Roman" w:eastAsiaTheme="minorEastAsia" w:hAnsi="Times New Roman" w:cs="Times New Roman"/>
          <w:color w:val="auto"/>
          <w:sz w:val="24"/>
          <w:szCs w:val="24"/>
          <w:lang w:val="es-ES"/>
        </w:rPr>
        <w:id w:val="220329640"/>
        <w:docPartObj>
          <w:docPartGallery w:val="Table of Contents"/>
          <w:docPartUnique/>
        </w:docPartObj>
      </w:sdtPr>
      <w:sdtEndPr>
        <w:rPr>
          <w:b/>
          <w:bCs/>
        </w:rPr>
      </w:sdtEndPr>
      <w:sdtContent>
        <w:p w:rsidR="00FB2F17" w:rsidRPr="00565D2C" w:rsidRDefault="00FB2F17" w:rsidP="00565D2C">
          <w:pPr>
            <w:pStyle w:val="TtuloTDC"/>
            <w:jc w:val="both"/>
            <w:rPr>
              <w:rFonts w:ascii="Times New Roman" w:hAnsi="Times New Roman" w:cs="Times New Roman"/>
              <w:sz w:val="24"/>
              <w:szCs w:val="24"/>
            </w:rPr>
          </w:pPr>
          <w:r w:rsidRPr="00565D2C">
            <w:rPr>
              <w:rFonts w:ascii="Times New Roman" w:hAnsi="Times New Roman" w:cs="Times New Roman"/>
              <w:sz w:val="24"/>
              <w:szCs w:val="24"/>
              <w:lang w:val="es-ES"/>
            </w:rPr>
            <w:t>Contenido</w:t>
          </w:r>
        </w:p>
        <w:p w:rsidR="0001555F" w:rsidRDefault="00FB2F17">
          <w:pPr>
            <w:pStyle w:val="TDC1"/>
            <w:tabs>
              <w:tab w:val="left" w:pos="440"/>
              <w:tab w:val="right" w:leader="dot" w:pos="8828"/>
            </w:tabs>
            <w:rPr>
              <w:noProof/>
            </w:rPr>
          </w:pPr>
          <w:r w:rsidRPr="00565D2C">
            <w:rPr>
              <w:rFonts w:ascii="Times New Roman" w:hAnsi="Times New Roman" w:cs="Times New Roman"/>
              <w:sz w:val="24"/>
              <w:szCs w:val="24"/>
            </w:rPr>
            <w:fldChar w:fldCharType="begin"/>
          </w:r>
          <w:r w:rsidRPr="00565D2C">
            <w:rPr>
              <w:rFonts w:ascii="Times New Roman" w:hAnsi="Times New Roman" w:cs="Times New Roman"/>
              <w:sz w:val="24"/>
              <w:szCs w:val="24"/>
            </w:rPr>
            <w:instrText xml:space="preserve"> TOC \o "1-3" \h \z \u </w:instrText>
          </w:r>
          <w:r w:rsidRPr="00565D2C">
            <w:rPr>
              <w:rFonts w:ascii="Times New Roman" w:hAnsi="Times New Roman" w:cs="Times New Roman"/>
              <w:sz w:val="24"/>
              <w:szCs w:val="24"/>
            </w:rPr>
            <w:fldChar w:fldCharType="separate"/>
          </w:r>
          <w:hyperlink w:anchor="_Toc523143294" w:history="1">
            <w:r w:rsidR="0001555F" w:rsidRPr="00F123C7">
              <w:rPr>
                <w:rStyle w:val="Hipervnculo"/>
                <w:rFonts w:ascii="Times New Roman" w:hAnsi="Times New Roman" w:cs="Times New Roman"/>
                <w:noProof/>
              </w:rPr>
              <w:t>I.</w:t>
            </w:r>
            <w:r w:rsidR="0001555F">
              <w:rPr>
                <w:noProof/>
              </w:rPr>
              <w:tab/>
            </w:r>
            <w:r w:rsidR="0001555F" w:rsidRPr="00F123C7">
              <w:rPr>
                <w:rStyle w:val="Hipervnculo"/>
                <w:rFonts w:ascii="Times New Roman" w:hAnsi="Times New Roman" w:cs="Times New Roman"/>
                <w:noProof/>
              </w:rPr>
              <w:t>Introducción.</w:t>
            </w:r>
            <w:r w:rsidR="0001555F">
              <w:rPr>
                <w:noProof/>
                <w:webHidden/>
              </w:rPr>
              <w:tab/>
            </w:r>
            <w:r w:rsidR="0001555F">
              <w:rPr>
                <w:noProof/>
                <w:webHidden/>
              </w:rPr>
              <w:fldChar w:fldCharType="begin"/>
            </w:r>
            <w:r w:rsidR="0001555F">
              <w:rPr>
                <w:noProof/>
                <w:webHidden/>
              </w:rPr>
              <w:instrText xml:space="preserve"> PAGEREF _Toc523143294 \h </w:instrText>
            </w:r>
            <w:r w:rsidR="0001555F">
              <w:rPr>
                <w:noProof/>
                <w:webHidden/>
              </w:rPr>
            </w:r>
            <w:r w:rsidR="0001555F">
              <w:rPr>
                <w:noProof/>
                <w:webHidden/>
              </w:rPr>
              <w:fldChar w:fldCharType="separate"/>
            </w:r>
            <w:r w:rsidR="0001555F">
              <w:rPr>
                <w:noProof/>
                <w:webHidden/>
              </w:rPr>
              <w:t>3</w:t>
            </w:r>
            <w:r w:rsidR="0001555F">
              <w:rPr>
                <w:noProof/>
                <w:webHidden/>
              </w:rPr>
              <w:fldChar w:fldCharType="end"/>
            </w:r>
          </w:hyperlink>
        </w:p>
        <w:p w:rsidR="0001555F" w:rsidRDefault="00D24B59">
          <w:pPr>
            <w:pStyle w:val="TDC1"/>
            <w:tabs>
              <w:tab w:val="left" w:pos="440"/>
              <w:tab w:val="right" w:leader="dot" w:pos="8828"/>
            </w:tabs>
            <w:rPr>
              <w:noProof/>
            </w:rPr>
          </w:pPr>
          <w:hyperlink w:anchor="_Toc523143295" w:history="1">
            <w:r w:rsidR="0001555F" w:rsidRPr="00F123C7">
              <w:rPr>
                <w:rStyle w:val="Hipervnculo"/>
                <w:rFonts w:ascii="Times New Roman" w:hAnsi="Times New Roman" w:cs="Times New Roman"/>
                <w:noProof/>
              </w:rPr>
              <w:t>II.</w:t>
            </w:r>
            <w:r w:rsidR="0001555F">
              <w:rPr>
                <w:noProof/>
              </w:rPr>
              <w:tab/>
            </w:r>
            <w:r w:rsidR="0001555F" w:rsidRPr="00F123C7">
              <w:rPr>
                <w:rStyle w:val="Hipervnculo"/>
                <w:rFonts w:ascii="Times New Roman" w:hAnsi="Times New Roman" w:cs="Times New Roman"/>
                <w:noProof/>
              </w:rPr>
              <w:t>Resultados del avance en el PEI al primer semestre 2018</w:t>
            </w:r>
            <w:r w:rsidR="0001555F">
              <w:rPr>
                <w:noProof/>
                <w:webHidden/>
              </w:rPr>
              <w:tab/>
            </w:r>
            <w:r w:rsidR="0001555F">
              <w:rPr>
                <w:noProof/>
                <w:webHidden/>
              </w:rPr>
              <w:fldChar w:fldCharType="begin"/>
            </w:r>
            <w:r w:rsidR="0001555F">
              <w:rPr>
                <w:noProof/>
                <w:webHidden/>
              </w:rPr>
              <w:instrText xml:space="preserve"> PAGEREF _Toc523143295 \h </w:instrText>
            </w:r>
            <w:r w:rsidR="0001555F">
              <w:rPr>
                <w:noProof/>
                <w:webHidden/>
              </w:rPr>
            </w:r>
            <w:r w:rsidR="0001555F">
              <w:rPr>
                <w:noProof/>
                <w:webHidden/>
              </w:rPr>
              <w:fldChar w:fldCharType="separate"/>
            </w:r>
            <w:r w:rsidR="0001555F">
              <w:rPr>
                <w:noProof/>
                <w:webHidden/>
              </w:rPr>
              <w:t>4</w:t>
            </w:r>
            <w:r w:rsidR="0001555F">
              <w:rPr>
                <w:noProof/>
                <w:webHidden/>
              </w:rPr>
              <w:fldChar w:fldCharType="end"/>
            </w:r>
          </w:hyperlink>
        </w:p>
        <w:p w:rsidR="0001555F" w:rsidRDefault="00D24B59">
          <w:pPr>
            <w:pStyle w:val="TDC1"/>
            <w:tabs>
              <w:tab w:val="left" w:pos="660"/>
              <w:tab w:val="right" w:leader="dot" w:pos="8828"/>
            </w:tabs>
            <w:rPr>
              <w:noProof/>
            </w:rPr>
          </w:pPr>
          <w:hyperlink w:anchor="_Toc523143296" w:history="1">
            <w:r w:rsidR="0001555F" w:rsidRPr="00F123C7">
              <w:rPr>
                <w:rStyle w:val="Hipervnculo"/>
                <w:rFonts w:ascii="Times New Roman" w:hAnsi="Times New Roman" w:cs="Times New Roman"/>
                <w:noProof/>
              </w:rPr>
              <w:t>III.</w:t>
            </w:r>
            <w:r w:rsidR="0001555F">
              <w:rPr>
                <w:noProof/>
              </w:rPr>
              <w:tab/>
            </w:r>
            <w:r w:rsidR="0001555F" w:rsidRPr="00F123C7">
              <w:rPr>
                <w:rStyle w:val="Hipervnculo"/>
                <w:rFonts w:ascii="Times New Roman" w:hAnsi="Times New Roman" w:cs="Times New Roman"/>
                <w:noProof/>
              </w:rPr>
              <w:t>Resultados de la evaluación de plan operativo por unidad</w:t>
            </w:r>
            <w:r w:rsidR="0001555F">
              <w:rPr>
                <w:noProof/>
                <w:webHidden/>
              </w:rPr>
              <w:tab/>
            </w:r>
            <w:r w:rsidR="0001555F">
              <w:rPr>
                <w:noProof/>
                <w:webHidden/>
              </w:rPr>
              <w:fldChar w:fldCharType="begin"/>
            </w:r>
            <w:r w:rsidR="0001555F">
              <w:rPr>
                <w:noProof/>
                <w:webHidden/>
              </w:rPr>
              <w:instrText xml:space="preserve"> PAGEREF _Toc523143296 \h </w:instrText>
            </w:r>
            <w:r w:rsidR="0001555F">
              <w:rPr>
                <w:noProof/>
                <w:webHidden/>
              </w:rPr>
            </w:r>
            <w:r w:rsidR="0001555F">
              <w:rPr>
                <w:noProof/>
                <w:webHidden/>
              </w:rPr>
              <w:fldChar w:fldCharType="separate"/>
            </w:r>
            <w:r w:rsidR="0001555F">
              <w:rPr>
                <w:noProof/>
                <w:webHidden/>
              </w:rPr>
              <w:t>7</w:t>
            </w:r>
            <w:r w:rsidR="0001555F">
              <w:rPr>
                <w:noProof/>
                <w:webHidden/>
              </w:rPr>
              <w:fldChar w:fldCharType="end"/>
            </w:r>
          </w:hyperlink>
        </w:p>
        <w:p w:rsidR="0001555F" w:rsidRDefault="00D24B59">
          <w:pPr>
            <w:pStyle w:val="TDC2"/>
            <w:tabs>
              <w:tab w:val="left" w:pos="660"/>
              <w:tab w:val="right" w:leader="dot" w:pos="8828"/>
            </w:tabs>
            <w:rPr>
              <w:noProof/>
            </w:rPr>
          </w:pPr>
          <w:hyperlink w:anchor="_Toc523143297" w:history="1">
            <w:r w:rsidR="0001555F" w:rsidRPr="00F123C7">
              <w:rPr>
                <w:rStyle w:val="Hipervnculo"/>
                <w:rFonts w:ascii="Times New Roman" w:hAnsi="Times New Roman" w:cs="Times New Roman"/>
                <w:noProof/>
              </w:rPr>
              <w:t>1.</w:t>
            </w:r>
            <w:r w:rsidR="0001555F">
              <w:rPr>
                <w:noProof/>
              </w:rPr>
              <w:tab/>
            </w:r>
            <w:r w:rsidR="0001555F" w:rsidRPr="00F123C7">
              <w:rPr>
                <w:rStyle w:val="Hipervnculo"/>
                <w:rFonts w:ascii="Times New Roman" w:hAnsi="Times New Roman" w:cs="Times New Roman"/>
                <w:noProof/>
              </w:rPr>
              <w:t>Intendencia de Abogacía de la Competencia (IAC)</w:t>
            </w:r>
            <w:r w:rsidR="0001555F">
              <w:rPr>
                <w:noProof/>
                <w:webHidden/>
              </w:rPr>
              <w:tab/>
            </w:r>
            <w:r w:rsidR="0001555F">
              <w:rPr>
                <w:noProof/>
                <w:webHidden/>
              </w:rPr>
              <w:fldChar w:fldCharType="begin"/>
            </w:r>
            <w:r w:rsidR="0001555F">
              <w:rPr>
                <w:noProof/>
                <w:webHidden/>
              </w:rPr>
              <w:instrText xml:space="preserve"> PAGEREF _Toc523143297 \h </w:instrText>
            </w:r>
            <w:r w:rsidR="0001555F">
              <w:rPr>
                <w:noProof/>
                <w:webHidden/>
              </w:rPr>
            </w:r>
            <w:r w:rsidR="0001555F">
              <w:rPr>
                <w:noProof/>
                <w:webHidden/>
              </w:rPr>
              <w:fldChar w:fldCharType="separate"/>
            </w:r>
            <w:r w:rsidR="0001555F">
              <w:rPr>
                <w:noProof/>
                <w:webHidden/>
              </w:rPr>
              <w:t>7</w:t>
            </w:r>
            <w:r w:rsidR="0001555F">
              <w:rPr>
                <w:noProof/>
                <w:webHidden/>
              </w:rPr>
              <w:fldChar w:fldCharType="end"/>
            </w:r>
          </w:hyperlink>
        </w:p>
        <w:p w:rsidR="0001555F" w:rsidRDefault="00D24B59">
          <w:pPr>
            <w:pStyle w:val="TDC2"/>
            <w:tabs>
              <w:tab w:val="left" w:pos="660"/>
              <w:tab w:val="right" w:leader="dot" w:pos="8828"/>
            </w:tabs>
            <w:rPr>
              <w:noProof/>
            </w:rPr>
          </w:pPr>
          <w:hyperlink w:anchor="_Toc523143298" w:history="1">
            <w:r w:rsidR="0001555F" w:rsidRPr="00F123C7">
              <w:rPr>
                <w:rStyle w:val="Hipervnculo"/>
                <w:rFonts w:ascii="Times New Roman" w:hAnsi="Times New Roman" w:cs="Times New Roman"/>
                <w:noProof/>
              </w:rPr>
              <w:t>2.</w:t>
            </w:r>
            <w:r w:rsidR="0001555F">
              <w:rPr>
                <w:noProof/>
              </w:rPr>
              <w:tab/>
            </w:r>
            <w:r w:rsidR="0001555F" w:rsidRPr="00F123C7">
              <w:rPr>
                <w:rStyle w:val="Hipervnculo"/>
                <w:rFonts w:ascii="Times New Roman" w:hAnsi="Times New Roman" w:cs="Times New Roman"/>
                <w:noProof/>
              </w:rPr>
              <w:t>Intendencia Económica (IE)</w:t>
            </w:r>
            <w:r w:rsidR="0001555F">
              <w:rPr>
                <w:noProof/>
                <w:webHidden/>
              </w:rPr>
              <w:tab/>
            </w:r>
            <w:r w:rsidR="0001555F">
              <w:rPr>
                <w:noProof/>
                <w:webHidden/>
              </w:rPr>
              <w:fldChar w:fldCharType="begin"/>
            </w:r>
            <w:r w:rsidR="0001555F">
              <w:rPr>
                <w:noProof/>
                <w:webHidden/>
              </w:rPr>
              <w:instrText xml:space="preserve"> PAGEREF _Toc523143298 \h </w:instrText>
            </w:r>
            <w:r w:rsidR="0001555F">
              <w:rPr>
                <w:noProof/>
                <w:webHidden/>
              </w:rPr>
            </w:r>
            <w:r w:rsidR="0001555F">
              <w:rPr>
                <w:noProof/>
                <w:webHidden/>
              </w:rPr>
              <w:fldChar w:fldCharType="separate"/>
            </w:r>
            <w:r w:rsidR="0001555F">
              <w:rPr>
                <w:noProof/>
                <w:webHidden/>
              </w:rPr>
              <w:t>11</w:t>
            </w:r>
            <w:r w:rsidR="0001555F">
              <w:rPr>
                <w:noProof/>
                <w:webHidden/>
              </w:rPr>
              <w:fldChar w:fldCharType="end"/>
            </w:r>
          </w:hyperlink>
        </w:p>
        <w:p w:rsidR="0001555F" w:rsidRDefault="00D24B59">
          <w:pPr>
            <w:pStyle w:val="TDC2"/>
            <w:tabs>
              <w:tab w:val="left" w:pos="660"/>
              <w:tab w:val="right" w:leader="dot" w:pos="8828"/>
            </w:tabs>
            <w:rPr>
              <w:noProof/>
            </w:rPr>
          </w:pPr>
          <w:hyperlink w:anchor="_Toc523143299" w:history="1">
            <w:r w:rsidR="0001555F" w:rsidRPr="00F123C7">
              <w:rPr>
                <w:rStyle w:val="Hipervnculo"/>
                <w:rFonts w:ascii="Times New Roman" w:hAnsi="Times New Roman" w:cs="Times New Roman"/>
                <w:noProof/>
              </w:rPr>
              <w:t>3.</w:t>
            </w:r>
            <w:r w:rsidR="0001555F">
              <w:rPr>
                <w:noProof/>
              </w:rPr>
              <w:tab/>
            </w:r>
            <w:r w:rsidR="0001555F" w:rsidRPr="00F123C7">
              <w:rPr>
                <w:rStyle w:val="Hipervnculo"/>
                <w:rFonts w:ascii="Times New Roman" w:hAnsi="Times New Roman" w:cs="Times New Roman"/>
                <w:noProof/>
              </w:rPr>
              <w:t>Intendencia de Investigaciones (II)</w:t>
            </w:r>
            <w:r w:rsidR="0001555F">
              <w:rPr>
                <w:noProof/>
                <w:webHidden/>
              </w:rPr>
              <w:tab/>
            </w:r>
            <w:r w:rsidR="0001555F">
              <w:rPr>
                <w:noProof/>
                <w:webHidden/>
              </w:rPr>
              <w:fldChar w:fldCharType="begin"/>
            </w:r>
            <w:r w:rsidR="0001555F">
              <w:rPr>
                <w:noProof/>
                <w:webHidden/>
              </w:rPr>
              <w:instrText xml:space="preserve"> PAGEREF _Toc523143299 \h </w:instrText>
            </w:r>
            <w:r w:rsidR="0001555F">
              <w:rPr>
                <w:noProof/>
                <w:webHidden/>
              </w:rPr>
            </w:r>
            <w:r w:rsidR="0001555F">
              <w:rPr>
                <w:noProof/>
                <w:webHidden/>
              </w:rPr>
              <w:fldChar w:fldCharType="separate"/>
            </w:r>
            <w:r w:rsidR="0001555F">
              <w:rPr>
                <w:noProof/>
                <w:webHidden/>
              </w:rPr>
              <w:t>12</w:t>
            </w:r>
            <w:r w:rsidR="0001555F">
              <w:rPr>
                <w:noProof/>
                <w:webHidden/>
              </w:rPr>
              <w:fldChar w:fldCharType="end"/>
            </w:r>
          </w:hyperlink>
        </w:p>
        <w:p w:rsidR="0001555F" w:rsidRDefault="00D24B59">
          <w:pPr>
            <w:pStyle w:val="TDC2"/>
            <w:tabs>
              <w:tab w:val="left" w:pos="660"/>
              <w:tab w:val="right" w:leader="dot" w:pos="8828"/>
            </w:tabs>
            <w:rPr>
              <w:noProof/>
            </w:rPr>
          </w:pPr>
          <w:hyperlink w:anchor="_Toc523143300" w:history="1">
            <w:r w:rsidR="0001555F" w:rsidRPr="00F123C7">
              <w:rPr>
                <w:rStyle w:val="Hipervnculo"/>
                <w:rFonts w:ascii="Times New Roman" w:hAnsi="Times New Roman" w:cs="Times New Roman"/>
                <w:noProof/>
              </w:rPr>
              <w:t>4.</w:t>
            </w:r>
            <w:r w:rsidR="0001555F">
              <w:rPr>
                <w:noProof/>
              </w:rPr>
              <w:tab/>
            </w:r>
            <w:r w:rsidR="0001555F" w:rsidRPr="00F123C7">
              <w:rPr>
                <w:rStyle w:val="Hipervnculo"/>
                <w:rFonts w:ascii="Times New Roman" w:hAnsi="Times New Roman" w:cs="Times New Roman"/>
                <w:noProof/>
              </w:rPr>
              <w:t>Unidad de Comunicaciones (UC)</w:t>
            </w:r>
            <w:r w:rsidR="0001555F">
              <w:rPr>
                <w:noProof/>
                <w:webHidden/>
              </w:rPr>
              <w:tab/>
            </w:r>
            <w:r w:rsidR="0001555F">
              <w:rPr>
                <w:noProof/>
                <w:webHidden/>
              </w:rPr>
              <w:fldChar w:fldCharType="begin"/>
            </w:r>
            <w:r w:rsidR="0001555F">
              <w:rPr>
                <w:noProof/>
                <w:webHidden/>
              </w:rPr>
              <w:instrText xml:space="preserve"> PAGEREF _Toc523143300 \h </w:instrText>
            </w:r>
            <w:r w:rsidR="0001555F">
              <w:rPr>
                <w:noProof/>
                <w:webHidden/>
              </w:rPr>
            </w:r>
            <w:r w:rsidR="0001555F">
              <w:rPr>
                <w:noProof/>
                <w:webHidden/>
              </w:rPr>
              <w:fldChar w:fldCharType="separate"/>
            </w:r>
            <w:r w:rsidR="0001555F">
              <w:rPr>
                <w:noProof/>
                <w:webHidden/>
              </w:rPr>
              <w:t>13</w:t>
            </w:r>
            <w:r w:rsidR="0001555F">
              <w:rPr>
                <w:noProof/>
                <w:webHidden/>
              </w:rPr>
              <w:fldChar w:fldCharType="end"/>
            </w:r>
          </w:hyperlink>
        </w:p>
        <w:p w:rsidR="0001555F" w:rsidRDefault="00D24B59">
          <w:pPr>
            <w:pStyle w:val="TDC2"/>
            <w:tabs>
              <w:tab w:val="left" w:pos="660"/>
              <w:tab w:val="right" w:leader="dot" w:pos="8828"/>
            </w:tabs>
            <w:rPr>
              <w:noProof/>
            </w:rPr>
          </w:pPr>
          <w:hyperlink w:anchor="_Toc523143301" w:history="1">
            <w:r w:rsidR="0001555F" w:rsidRPr="00F123C7">
              <w:rPr>
                <w:rStyle w:val="Hipervnculo"/>
                <w:rFonts w:ascii="Times New Roman" w:hAnsi="Times New Roman" w:cs="Times New Roman"/>
                <w:noProof/>
              </w:rPr>
              <w:t>5.</w:t>
            </w:r>
            <w:r w:rsidR="0001555F">
              <w:rPr>
                <w:noProof/>
              </w:rPr>
              <w:tab/>
            </w:r>
            <w:r w:rsidR="0001555F" w:rsidRPr="00F123C7">
              <w:rPr>
                <w:rStyle w:val="Hipervnculo"/>
                <w:rFonts w:ascii="Times New Roman" w:hAnsi="Times New Roman" w:cs="Times New Roman"/>
                <w:noProof/>
              </w:rPr>
              <w:t>Unidad de Informática (UI)</w:t>
            </w:r>
            <w:r w:rsidR="0001555F">
              <w:rPr>
                <w:noProof/>
                <w:webHidden/>
              </w:rPr>
              <w:tab/>
            </w:r>
            <w:r w:rsidR="0001555F">
              <w:rPr>
                <w:noProof/>
                <w:webHidden/>
              </w:rPr>
              <w:fldChar w:fldCharType="begin"/>
            </w:r>
            <w:r w:rsidR="0001555F">
              <w:rPr>
                <w:noProof/>
                <w:webHidden/>
              </w:rPr>
              <w:instrText xml:space="preserve"> PAGEREF _Toc523143301 \h </w:instrText>
            </w:r>
            <w:r w:rsidR="0001555F">
              <w:rPr>
                <w:noProof/>
                <w:webHidden/>
              </w:rPr>
            </w:r>
            <w:r w:rsidR="0001555F">
              <w:rPr>
                <w:noProof/>
                <w:webHidden/>
              </w:rPr>
              <w:fldChar w:fldCharType="separate"/>
            </w:r>
            <w:r w:rsidR="0001555F">
              <w:rPr>
                <w:noProof/>
                <w:webHidden/>
              </w:rPr>
              <w:t>14</w:t>
            </w:r>
            <w:r w:rsidR="0001555F">
              <w:rPr>
                <w:noProof/>
                <w:webHidden/>
              </w:rPr>
              <w:fldChar w:fldCharType="end"/>
            </w:r>
          </w:hyperlink>
        </w:p>
        <w:p w:rsidR="0001555F" w:rsidRDefault="00D24B59">
          <w:pPr>
            <w:pStyle w:val="TDC2"/>
            <w:tabs>
              <w:tab w:val="left" w:pos="660"/>
              <w:tab w:val="right" w:leader="dot" w:pos="8828"/>
            </w:tabs>
            <w:rPr>
              <w:noProof/>
            </w:rPr>
          </w:pPr>
          <w:hyperlink w:anchor="_Toc523143302" w:history="1">
            <w:r w:rsidR="0001555F" w:rsidRPr="00F123C7">
              <w:rPr>
                <w:rStyle w:val="Hipervnculo"/>
                <w:rFonts w:ascii="Times New Roman" w:hAnsi="Times New Roman" w:cs="Times New Roman"/>
                <w:noProof/>
              </w:rPr>
              <w:t>6.</w:t>
            </w:r>
            <w:r w:rsidR="0001555F">
              <w:rPr>
                <w:noProof/>
              </w:rPr>
              <w:tab/>
            </w:r>
            <w:r w:rsidR="0001555F" w:rsidRPr="00F123C7">
              <w:rPr>
                <w:rStyle w:val="Hipervnculo"/>
                <w:rFonts w:ascii="Times New Roman" w:hAnsi="Times New Roman" w:cs="Times New Roman"/>
                <w:noProof/>
              </w:rPr>
              <w:t>Unidad de Administración y Recursos Humanos</w:t>
            </w:r>
            <w:r w:rsidR="0001555F">
              <w:rPr>
                <w:noProof/>
                <w:webHidden/>
              </w:rPr>
              <w:tab/>
            </w:r>
            <w:r w:rsidR="0001555F">
              <w:rPr>
                <w:noProof/>
                <w:webHidden/>
              </w:rPr>
              <w:fldChar w:fldCharType="begin"/>
            </w:r>
            <w:r w:rsidR="0001555F">
              <w:rPr>
                <w:noProof/>
                <w:webHidden/>
              </w:rPr>
              <w:instrText xml:space="preserve"> PAGEREF _Toc523143302 \h </w:instrText>
            </w:r>
            <w:r w:rsidR="0001555F">
              <w:rPr>
                <w:noProof/>
                <w:webHidden/>
              </w:rPr>
            </w:r>
            <w:r w:rsidR="0001555F">
              <w:rPr>
                <w:noProof/>
                <w:webHidden/>
              </w:rPr>
              <w:fldChar w:fldCharType="separate"/>
            </w:r>
            <w:r w:rsidR="0001555F">
              <w:rPr>
                <w:noProof/>
                <w:webHidden/>
              </w:rPr>
              <w:t>16</w:t>
            </w:r>
            <w:r w:rsidR="0001555F">
              <w:rPr>
                <w:noProof/>
                <w:webHidden/>
              </w:rPr>
              <w:fldChar w:fldCharType="end"/>
            </w:r>
          </w:hyperlink>
        </w:p>
        <w:p w:rsidR="0001555F" w:rsidRDefault="00D24B59">
          <w:pPr>
            <w:pStyle w:val="TDC2"/>
            <w:tabs>
              <w:tab w:val="left" w:pos="660"/>
              <w:tab w:val="right" w:leader="dot" w:pos="8828"/>
            </w:tabs>
            <w:rPr>
              <w:noProof/>
            </w:rPr>
          </w:pPr>
          <w:hyperlink w:anchor="_Toc523143303" w:history="1">
            <w:r w:rsidR="0001555F" w:rsidRPr="00F123C7">
              <w:rPr>
                <w:rStyle w:val="Hipervnculo"/>
                <w:rFonts w:ascii="Times New Roman" w:hAnsi="Times New Roman" w:cs="Times New Roman"/>
                <w:noProof/>
              </w:rPr>
              <w:t>7.</w:t>
            </w:r>
            <w:r w:rsidR="0001555F">
              <w:rPr>
                <w:noProof/>
              </w:rPr>
              <w:tab/>
            </w:r>
            <w:r w:rsidR="0001555F" w:rsidRPr="00F123C7">
              <w:rPr>
                <w:rStyle w:val="Hipervnculo"/>
                <w:rFonts w:ascii="Times New Roman" w:hAnsi="Times New Roman" w:cs="Times New Roman"/>
                <w:noProof/>
              </w:rPr>
              <w:t>Unidad de Adquisiciones y contrataciones</w:t>
            </w:r>
            <w:r w:rsidR="0001555F">
              <w:rPr>
                <w:noProof/>
                <w:webHidden/>
              </w:rPr>
              <w:tab/>
            </w:r>
            <w:r w:rsidR="0001555F">
              <w:rPr>
                <w:noProof/>
                <w:webHidden/>
              </w:rPr>
              <w:fldChar w:fldCharType="begin"/>
            </w:r>
            <w:r w:rsidR="0001555F">
              <w:rPr>
                <w:noProof/>
                <w:webHidden/>
              </w:rPr>
              <w:instrText xml:space="preserve"> PAGEREF _Toc523143303 \h </w:instrText>
            </w:r>
            <w:r w:rsidR="0001555F">
              <w:rPr>
                <w:noProof/>
                <w:webHidden/>
              </w:rPr>
            </w:r>
            <w:r w:rsidR="0001555F">
              <w:rPr>
                <w:noProof/>
                <w:webHidden/>
              </w:rPr>
              <w:fldChar w:fldCharType="separate"/>
            </w:r>
            <w:r w:rsidR="0001555F">
              <w:rPr>
                <w:noProof/>
                <w:webHidden/>
              </w:rPr>
              <w:t>16</w:t>
            </w:r>
            <w:r w:rsidR="0001555F">
              <w:rPr>
                <w:noProof/>
                <w:webHidden/>
              </w:rPr>
              <w:fldChar w:fldCharType="end"/>
            </w:r>
          </w:hyperlink>
        </w:p>
        <w:p w:rsidR="0001555F" w:rsidRDefault="00D24B59">
          <w:pPr>
            <w:pStyle w:val="TDC2"/>
            <w:tabs>
              <w:tab w:val="left" w:pos="660"/>
              <w:tab w:val="right" w:leader="dot" w:pos="8828"/>
            </w:tabs>
            <w:rPr>
              <w:noProof/>
            </w:rPr>
          </w:pPr>
          <w:hyperlink w:anchor="_Toc523143304" w:history="1">
            <w:r w:rsidR="0001555F" w:rsidRPr="00F123C7">
              <w:rPr>
                <w:rStyle w:val="Hipervnculo"/>
                <w:rFonts w:ascii="Times New Roman" w:hAnsi="Times New Roman" w:cs="Times New Roman"/>
                <w:noProof/>
              </w:rPr>
              <w:t>8.</w:t>
            </w:r>
            <w:r w:rsidR="0001555F">
              <w:rPr>
                <w:noProof/>
              </w:rPr>
              <w:tab/>
            </w:r>
            <w:r w:rsidR="0001555F" w:rsidRPr="00F123C7">
              <w:rPr>
                <w:rStyle w:val="Hipervnculo"/>
                <w:rFonts w:ascii="Times New Roman" w:hAnsi="Times New Roman" w:cs="Times New Roman"/>
                <w:noProof/>
              </w:rPr>
              <w:t>Unidad de Auditoría Interna</w:t>
            </w:r>
            <w:r w:rsidR="0001555F">
              <w:rPr>
                <w:noProof/>
                <w:webHidden/>
              </w:rPr>
              <w:tab/>
            </w:r>
            <w:r w:rsidR="0001555F">
              <w:rPr>
                <w:noProof/>
                <w:webHidden/>
              </w:rPr>
              <w:fldChar w:fldCharType="begin"/>
            </w:r>
            <w:r w:rsidR="0001555F">
              <w:rPr>
                <w:noProof/>
                <w:webHidden/>
              </w:rPr>
              <w:instrText xml:space="preserve"> PAGEREF _Toc523143304 \h </w:instrText>
            </w:r>
            <w:r w:rsidR="0001555F">
              <w:rPr>
                <w:noProof/>
                <w:webHidden/>
              </w:rPr>
            </w:r>
            <w:r w:rsidR="0001555F">
              <w:rPr>
                <w:noProof/>
                <w:webHidden/>
              </w:rPr>
              <w:fldChar w:fldCharType="separate"/>
            </w:r>
            <w:r w:rsidR="0001555F">
              <w:rPr>
                <w:noProof/>
                <w:webHidden/>
              </w:rPr>
              <w:t>17</w:t>
            </w:r>
            <w:r w:rsidR="0001555F">
              <w:rPr>
                <w:noProof/>
                <w:webHidden/>
              </w:rPr>
              <w:fldChar w:fldCharType="end"/>
            </w:r>
          </w:hyperlink>
        </w:p>
        <w:p w:rsidR="0001555F" w:rsidRDefault="00D24B59">
          <w:pPr>
            <w:pStyle w:val="TDC2"/>
            <w:tabs>
              <w:tab w:val="left" w:pos="660"/>
              <w:tab w:val="right" w:leader="dot" w:pos="8828"/>
            </w:tabs>
            <w:rPr>
              <w:noProof/>
            </w:rPr>
          </w:pPr>
          <w:hyperlink w:anchor="_Toc523143305" w:history="1">
            <w:r w:rsidR="0001555F" w:rsidRPr="00F123C7">
              <w:rPr>
                <w:rStyle w:val="Hipervnculo"/>
                <w:rFonts w:ascii="Times New Roman" w:hAnsi="Times New Roman" w:cs="Times New Roman"/>
                <w:noProof/>
              </w:rPr>
              <w:t>9.</w:t>
            </w:r>
            <w:r w:rsidR="0001555F">
              <w:rPr>
                <w:noProof/>
              </w:rPr>
              <w:tab/>
            </w:r>
            <w:r w:rsidR="0001555F" w:rsidRPr="00F123C7">
              <w:rPr>
                <w:rStyle w:val="Hipervnculo"/>
                <w:rFonts w:ascii="Times New Roman" w:hAnsi="Times New Roman" w:cs="Times New Roman"/>
                <w:noProof/>
              </w:rPr>
              <w:t>Unidad Financiera Institucional</w:t>
            </w:r>
            <w:r w:rsidR="0001555F">
              <w:rPr>
                <w:noProof/>
                <w:webHidden/>
              </w:rPr>
              <w:tab/>
            </w:r>
            <w:r w:rsidR="0001555F">
              <w:rPr>
                <w:noProof/>
                <w:webHidden/>
              </w:rPr>
              <w:fldChar w:fldCharType="begin"/>
            </w:r>
            <w:r w:rsidR="0001555F">
              <w:rPr>
                <w:noProof/>
                <w:webHidden/>
              </w:rPr>
              <w:instrText xml:space="preserve"> PAGEREF _Toc523143305 \h </w:instrText>
            </w:r>
            <w:r w:rsidR="0001555F">
              <w:rPr>
                <w:noProof/>
                <w:webHidden/>
              </w:rPr>
            </w:r>
            <w:r w:rsidR="0001555F">
              <w:rPr>
                <w:noProof/>
                <w:webHidden/>
              </w:rPr>
              <w:fldChar w:fldCharType="separate"/>
            </w:r>
            <w:r w:rsidR="0001555F">
              <w:rPr>
                <w:noProof/>
                <w:webHidden/>
              </w:rPr>
              <w:t>18</w:t>
            </w:r>
            <w:r w:rsidR="0001555F">
              <w:rPr>
                <w:noProof/>
                <w:webHidden/>
              </w:rPr>
              <w:fldChar w:fldCharType="end"/>
            </w:r>
          </w:hyperlink>
        </w:p>
        <w:p w:rsidR="0001555F" w:rsidRDefault="00D24B59">
          <w:pPr>
            <w:pStyle w:val="TDC2"/>
            <w:tabs>
              <w:tab w:val="left" w:pos="880"/>
              <w:tab w:val="right" w:leader="dot" w:pos="8828"/>
            </w:tabs>
            <w:rPr>
              <w:noProof/>
            </w:rPr>
          </w:pPr>
          <w:hyperlink w:anchor="_Toc523143306" w:history="1">
            <w:r w:rsidR="0001555F" w:rsidRPr="00F123C7">
              <w:rPr>
                <w:rStyle w:val="Hipervnculo"/>
                <w:rFonts w:ascii="Times New Roman" w:hAnsi="Times New Roman" w:cs="Times New Roman"/>
                <w:noProof/>
              </w:rPr>
              <w:t>10.</w:t>
            </w:r>
            <w:r w:rsidR="0001555F">
              <w:rPr>
                <w:noProof/>
              </w:rPr>
              <w:tab/>
            </w:r>
            <w:r w:rsidR="0001555F" w:rsidRPr="00F123C7">
              <w:rPr>
                <w:rStyle w:val="Hipervnculo"/>
                <w:rFonts w:ascii="Times New Roman" w:hAnsi="Times New Roman" w:cs="Times New Roman"/>
                <w:noProof/>
              </w:rPr>
              <w:t>Secretaría General</w:t>
            </w:r>
            <w:r w:rsidR="0001555F">
              <w:rPr>
                <w:noProof/>
                <w:webHidden/>
              </w:rPr>
              <w:tab/>
            </w:r>
            <w:r w:rsidR="0001555F">
              <w:rPr>
                <w:noProof/>
                <w:webHidden/>
              </w:rPr>
              <w:fldChar w:fldCharType="begin"/>
            </w:r>
            <w:r w:rsidR="0001555F">
              <w:rPr>
                <w:noProof/>
                <w:webHidden/>
              </w:rPr>
              <w:instrText xml:space="preserve"> PAGEREF _Toc523143306 \h </w:instrText>
            </w:r>
            <w:r w:rsidR="0001555F">
              <w:rPr>
                <w:noProof/>
                <w:webHidden/>
              </w:rPr>
            </w:r>
            <w:r w:rsidR="0001555F">
              <w:rPr>
                <w:noProof/>
                <w:webHidden/>
              </w:rPr>
              <w:fldChar w:fldCharType="separate"/>
            </w:r>
            <w:r w:rsidR="0001555F">
              <w:rPr>
                <w:noProof/>
                <w:webHidden/>
              </w:rPr>
              <w:t>18</w:t>
            </w:r>
            <w:r w:rsidR="0001555F">
              <w:rPr>
                <w:noProof/>
                <w:webHidden/>
              </w:rPr>
              <w:fldChar w:fldCharType="end"/>
            </w:r>
          </w:hyperlink>
        </w:p>
        <w:p w:rsidR="0001555F" w:rsidRDefault="00D24B59">
          <w:pPr>
            <w:pStyle w:val="TDC2"/>
            <w:tabs>
              <w:tab w:val="left" w:pos="880"/>
              <w:tab w:val="right" w:leader="dot" w:pos="8828"/>
            </w:tabs>
            <w:rPr>
              <w:noProof/>
            </w:rPr>
          </w:pPr>
          <w:hyperlink w:anchor="_Toc523143307" w:history="1">
            <w:r w:rsidR="0001555F" w:rsidRPr="00F123C7">
              <w:rPr>
                <w:rStyle w:val="Hipervnculo"/>
                <w:rFonts w:ascii="Times New Roman" w:hAnsi="Times New Roman" w:cs="Times New Roman"/>
                <w:noProof/>
              </w:rPr>
              <w:t>11.</w:t>
            </w:r>
            <w:r w:rsidR="0001555F">
              <w:rPr>
                <w:noProof/>
              </w:rPr>
              <w:tab/>
            </w:r>
            <w:r w:rsidR="0001555F" w:rsidRPr="00F123C7">
              <w:rPr>
                <w:rStyle w:val="Hipervnculo"/>
                <w:rFonts w:ascii="Times New Roman" w:hAnsi="Times New Roman" w:cs="Times New Roman"/>
                <w:noProof/>
              </w:rPr>
              <w:t>Unidad de Planificación</w:t>
            </w:r>
            <w:r w:rsidR="0001555F">
              <w:rPr>
                <w:noProof/>
                <w:webHidden/>
              </w:rPr>
              <w:tab/>
            </w:r>
            <w:r w:rsidR="0001555F">
              <w:rPr>
                <w:noProof/>
                <w:webHidden/>
              </w:rPr>
              <w:fldChar w:fldCharType="begin"/>
            </w:r>
            <w:r w:rsidR="0001555F">
              <w:rPr>
                <w:noProof/>
                <w:webHidden/>
              </w:rPr>
              <w:instrText xml:space="preserve"> PAGEREF _Toc523143307 \h </w:instrText>
            </w:r>
            <w:r w:rsidR="0001555F">
              <w:rPr>
                <w:noProof/>
                <w:webHidden/>
              </w:rPr>
            </w:r>
            <w:r w:rsidR="0001555F">
              <w:rPr>
                <w:noProof/>
                <w:webHidden/>
              </w:rPr>
              <w:fldChar w:fldCharType="separate"/>
            </w:r>
            <w:r w:rsidR="0001555F">
              <w:rPr>
                <w:noProof/>
                <w:webHidden/>
              </w:rPr>
              <w:t>19</w:t>
            </w:r>
            <w:r w:rsidR="0001555F">
              <w:rPr>
                <w:noProof/>
                <w:webHidden/>
              </w:rPr>
              <w:fldChar w:fldCharType="end"/>
            </w:r>
          </w:hyperlink>
        </w:p>
        <w:p w:rsidR="0001555F" w:rsidRDefault="00D24B59">
          <w:pPr>
            <w:pStyle w:val="TDC2"/>
            <w:tabs>
              <w:tab w:val="left" w:pos="880"/>
              <w:tab w:val="right" w:leader="dot" w:pos="8828"/>
            </w:tabs>
            <w:rPr>
              <w:noProof/>
            </w:rPr>
          </w:pPr>
          <w:hyperlink w:anchor="_Toc523143308" w:history="1">
            <w:r w:rsidR="0001555F" w:rsidRPr="00F123C7">
              <w:rPr>
                <w:rStyle w:val="Hipervnculo"/>
                <w:rFonts w:ascii="Times New Roman" w:hAnsi="Times New Roman" w:cs="Times New Roman"/>
                <w:noProof/>
              </w:rPr>
              <w:t>12.</w:t>
            </w:r>
            <w:r w:rsidR="0001555F">
              <w:rPr>
                <w:noProof/>
              </w:rPr>
              <w:tab/>
            </w:r>
            <w:r w:rsidR="0001555F" w:rsidRPr="00F123C7">
              <w:rPr>
                <w:rStyle w:val="Hipervnculo"/>
                <w:rFonts w:ascii="Times New Roman" w:hAnsi="Times New Roman" w:cs="Times New Roman"/>
                <w:noProof/>
              </w:rPr>
              <w:t>Unidad de Acceso a la Información Pública</w:t>
            </w:r>
            <w:r w:rsidR="0001555F">
              <w:rPr>
                <w:noProof/>
                <w:webHidden/>
              </w:rPr>
              <w:tab/>
            </w:r>
            <w:r w:rsidR="0001555F">
              <w:rPr>
                <w:noProof/>
                <w:webHidden/>
              </w:rPr>
              <w:fldChar w:fldCharType="begin"/>
            </w:r>
            <w:r w:rsidR="0001555F">
              <w:rPr>
                <w:noProof/>
                <w:webHidden/>
              </w:rPr>
              <w:instrText xml:space="preserve"> PAGEREF _Toc523143308 \h </w:instrText>
            </w:r>
            <w:r w:rsidR="0001555F">
              <w:rPr>
                <w:noProof/>
                <w:webHidden/>
              </w:rPr>
            </w:r>
            <w:r w:rsidR="0001555F">
              <w:rPr>
                <w:noProof/>
                <w:webHidden/>
              </w:rPr>
              <w:fldChar w:fldCharType="separate"/>
            </w:r>
            <w:r w:rsidR="0001555F">
              <w:rPr>
                <w:noProof/>
                <w:webHidden/>
              </w:rPr>
              <w:t>19</w:t>
            </w:r>
            <w:r w:rsidR="0001555F">
              <w:rPr>
                <w:noProof/>
                <w:webHidden/>
              </w:rPr>
              <w:fldChar w:fldCharType="end"/>
            </w:r>
          </w:hyperlink>
        </w:p>
        <w:p w:rsidR="0001555F" w:rsidRDefault="00D24B59">
          <w:pPr>
            <w:pStyle w:val="TDC1"/>
            <w:tabs>
              <w:tab w:val="left" w:pos="660"/>
              <w:tab w:val="right" w:leader="dot" w:pos="8828"/>
            </w:tabs>
            <w:rPr>
              <w:noProof/>
            </w:rPr>
          </w:pPr>
          <w:hyperlink w:anchor="_Toc523143309" w:history="1">
            <w:r w:rsidR="0001555F" w:rsidRPr="00F123C7">
              <w:rPr>
                <w:rStyle w:val="Hipervnculo"/>
                <w:rFonts w:ascii="Times New Roman" w:hAnsi="Times New Roman" w:cs="Times New Roman"/>
                <w:noProof/>
              </w:rPr>
              <w:t>IV.</w:t>
            </w:r>
            <w:r w:rsidR="0001555F">
              <w:rPr>
                <w:noProof/>
              </w:rPr>
              <w:tab/>
            </w:r>
            <w:r w:rsidR="0001555F" w:rsidRPr="00F123C7">
              <w:rPr>
                <w:rStyle w:val="Hipervnculo"/>
                <w:rFonts w:ascii="Times New Roman" w:hAnsi="Times New Roman" w:cs="Times New Roman"/>
                <w:noProof/>
              </w:rPr>
              <w:t>Consolidado de la evaluación de POA institucional</w:t>
            </w:r>
            <w:r w:rsidR="0001555F">
              <w:rPr>
                <w:noProof/>
                <w:webHidden/>
              </w:rPr>
              <w:tab/>
            </w:r>
            <w:r w:rsidR="0001555F">
              <w:rPr>
                <w:noProof/>
                <w:webHidden/>
              </w:rPr>
              <w:fldChar w:fldCharType="begin"/>
            </w:r>
            <w:r w:rsidR="0001555F">
              <w:rPr>
                <w:noProof/>
                <w:webHidden/>
              </w:rPr>
              <w:instrText xml:space="preserve"> PAGEREF _Toc523143309 \h </w:instrText>
            </w:r>
            <w:r w:rsidR="0001555F">
              <w:rPr>
                <w:noProof/>
                <w:webHidden/>
              </w:rPr>
            </w:r>
            <w:r w:rsidR="0001555F">
              <w:rPr>
                <w:noProof/>
                <w:webHidden/>
              </w:rPr>
              <w:fldChar w:fldCharType="separate"/>
            </w:r>
            <w:r w:rsidR="0001555F">
              <w:rPr>
                <w:noProof/>
                <w:webHidden/>
              </w:rPr>
              <w:t>20</w:t>
            </w:r>
            <w:r w:rsidR="0001555F">
              <w:rPr>
                <w:noProof/>
                <w:webHidden/>
              </w:rPr>
              <w:fldChar w:fldCharType="end"/>
            </w:r>
          </w:hyperlink>
        </w:p>
        <w:p w:rsidR="0001555F" w:rsidRDefault="00D24B59">
          <w:pPr>
            <w:pStyle w:val="TDC1"/>
            <w:tabs>
              <w:tab w:val="left" w:pos="440"/>
              <w:tab w:val="right" w:leader="dot" w:pos="8828"/>
            </w:tabs>
            <w:rPr>
              <w:noProof/>
            </w:rPr>
          </w:pPr>
          <w:hyperlink w:anchor="_Toc523143310" w:history="1">
            <w:r w:rsidR="0001555F" w:rsidRPr="00F123C7">
              <w:rPr>
                <w:rStyle w:val="Hipervnculo"/>
                <w:rFonts w:ascii="Times New Roman" w:hAnsi="Times New Roman" w:cs="Times New Roman"/>
                <w:noProof/>
              </w:rPr>
              <w:t>V.</w:t>
            </w:r>
            <w:r w:rsidR="0001555F">
              <w:rPr>
                <w:noProof/>
              </w:rPr>
              <w:tab/>
            </w:r>
            <w:r w:rsidR="0001555F" w:rsidRPr="00F123C7">
              <w:rPr>
                <w:rStyle w:val="Hipervnculo"/>
                <w:rFonts w:ascii="Times New Roman" w:hAnsi="Times New Roman" w:cs="Times New Roman"/>
                <w:noProof/>
              </w:rPr>
              <w:t>Evaluación de la matriz de riesgos institucional.</w:t>
            </w:r>
            <w:r w:rsidR="0001555F">
              <w:rPr>
                <w:noProof/>
                <w:webHidden/>
              </w:rPr>
              <w:tab/>
            </w:r>
            <w:r w:rsidR="0001555F">
              <w:rPr>
                <w:noProof/>
                <w:webHidden/>
              </w:rPr>
              <w:fldChar w:fldCharType="begin"/>
            </w:r>
            <w:r w:rsidR="0001555F">
              <w:rPr>
                <w:noProof/>
                <w:webHidden/>
              </w:rPr>
              <w:instrText xml:space="preserve"> PAGEREF _Toc523143310 \h </w:instrText>
            </w:r>
            <w:r w:rsidR="0001555F">
              <w:rPr>
                <w:noProof/>
                <w:webHidden/>
              </w:rPr>
            </w:r>
            <w:r w:rsidR="0001555F">
              <w:rPr>
                <w:noProof/>
                <w:webHidden/>
              </w:rPr>
              <w:fldChar w:fldCharType="separate"/>
            </w:r>
            <w:r w:rsidR="0001555F">
              <w:rPr>
                <w:noProof/>
                <w:webHidden/>
              </w:rPr>
              <w:t>21</w:t>
            </w:r>
            <w:r w:rsidR="0001555F">
              <w:rPr>
                <w:noProof/>
                <w:webHidden/>
              </w:rPr>
              <w:fldChar w:fldCharType="end"/>
            </w:r>
          </w:hyperlink>
        </w:p>
        <w:p w:rsidR="00FB2F17" w:rsidRPr="00565D2C" w:rsidRDefault="00FB2F17" w:rsidP="00565D2C">
          <w:pPr>
            <w:jc w:val="both"/>
            <w:rPr>
              <w:rFonts w:ascii="Times New Roman" w:hAnsi="Times New Roman" w:cs="Times New Roman"/>
              <w:sz w:val="24"/>
              <w:szCs w:val="24"/>
            </w:rPr>
          </w:pPr>
          <w:r w:rsidRPr="00565D2C">
            <w:rPr>
              <w:rFonts w:ascii="Times New Roman" w:hAnsi="Times New Roman" w:cs="Times New Roman"/>
              <w:b/>
              <w:bCs/>
              <w:sz w:val="24"/>
              <w:szCs w:val="24"/>
              <w:lang w:val="es-ES"/>
            </w:rPr>
            <w:fldChar w:fldCharType="end"/>
          </w:r>
        </w:p>
      </w:sdtContent>
    </w:sdt>
    <w:p w:rsidR="0074366F" w:rsidRPr="00565D2C" w:rsidRDefault="00856091" w:rsidP="00565D2C">
      <w:pPr>
        <w:spacing w:after="0" w:line="240" w:lineRule="auto"/>
        <w:jc w:val="both"/>
        <w:rPr>
          <w:rFonts w:ascii="Times New Roman" w:hAnsi="Times New Roman" w:cs="Times New Roman"/>
          <w:b/>
          <w:sz w:val="24"/>
          <w:szCs w:val="24"/>
        </w:rPr>
      </w:pPr>
      <w:r w:rsidRPr="00565D2C">
        <w:rPr>
          <w:rFonts w:ascii="Times New Roman" w:hAnsi="Times New Roman" w:cs="Times New Roman"/>
          <w:b/>
          <w:bCs/>
          <w:sz w:val="24"/>
          <w:szCs w:val="24"/>
        </w:rPr>
        <w:br w:type="page"/>
      </w:r>
    </w:p>
    <w:p w:rsidR="00BE5AAE" w:rsidRPr="00565D2C" w:rsidRDefault="00566F00" w:rsidP="00565D2C">
      <w:pPr>
        <w:pStyle w:val="Ttulo1"/>
        <w:numPr>
          <w:ilvl w:val="0"/>
          <w:numId w:val="11"/>
        </w:numPr>
        <w:rPr>
          <w:rFonts w:ascii="Times New Roman" w:hAnsi="Times New Roman" w:cs="Times New Roman"/>
          <w:sz w:val="24"/>
        </w:rPr>
      </w:pPr>
      <w:bookmarkStart w:id="0" w:name="_Toc523143294"/>
      <w:r w:rsidRPr="00565D2C">
        <w:rPr>
          <w:rFonts w:ascii="Times New Roman" w:hAnsi="Times New Roman" w:cs="Times New Roman"/>
          <w:sz w:val="24"/>
        </w:rPr>
        <w:t>Int</w:t>
      </w:r>
      <w:r w:rsidR="006A3B6A" w:rsidRPr="00565D2C">
        <w:rPr>
          <w:rFonts w:ascii="Times New Roman" w:hAnsi="Times New Roman" w:cs="Times New Roman"/>
          <w:sz w:val="24"/>
        </w:rPr>
        <w:t>roducción.</w:t>
      </w:r>
      <w:bookmarkEnd w:id="0"/>
    </w:p>
    <w:p w:rsidR="006A3B6A" w:rsidRPr="00565D2C" w:rsidRDefault="006A3B6A" w:rsidP="00565D2C">
      <w:pPr>
        <w:spacing w:after="0" w:line="240" w:lineRule="auto"/>
        <w:jc w:val="both"/>
        <w:rPr>
          <w:rFonts w:ascii="Times New Roman" w:hAnsi="Times New Roman" w:cs="Times New Roman"/>
          <w:b/>
          <w:sz w:val="24"/>
          <w:szCs w:val="24"/>
        </w:rPr>
      </w:pPr>
    </w:p>
    <w:p w:rsidR="00AB09F7" w:rsidRPr="00565D2C" w:rsidRDefault="00B87E38" w:rsidP="00565D2C">
      <w:pPr>
        <w:autoSpaceDE w:val="0"/>
        <w:autoSpaceDN w:val="0"/>
        <w:adjustRightInd w:val="0"/>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E</w:t>
      </w:r>
      <w:r w:rsidR="00AB09F7" w:rsidRPr="00565D2C">
        <w:rPr>
          <w:rFonts w:ascii="Times New Roman" w:hAnsi="Times New Roman" w:cs="Times New Roman"/>
          <w:sz w:val="24"/>
          <w:szCs w:val="24"/>
        </w:rPr>
        <w:t xml:space="preserve">n cumplimiento de la función de monitorear, dar seguimiento y evaluar sus actuaciones, la Superintendencia de Competencia (SC) presenta el siguiente </w:t>
      </w:r>
      <w:r w:rsidRPr="00565D2C">
        <w:rPr>
          <w:rFonts w:ascii="Times New Roman" w:hAnsi="Times New Roman" w:cs="Times New Roman"/>
          <w:sz w:val="24"/>
          <w:szCs w:val="24"/>
        </w:rPr>
        <w:t>documento</w:t>
      </w:r>
      <w:r w:rsidR="00AB09F7" w:rsidRPr="00565D2C">
        <w:rPr>
          <w:rFonts w:ascii="Times New Roman" w:hAnsi="Times New Roman" w:cs="Times New Roman"/>
          <w:sz w:val="24"/>
          <w:szCs w:val="24"/>
        </w:rPr>
        <w:t>,</w:t>
      </w:r>
      <w:r w:rsidRPr="00565D2C">
        <w:rPr>
          <w:rFonts w:ascii="Times New Roman" w:hAnsi="Times New Roman" w:cs="Times New Roman"/>
          <w:sz w:val="24"/>
          <w:szCs w:val="24"/>
        </w:rPr>
        <w:t xml:space="preserve"> </w:t>
      </w:r>
      <w:r w:rsidR="00AB09F7" w:rsidRPr="00565D2C">
        <w:rPr>
          <w:rFonts w:ascii="Times New Roman" w:hAnsi="Times New Roman" w:cs="Times New Roman"/>
          <w:sz w:val="24"/>
          <w:szCs w:val="24"/>
        </w:rPr>
        <w:t xml:space="preserve">que </w:t>
      </w:r>
      <w:r w:rsidRPr="00565D2C">
        <w:rPr>
          <w:rFonts w:ascii="Times New Roman" w:hAnsi="Times New Roman" w:cs="Times New Roman"/>
          <w:sz w:val="24"/>
          <w:szCs w:val="24"/>
        </w:rPr>
        <w:t xml:space="preserve">contiene los resultados obtenidos </w:t>
      </w:r>
      <w:r w:rsidR="00AB09F7" w:rsidRPr="00565D2C">
        <w:rPr>
          <w:rFonts w:ascii="Times New Roman" w:hAnsi="Times New Roman" w:cs="Times New Roman"/>
          <w:sz w:val="24"/>
          <w:szCs w:val="24"/>
        </w:rPr>
        <w:t xml:space="preserve">en la evaluación del cumplimiento </w:t>
      </w:r>
      <w:r w:rsidRPr="00565D2C">
        <w:rPr>
          <w:rFonts w:ascii="Times New Roman" w:hAnsi="Times New Roman" w:cs="Times New Roman"/>
          <w:sz w:val="24"/>
          <w:szCs w:val="24"/>
        </w:rPr>
        <w:t xml:space="preserve">del </w:t>
      </w:r>
      <w:r w:rsidR="008800D7" w:rsidRPr="00565D2C">
        <w:rPr>
          <w:rFonts w:ascii="Times New Roman" w:hAnsi="Times New Roman" w:cs="Times New Roman"/>
          <w:sz w:val="24"/>
          <w:szCs w:val="24"/>
        </w:rPr>
        <w:t>plan estratégico</w:t>
      </w:r>
      <w:r w:rsidR="00D0395C" w:rsidRPr="00565D2C">
        <w:rPr>
          <w:rFonts w:ascii="Times New Roman" w:hAnsi="Times New Roman" w:cs="Times New Roman"/>
          <w:sz w:val="24"/>
          <w:szCs w:val="24"/>
        </w:rPr>
        <w:t xml:space="preserve"> institucional (PEI)</w:t>
      </w:r>
      <w:r w:rsidR="008800D7" w:rsidRPr="00565D2C">
        <w:rPr>
          <w:rFonts w:ascii="Times New Roman" w:hAnsi="Times New Roman" w:cs="Times New Roman"/>
          <w:sz w:val="24"/>
          <w:szCs w:val="24"/>
        </w:rPr>
        <w:t xml:space="preserve">, del </w:t>
      </w:r>
      <w:r w:rsidR="00EE56BA" w:rsidRPr="00565D2C">
        <w:rPr>
          <w:rFonts w:ascii="Times New Roman" w:hAnsi="Times New Roman" w:cs="Times New Roman"/>
          <w:sz w:val="24"/>
          <w:szCs w:val="24"/>
        </w:rPr>
        <w:t>p</w:t>
      </w:r>
      <w:r w:rsidRPr="00565D2C">
        <w:rPr>
          <w:rFonts w:ascii="Times New Roman" w:hAnsi="Times New Roman" w:cs="Times New Roman"/>
          <w:sz w:val="24"/>
          <w:szCs w:val="24"/>
        </w:rPr>
        <w:t xml:space="preserve">lan </w:t>
      </w:r>
      <w:r w:rsidR="00EE56BA" w:rsidRPr="00565D2C">
        <w:rPr>
          <w:rFonts w:ascii="Times New Roman" w:hAnsi="Times New Roman" w:cs="Times New Roman"/>
          <w:sz w:val="24"/>
          <w:szCs w:val="24"/>
        </w:rPr>
        <w:t>o</w:t>
      </w:r>
      <w:r w:rsidRPr="00565D2C">
        <w:rPr>
          <w:rFonts w:ascii="Times New Roman" w:hAnsi="Times New Roman" w:cs="Times New Roman"/>
          <w:sz w:val="24"/>
          <w:szCs w:val="24"/>
        </w:rPr>
        <w:t>perativo</w:t>
      </w:r>
      <w:r w:rsidR="00D0395C" w:rsidRPr="00565D2C">
        <w:rPr>
          <w:rFonts w:ascii="Times New Roman" w:hAnsi="Times New Roman" w:cs="Times New Roman"/>
          <w:sz w:val="24"/>
          <w:szCs w:val="24"/>
        </w:rPr>
        <w:t xml:space="preserve"> anual (POA)</w:t>
      </w:r>
      <w:r w:rsidRPr="00565D2C">
        <w:rPr>
          <w:rFonts w:ascii="Times New Roman" w:hAnsi="Times New Roman" w:cs="Times New Roman"/>
          <w:sz w:val="24"/>
          <w:szCs w:val="24"/>
        </w:rPr>
        <w:t xml:space="preserve"> </w:t>
      </w:r>
      <w:r w:rsidR="008800D7" w:rsidRPr="00565D2C">
        <w:rPr>
          <w:rFonts w:ascii="Times New Roman" w:hAnsi="Times New Roman" w:cs="Times New Roman"/>
          <w:sz w:val="24"/>
          <w:szCs w:val="24"/>
        </w:rPr>
        <w:t xml:space="preserve">y de la matriz de riesgos </w:t>
      </w:r>
      <w:r w:rsidR="00414DD1" w:rsidRPr="00565D2C">
        <w:rPr>
          <w:rFonts w:ascii="Times New Roman" w:hAnsi="Times New Roman" w:cs="Times New Roman"/>
          <w:sz w:val="24"/>
          <w:szCs w:val="24"/>
        </w:rPr>
        <w:t xml:space="preserve">de la institución </w:t>
      </w:r>
      <w:r w:rsidR="00AB09F7" w:rsidRPr="00565D2C">
        <w:rPr>
          <w:rFonts w:ascii="Times New Roman" w:hAnsi="Times New Roman" w:cs="Times New Roman"/>
          <w:sz w:val="24"/>
          <w:szCs w:val="24"/>
        </w:rPr>
        <w:t xml:space="preserve">durante el </w:t>
      </w:r>
      <w:r w:rsidR="00FB6DD5" w:rsidRPr="00565D2C">
        <w:rPr>
          <w:rFonts w:ascii="Times New Roman" w:hAnsi="Times New Roman" w:cs="Times New Roman"/>
          <w:sz w:val="24"/>
          <w:szCs w:val="24"/>
        </w:rPr>
        <w:t xml:space="preserve">primer </w:t>
      </w:r>
      <w:r w:rsidR="008800D7" w:rsidRPr="00565D2C">
        <w:rPr>
          <w:rFonts w:ascii="Times New Roman" w:hAnsi="Times New Roman" w:cs="Times New Roman"/>
          <w:sz w:val="24"/>
          <w:szCs w:val="24"/>
        </w:rPr>
        <w:t>semestre</w:t>
      </w:r>
      <w:r w:rsidR="00FB6DD5" w:rsidRPr="00565D2C">
        <w:rPr>
          <w:rFonts w:ascii="Times New Roman" w:hAnsi="Times New Roman" w:cs="Times New Roman"/>
          <w:sz w:val="24"/>
          <w:szCs w:val="24"/>
        </w:rPr>
        <w:t xml:space="preserve"> 2018</w:t>
      </w:r>
      <w:r w:rsidR="00AB09F7" w:rsidRPr="00565D2C">
        <w:rPr>
          <w:rFonts w:ascii="Times New Roman" w:hAnsi="Times New Roman" w:cs="Times New Roman"/>
          <w:sz w:val="24"/>
          <w:szCs w:val="24"/>
        </w:rPr>
        <w:t>.</w:t>
      </w:r>
    </w:p>
    <w:p w:rsidR="00AB09F7" w:rsidRPr="00565D2C" w:rsidRDefault="00AB09F7" w:rsidP="00565D2C">
      <w:pPr>
        <w:autoSpaceDE w:val="0"/>
        <w:autoSpaceDN w:val="0"/>
        <w:adjustRightInd w:val="0"/>
        <w:spacing w:after="0" w:line="240" w:lineRule="auto"/>
        <w:jc w:val="both"/>
        <w:rPr>
          <w:rFonts w:ascii="Times New Roman" w:hAnsi="Times New Roman" w:cs="Times New Roman"/>
          <w:sz w:val="24"/>
          <w:szCs w:val="24"/>
        </w:rPr>
      </w:pPr>
    </w:p>
    <w:p w:rsidR="009B47B0" w:rsidRPr="00565D2C" w:rsidRDefault="00EE56BA" w:rsidP="00565D2C">
      <w:pPr>
        <w:autoSpaceDE w:val="0"/>
        <w:autoSpaceDN w:val="0"/>
        <w:adjustRightInd w:val="0"/>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El plan de</w:t>
      </w:r>
      <w:r w:rsidR="00BD73C3" w:rsidRPr="00565D2C">
        <w:rPr>
          <w:rFonts w:ascii="Times New Roman" w:hAnsi="Times New Roman" w:cs="Times New Roman"/>
          <w:sz w:val="24"/>
          <w:szCs w:val="24"/>
        </w:rPr>
        <w:t xml:space="preserve"> trabajo de</w:t>
      </w:r>
      <w:r w:rsidRPr="00565D2C">
        <w:rPr>
          <w:rFonts w:ascii="Times New Roman" w:hAnsi="Times New Roman" w:cs="Times New Roman"/>
          <w:sz w:val="24"/>
          <w:szCs w:val="24"/>
        </w:rPr>
        <w:t xml:space="preserve"> la SC define objetivos est</w:t>
      </w:r>
      <w:r w:rsidR="009B47B0" w:rsidRPr="00565D2C">
        <w:rPr>
          <w:rFonts w:ascii="Times New Roman" w:hAnsi="Times New Roman" w:cs="Times New Roman"/>
          <w:sz w:val="24"/>
          <w:szCs w:val="24"/>
        </w:rPr>
        <w:t>r</w:t>
      </w:r>
      <w:r w:rsidRPr="00565D2C">
        <w:rPr>
          <w:rFonts w:ascii="Times New Roman" w:hAnsi="Times New Roman" w:cs="Times New Roman"/>
          <w:sz w:val="24"/>
          <w:szCs w:val="24"/>
        </w:rPr>
        <w:t>atégicos</w:t>
      </w:r>
      <w:r w:rsidR="009B47B0" w:rsidRPr="00565D2C">
        <w:rPr>
          <w:rFonts w:ascii="Times New Roman" w:hAnsi="Times New Roman" w:cs="Times New Roman"/>
          <w:sz w:val="24"/>
          <w:szCs w:val="24"/>
        </w:rPr>
        <w:t xml:space="preserve">, </w:t>
      </w:r>
      <w:r w:rsidR="008800D7" w:rsidRPr="00565D2C">
        <w:rPr>
          <w:rFonts w:ascii="Times New Roman" w:hAnsi="Times New Roman" w:cs="Times New Roman"/>
          <w:sz w:val="24"/>
          <w:szCs w:val="24"/>
        </w:rPr>
        <w:t xml:space="preserve">resultados por objetivos, </w:t>
      </w:r>
      <w:r w:rsidR="009B47B0" w:rsidRPr="00565D2C">
        <w:rPr>
          <w:rFonts w:ascii="Times New Roman" w:hAnsi="Times New Roman" w:cs="Times New Roman"/>
          <w:sz w:val="24"/>
          <w:szCs w:val="24"/>
        </w:rPr>
        <w:t>acciones estratégicas</w:t>
      </w:r>
      <w:r w:rsidR="008800D7" w:rsidRPr="00565D2C">
        <w:rPr>
          <w:rFonts w:ascii="Times New Roman" w:hAnsi="Times New Roman" w:cs="Times New Roman"/>
          <w:sz w:val="24"/>
          <w:szCs w:val="24"/>
        </w:rPr>
        <w:t xml:space="preserve"> y acti</w:t>
      </w:r>
      <w:r w:rsidR="009B47B0" w:rsidRPr="00565D2C">
        <w:rPr>
          <w:rFonts w:ascii="Times New Roman" w:hAnsi="Times New Roman" w:cs="Times New Roman"/>
          <w:sz w:val="24"/>
          <w:szCs w:val="24"/>
        </w:rPr>
        <w:t>vidades</w:t>
      </w:r>
      <w:r w:rsidR="00BD73C3" w:rsidRPr="00565D2C">
        <w:rPr>
          <w:rFonts w:ascii="Times New Roman" w:hAnsi="Times New Roman" w:cs="Times New Roman"/>
          <w:sz w:val="24"/>
          <w:szCs w:val="24"/>
        </w:rPr>
        <w:t>.</w:t>
      </w:r>
      <w:r w:rsidR="00050EE6" w:rsidRPr="00565D2C">
        <w:rPr>
          <w:rFonts w:ascii="Times New Roman" w:hAnsi="Times New Roman" w:cs="Times New Roman"/>
          <w:sz w:val="24"/>
          <w:szCs w:val="24"/>
        </w:rPr>
        <w:t xml:space="preserve"> El proceso seguido evalúa el cumplimiento de las actividades y </w:t>
      </w:r>
      <w:r w:rsidR="008800D7" w:rsidRPr="00565D2C">
        <w:rPr>
          <w:rFonts w:ascii="Times New Roman" w:hAnsi="Times New Roman" w:cs="Times New Roman"/>
          <w:sz w:val="24"/>
          <w:szCs w:val="24"/>
        </w:rPr>
        <w:t xml:space="preserve">de los resultados </w:t>
      </w:r>
      <w:r w:rsidR="00FB2F17" w:rsidRPr="00565D2C">
        <w:rPr>
          <w:rFonts w:ascii="Times New Roman" w:hAnsi="Times New Roman" w:cs="Times New Roman"/>
          <w:sz w:val="24"/>
          <w:szCs w:val="24"/>
        </w:rPr>
        <w:t>que coadyuven al logro de los objetivos.</w:t>
      </w:r>
    </w:p>
    <w:p w:rsidR="009B47B0" w:rsidRPr="00565D2C" w:rsidRDefault="009B47B0" w:rsidP="00565D2C">
      <w:pPr>
        <w:autoSpaceDE w:val="0"/>
        <w:autoSpaceDN w:val="0"/>
        <w:adjustRightInd w:val="0"/>
        <w:spacing w:after="0" w:line="240" w:lineRule="auto"/>
        <w:jc w:val="both"/>
        <w:rPr>
          <w:rFonts w:ascii="Times New Roman" w:hAnsi="Times New Roman" w:cs="Times New Roman"/>
          <w:sz w:val="24"/>
          <w:szCs w:val="24"/>
        </w:rPr>
      </w:pPr>
    </w:p>
    <w:p w:rsidR="001B6025" w:rsidRPr="00565D2C" w:rsidRDefault="005D62BF" w:rsidP="00565D2C">
      <w:pPr>
        <w:autoSpaceDE w:val="0"/>
        <w:autoSpaceDN w:val="0"/>
        <w:adjustRightInd w:val="0"/>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Con el objetivo de lograr una buena visualización del nivel de cumplimiento de</w:t>
      </w:r>
      <w:r w:rsidR="00A97D06" w:rsidRPr="00565D2C">
        <w:rPr>
          <w:rFonts w:ascii="Times New Roman" w:hAnsi="Times New Roman" w:cs="Times New Roman"/>
          <w:sz w:val="24"/>
          <w:szCs w:val="24"/>
        </w:rPr>
        <w:t xml:space="preserve"> las actividades</w:t>
      </w:r>
      <w:r w:rsidRPr="00565D2C">
        <w:rPr>
          <w:rFonts w:ascii="Times New Roman" w:hAnsi="Times New Roman" w:cs="Times New Roman"/>
          <w:sz w:val="24"/>
          <w:szCs w:val="24"/>
        </w:rPr>
        <w:t xml:space="preserve">, en el informe se muestra el porcentaje de ejecución por medio de colores, utilizando la </w:t>
      </w:r>
      <w:r w:rsidR="00063034" w:rsidRPr="00565D2C">
        <w:rPr>
          <w:rFonts w:ascii="Times New Roman" w:hAnsi="Times New Roman" w:cs="Times New Roman"/>
          <w:sz w:val="24"/>
          <w:szCs w:val="24"/>
        </w:rPr>
        <w:t xml:space="preserve">técnica </w:t>
      </w:r>
      <w:r w:rsidRPr="00565D2C">
        <w:rPr>
          <w:rFonts w:ascii="Times New Roman" w:hAnsi="Times New Roman" w:cs="Times New Roman"/>
          <w:sz w:val="24"/>
          <w:szCs w:val="24"/>
        </w:rPr>
        <w:t>del semáforo</w:t>
      </w:r>
      <w:r w:rsidR="00063034" w:rsidRPr="00565D2C">
        <w:rPr>
          <w:rFonts w:ascii="Times New Roman" w:hAnsi="Times New Roman" w:cs="Times New Roman"/>
          <w:sz w:val="24"/>
          <w:szCs w:val="24"/>
        </w:rPr>
        <w:t xml:space="preserve"> así</w:t>
      </w:r>
      <w:r w:rsidR="001B6025" w:rsidRPr="00565D2C">
        <w:rPr>
          <w:rFonts w:ascii="Times New Roman" w:hAnsi="Times New Roman" w:cs="Times New Roman"/>
          <w:sz w:val="24"/>
          <w:szCs w:val="24"/>
        </w:rPr>
        <w:t>:</w:t>
      </w:r>
    </w:p>
    <w:p w:rsidR="00F9657B" w:rsidRPr="00565D2C" w:rsidRDefault="00F9657B" w:rsidP="00565D2C">
      <w:pPr>
        <w:autoSpaceDE w:val="0"/>
        <w:autoSpaceDN w:val="0"/>
        <w:adjustRightInd w:val="0"/>
        <w:spacing w:after="0"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3175"/>
        <w:gridCol w:w="2711"/>
        <w:gridCol w:w="2942"/>
      </w:tblGrid>
      <w:tr w:rsidR="00F9657B" w:rsidRPr="00565D2C" w:rsidTr="00F9657B">
        <w:tc>
          <w:tcPr>
            <w:tcW w:w="3175" w:type="dxa"/>
          </w:tcPr>
          <w:p w:rsidR="00F9657B" w:rsidRPr="00565D2C" w:rsidRDefault="00F9657B" w:rsidP="00565D2C">
            <w:pPr>
              <w:autoSpaceDE w:val="0"/>
              <w:autoSpaceDN w:val="0"/>
              <w:adjustRightInd w:val="0"/>
              <w:jc w:val="both"/>
              <w:rPr>
                <w:b/>
                <w:sz w:val="24"/>
                <w:szCs w:val="24"/>
              </w:rPr>
            </w:pPr>
            <w:r w:rsidRPr="00565D2C">
              <w:rPr>
                <w:b/>
                <w:sz w:val="24"/>
                <w:szCs w:val="24"/>
              </w:rPr>
              <w:t>Rango de evaluación</w:t>
            </w:r>
          </w:p>
        </w:tc>
        <w:tc>
          <w:tcPr>
            <w:tcW w:w="2711" w:type="dxa"/>
          </w:tcPr>
          <w:p w:rsidR="00F9657B" w:rsidRPr="00565D2C" w:rsidRDefault="00F9657B" w:rsidP="00565D2C">
            <w:pPr>
              <w:autoSpaceDE w:val="0"/>
              <w:autoSpaceDN w:val="0"/>
              <w:adjustRightInd w:val="0"/>
              <w:jc w:val="both"/>
              <w:rPr>
                <w:b/>
                <w:sz w:val="24"/>
                <w:szCs w:val="24"/>
              </w:rPr>
            </w:pPr>
            <w:r w:rsidRPr="00565D2C">
              <w:rPr>
                <w:b/>
                <w:sz w:val="24"/>
                <w:szCs w:val="24"/>
              </w:rPr>
              <w:t>Color</w:t>
            </w:r>
          </w:p>
        </w:tc>
        <w:tc>
          <w:tcPr>
            <w:tcW w:w="2942" w:type="dxa"/>
          </w:tcPr>
          <w:p w:rsidR="00F9657B" w:rsidRPr="00565D2C" w:rsidRDefault="00F9657B" w:rsidP="00565D2C">
            <w:pPr>
              <w:autoSpaceDE w:val="0"/>
              <w:autoSpaceDN w:val="0"/>
              <w:adjustRightInd w:val="0"/>
              <w:jc w:val="both"/>
              <w:rPr>
                <w:b/>
                <w:sz w:val="24"/>
                <w:szCs w:val="24"/>
              </w:rPr>
            </w:pPr>
            <w:r w:rsidRPr="00565D2C">
              <w:rPr>
                <w:b/>
                <w:sz w:val="24"/>
                <w:szCs w:val="24"/>
              </w:rPr>
              <w:t>Ejecución</w:t>
            </w:r>
          </w:p>
        </w:tc>
      </w:tr>
      <w:tr w:rsidR="00F9657B" w:rsidRPr="00565D2C" w:rsidTr="00F9657B">
        <w:tc>
          <w:tcPr>
            <w:tcW w:w="3175" w:type="dxa"/>
          </w:tcPr>
          <w:p w:rsidR="00F9657B" w:rsidRPr="00565D2C" w:rsidRDefault="00F9657B" w:rsidP="00565D2C">
            <w:pPr>
              <w:autoSpaceDE w:val="0"/>
              <w:autoSpaceDN w:val="0"/>
              <w:adjustRightInd w:val="0"/>
              <w:jc w:val="both"/>
              <w:rPr>
                <w:b/>
                <w:sz w:val="24"/>
                <w:szCs w:val="24"/>
              </w:rPr>
            </w:pPr>
            <w:r w:rsidRPr="00565D2C">
              <w:rPr>
                <w:b/>
                <w:sz w:val="24"/>
                <w:szCs w:val="24"/>
              </w:rPr>
              <w:t>Más de 75%</w:t>
            </w:r>
          </w:p>
        </w:tc>
        <w:tc>
          <w:tcPr>
            <w:tcW w:w="2711" w:type="dxa"/>
            <w:shd w:val="clear" w:color="auto" w:fill="92D050"/>
          </w:tcPr>
          <w:p w:rsidR="00F9657B" w:rsidRPr="00565D2C" w:rsidRDefault="00F9657B" w:rsidP="00565D2C">
            <w:pPr>
              <w:autoSpaceDE w:val="0"/>
              <w:autoSpaceDN w:val="0"/>
              <w:adjustRightInd w:val="0"/>
              <w:jc w:val="both"/>
              <w:rPr>
                <w:sz w:val="24"/>
                <w:szCs w:val="24"/>
              </w:rPr>
            </w:pPr>
          </w:p>
        </w:tc>
        <w:tc>
          <w:tcPr>
            <w:tcW w:w="2942" w:type="dxa"/>
          </w:tcPr>
          <w:p w:rsidR="00F9657B" w:rsidRPr="00565D2C" w:rsidRDefault="00F9657B" w:rsidP="00565D2C">
            <w:pPr>
              <w:autoSpaceDE w:val="0"/>
              <w:autoSpaceDN w:val="0"/>
              <w:adjustRightInd w:val="0"/>
              <w:jc w:val="both"/>
              <w:rPr>
                <w:sz w:val="24"/>
                <w:szCs w:val="24"/>
              </w:rPr>
            </w:pPr>
            <w:r w:rsidRPr="00565D2C">
              <w:rPr>
                <w:sz w:val="24"/>
                <w:szCs w:val="24"/>
              </w:rPr>
              <w:t>Satisfactoria</w:t>
            </w:r>
          </w:p>
        </w:tc>
      </w:tr>
      <w:tr w:rsidR="00F9657B" w:rsidRPr="00565D2C" w:rsidTr="00F9657B">
        <w:tc>
          <w:tcPr>
            <w:tcW w:w="3175" w:type="dxa"/>
          </w:tcPr>
          <w:p w:rsidR="00F9657B" w:rsidRPr="00565D2C" w:rsidRDefault="00F9657B" w:rsidP="00565D2C">
            <w:pPr>
              <w:autoSpaceDE w:val="0"/>
              <w:autoSpaceDN w:val="0"/>
              <w:adjustRightInd w:val="0"/>
              <w:jc w:val="both"/>
              <w:rPr>
                <w:b/>
                <w:sz w:val="24"/>
                <w:szCs w:val="24"/>
              </w:rPr>
            </w:pPr>
            <w:r w:rsidRPr="00565D2C">
              <w:rPr>
                <w:b/>
                <w:sz w:val="24"/>
                <w:szCs w:val="24"/>
              </w:rPr>
              <w:t xml:space="preserve">Entre </w:t>
            </w:r>
            <w:r w:rsidR="006D43F6" w:rsidRPr="00565D2C">
              <w:rPr>
                <w:b/>
                <w:sz w:val="24"/>
                <w:szCs w:val="24"/>
              </w:rPr>
              <w:t>50.00%</w:t>
            </w:r>
            <w:r w:rsidRPr="00565D2C">
              <w:rPr>
                <w:b/>
                <w:sz w:val="24"/>
                <w:szCs w:val="24"/>
              </w:rPr>
              <w:t xml:space="preserve"> y 74.99%</w:t>
            </w:r>
          </w:p>
        </w:tc>
        <w:tc>
          <w:tcPr>
            <w:tcW w:w="2711" w:type="dxa"/>
            <w:shd w:val="clear" w:color="auto" w:fill="FFFF00"/>
          </w:tcPr>
          <w:p w:rsidR="00F9657B" w:rsidRPr="00565D2C" w:rsidRDefault="00F9657B" w:rsidP="00565D2C">
            <w:pPr>
              <w:autoSpaceDE w:val="0"/>
              <w:autoSpaceDN w:val="0"/>
              <w:adjustRightInd w:val="0"/>
              <w:jc w:val="both"/>
              <w:rPr>
                <w:sz w:val="24"/>
                <w:szCs w:val="24"/>
              </w:rPr>
            </w:pPr>
          </w:p>
        </w:tc>
        <w:tc>
          <w:tcPr>
            <w:tcW w:w="2942" w:type="dxa"/>
          </w:tcPr>
          <w:p w:rsidR="00F9657B" w:rsidRPr="00565D2C" w:rsidRDefault="00F9657B" w:rsidP="00565D2C">
            <w:pPr>
              <w:autoSpaceDE w:val="0"/>
              <w:autoSpaceDN w:val="0"/>
              <w:adjustRightInd w:val="0"/>
              <w:jc w:val="both"/>
              <w:rPr>
                <w:sz w:val="24"/>
                <w:szCs w:val="24"/>
              </w:rPr>
            </w:pPr>
            <w:r w:rsidRPr="00565D2C">
              <w:rPr>
                <w:sz w:val="24"/>
                <w:szCs w:val="24"/>
              </w:rPr>
              <w:t>Media</w:t>
            </w:r>
          </w:p>
        </w:tc>
      </w:tr>
      <w:tr w:rsidR="00F9657B" w:rsidRPr="00565D2C" w:rsidTr="00F9657B">
        <w:tc>
          <w:tcPr>
            <w:tcW w:w="3175" w:type="dxa"/>
            <w:shd w:val="clear" w:color="auto" w:fill="auto"/>
          </w:tcPr>
          <w:p w:rsidR="00F9657B" w:rsidRPr="00565D2C" w:rsidRDefault="00F9657B" w:rsidP="00565D2C">
            <w:pPr>
              <w:autoSpaceDE w:val="0"/>
              <w:autoSpaceDN w:val="0"/>
              <w:adjustRightInd w:val="0"/>
              <w:jc w:val="both"/>
              <w:rPr>
                <w:b/>
                <w:sz w:val="24"/>
                <w:szCs w:val="24"/>
              </w:rPr>
            </w:pPr>
            <w:r w:rsidRPr="00565D2C">
              <w:rPr>
                <w:b/>
                <w:sz w:val="24"/>
                <w:szCs w:val="24"/>
              </w:rPr>
              <w:t>Entre 0% y 49.99%</w:t>
            </w:r>
          </w:p>
        </w:tc>
        <w:tc>
          <w:tcPr>
            <w:tcW w:w="2711" w:type="dxa"/>
            <w:shd w:val="clear" w:color="auto" w:fill="FF0000"/>
          </w:tcPr>
          <w:p w:rsidR="00F9657B" w:rsidRPr="00565D2C" w:rsidRDefault="00F9657B" w:rsidP="00565D2C">
            <w:pPr>
              <w:autoSpaceDE w:val="0"/>
              <w:autoSpaceDN w:val="0"/>
              <w:adjustRightInd w:val="0"/>
              <w:jc w:val="both"/>
              <w:rPr>
                <w:sz w:val="24"/>
                <w:szCs w:val="24"/>
              </w:rPr>
            </w:pPr>
          </w:p>
        </w:tc>
        <w:tc>
          <w:tcPr>
            <w:tcW w:w="2942" w:type="dxa"/>
          </w:tcPr>
          <w:p w:rsidR="00F9657B" w:rsidRPr="00565D2C" w:rsidRDefault="00F9657B" w:rsidP="00565D2C">
            <w:pPr>
              <w:autoSpaceDE w:val="0"/>
              <w:autoSpaceDN w:val="0"/>
              <w:adjustRightInd w:val="0"/>
              <w:jc w:val="both"/>
              <w:rPr>
                <w:sz w:val="24"/>
                <w:szCs w:val="24"/>
              </w:rPr>
            </w:pPr>
            <w:r w:rsidRPr="00565D2C">
              <w:rPr>
                <w:sz w:val="24"/>
                <w:szCs w:val="24"/>
              </w:rPr>
              <w:t>Baja</w:t>
            </w:r>
          </w:p>
        </w:tc>
      </w:tr>
    </w:tbl>
    <w:p w:rsidR="005D62BF" w:rsidRPr="00565D2C" w:rsidRDefault="00063034" w:rsidP="00565D2C">
      <w:pPr>
        <w:autoSpaceDE w:val="0"/>
        <w:autoSpaceDN w:val="0"/>
        <w:adjustRightInd w:val="0"/>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p>
    <w:p w:rsidR="00113757" w:rsidRPr="00565D2C" w:rsidRDefault="00BA424D" w:rsidP="00565D2C">
      <w:pPr>
        <w:autoSpaceDE w:val="0"/>
        <w:autoSpaceDN w:val="0"/>
        <w:adjustRightInd w:val="0"/>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Para establecer el desempeño de las 1</w:t>
      </w:r>
      <w:r w:rsidR="00414DD1" w:rsidRPr="00565D2C">
        <w:rPr>
          <w:rFonts w:ascii="Times New Roman" w:hAnsi="Times New Roman" w:cs="Times New Roman"/>
          <w:sz w:val="24"/>
          <w:szCs w:val="24"/>
        </w:rPr>
        <w:t>2</w:t>
      </w:r>
      <w:r w:rsidRPr="00565D2C">
        <w:rPr>
          <w:rFonts w:ascii="Times New Roman" w:hAnsi="Times New Roman" w:cs="Times New Roman"/>
          <w:sz w:val="24"/>
          <w:szCs w:val="24"/>
        </w:rPr>
        <w:t xml:space="preserve"> unidades organizativas institucionales, </w:t>
      </w:r>
      <w:r w:rsidR="00113757" w:rsidRPr="00565D2C">
        <w:rPr>
          <w:rFonts w:ascii="Times New Roman" w:hAnsi="Times New Roman" w:cs="Times New Roman"/>
          <w:sz w:val="24"/>
          <w:szCs w:val="24"/>
        </w:rPr>
        <w:t xml:space="preserve">se ha verificado el </w:t>
      </w:r>
      <w:r w:rsidR="00C66A33" w:rsidRPr="00565D2C">
        <w:rPr>
          <w:rFonts w:ascii="Times New Roman" w:hAnsi="Times New Roman" w:cs="Times New Roman"/>
          <w:sz w:val="24"/>
          <w:szCs w:val="24"/>
        </w:rPr>
        <w:t xml:space="preserve">cumplimiento de sus actividades </w:t>
      </w:r>
      <w:r w:rsidR="00113757" w:rsidRPr="00565D2C">
        <w:rPr>
          <w:rFonts w:ascii="Times New Roman" w:hAnsi="Times New Roman" w:cs="Times New Roman"/>
          <w:sz w:val="24"/>
          <w:szCs w:val="24"/>
        </w:rPr>
        <w:t>y el resultado de esa evaluación se presenta en el consolidado que se incorpora también en este documento.</w:t>
      </w:r>
    </w:p>
    <w:p w:rsidR="00113757" w:rsidRPr="00565D2C" w:rsidRDefault="00113757" w:rsidP="00565D2C">
      <w:pPr>
        <w:autoSpaceDE w:val="0"/>
        <w:autoSpaceDN w:val="0"/>
        <w:adjustRightInd w:val="0"/>
        <w:spacing w:after="0" w:line="240" w:lineRule="auto"/>
        <w:jc w:val="both"/>
        <w:rPr>
          <w:rFonts w:ascii="Times New Roman" w:hAnsi="Times New Roman" w:cs="Times New Roman"/>
          <w:sz w:val="24"/>
          <w:szCs w:val="24"/>
        </w:rPr>
      </w:pPr>
    </w:p>
    <w:p w:rsidR="000D67F0" w:rsidRPr="00565D2C" w:rsidRDefault="000D67F0" w:rsidP="00565D2C">
      <w:pPr>
        <w:autoSpaceDE w:val="0"/>
        <w:autoSpaceDN w:val="0"/>
        <w:adjustRightInd w:val="0"/>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A partir de la consecución de estos resultados, la SC </w:t>
      </w:r>
      <w:r w:rsidR="00AC309F" w:rsidRPr="00565D2C">
        <w:rPr>
          <w:rFonts w:ascii="Times New Roman" w:hAnsi="Times New Roman" w:cs="Times New Roman"/>
          <w:sz w:val="24"/>
          <w:szCs w:val="24"/>
        </w:rPr>
        <w:t>avanza más como</w:t>
      </w:r>
      <w:r w:rsidRPr="00565D2C">
        <w:rPr>
          <w:rFonts w:ascii="Times New Roman" w:hAnsi="Times New Roman" w:cs="Times New Roman"/>
          <w:sz w:val="24"/>
          <w:szCs w:val="24"/>
        </w:rPr>
        <w:t xml:space="preserve"> una institución eficiente y eficaz</w:t>
      </w:r>
      <w:r w:rsidR="00AC309F" w:rsidRPr="00565D2C">
        <w:rPr>
          <w:rFonts w:ascii="Times New Roman" w:hAnsi="Times New Roman" w:cs="Times New Roman"/>
          <w:sz w:val="24"/>
          <w:szCs w:val="24"/>
        </w:rPr>
        <w:t>,</w:t>
      </w:r>
      <w:r w:rsidRPr="00565D2C">
        <w:rPr>
          <w:rFonts w:ascii="Times New Roman" w:hAnsi="Times New Roman" w:cs="Times New Roman"/>
          <w:sz w:val="24"/>
          <w:szCs w:val="24"/>
        </w:rPr>
        <w:t xml:space="preserve"> </w:t>
      </w:r>
      <w:r w:rsidR="00AC309F" w:rsidRPr="00565D2C">
        <w:rPr>
          <w:rFonts w:ascii="Times New Roman" w:hAnsi="Times New Roman" w:cs="Times New Roman"/>
          <w:sz w:val="24"/>
          <w:szCs w:val="24"/>
        </w:rPr>
        <w:t xml:space="preserve">que promueve y protege la competencia buscando incrementar la </w:t>
      </w:r>
      <w:r w:rsidRPr="00565D2C">
        <w:rPr>
          <w:rFonts w:ascii="Times New Roman" w:hAnsi="Times New Roman" w:cs="Times New Roman"/>
          <w:sz w:val="24"/>
          <w:szCs w:val="24"/>
        </w:rPr>
        <w:t>eficiencia económica y el bienestar de los consumidores</w:t>
      </w:r>
      <w:r w:rsidR="00AC309F" w:rsidRPr="00565D2C">
        <w:rPr>
          <w:rFonts w:ascii="Times New Roman" w:hAnsi="Times New Roman" w:cs="Times New Roman"/>
          <w:sz w:val="24"/>
          <w:szCs w:val="24"/>
        </w:rPr>
        <w:t>.</w:t>
      </w:r>
    </w:p>
    <w:p w:rsidR="00AC309F" w:rsidRPr="00565D2C" w:rsidRDefault="00AC309F" w:rsidP="00565D2C">
      <w:pPr>
        <w:autoSpaceDE w:val="0"/>
        <w:autoSpaceDN w:val="0"/>
        <w:adjustRightInd w:val="0"/>
        <w:spacing w:after="0" w:line="240" w:lineRule="auto"/>
        <w:jc w:val="both"/>
        <w:rPr>
          <w:rFonts w:ascii="Times New Roman" w:hAnsi="Times New Roman" w:cs="Times New Roman"/>
          <w:sz w:val="24"/>
          <w:szCs w:val="24"/>
        </w:rPr>
      </w:pPr>
    </w:p>
    <w:p w:rsidR="00AC309F" w:rsidRPr="00565D2C" w:rsidRDefault="00AC309F" w:rsidP="00565D2C">
      <w:pPr>
        <w:autoSpaceDE w:val="0"/>
        <w:autoSpaceDN w:val="0"/>
        <w:adjustRightInd w:val="0"/>
        <w:spacing w:after="0" w:line="240" w:lineRule="auto"/>
        <w:jc w:val="both"/>
        <w:rPr>
          <w:rFonts w:ascii="Times New Roman" w:hAnsi="Times New Roman" w:cs="Times New Roman"/>
          <w:sz w:val="24"/>
          <w:szCs w:val="24"/>
        </w:rPr>
      </w:pPr>
    </w:p>
    <w:p w:rsidR="000D67F0" w:rsidRPr="00565D2C" w:rsidRDefault="000D67F0" w:rsidP="00565D2C">
      <w:pPr>
        <w:autoSpaceDE w:val="0"/>
        <w:autoSpaceDN w:val="0"/>
        <w:adjustRightInd w:val="0"/>
        <w:spacing w:after="0" w:line="240" w:lineRule="auto"/>
        <w:jc w:val="both"/>
        <w:rPr>
          <w:rFonts w:ascii="Times New Roman" w:hAnsi="Times New Roman" w:cs="Times New Roman"/>
          <w:sz w:val="24"/>
          <w:szCs w:val="24"/>
        </w:rPr>
      </w:pPr>
    </w:p>
    <w:p w:rsidR="000D67F0" w:rsidRPr="00565D2C" w:rsidRDefault="000D67F0" w:rsidP="00565D2C">
      <w:pPr>
        <w:autoSpaceDE w:val="0"/>
        <w:autoSpaceDN w:val="0"/>
        <w:adjustRightInd w:val="0"/>
        <w:spacing w:after="0" w:line="240" w:lineRule="auto"/>
        <w:jc w:val="both"/>
        <w:rPr>
          <w:rFonts w:ascii="Times New Roman" w:hAnsi="Times New Roman" w:cs="Times New Roman"/>
          <w:sz w:val="24"/>
          <w:szCs w:val="24"/>
        </w:rPr>
      </w:pPr>
    </w:p>
    <w:p w:rsidR="00FC3440" w:rsidRPr="00565D2C" w:rsidRDefault="00FC3440" w:rsidP="00565D2C">
      <w:pPr>
        <w:spacing w:after="0" w:line="240" w:lineRule="auto"/>
        <w:jc w:val="both"/>
        <w:rPr>
          <w:rFonts w:ascii="Times New Roman" w:hAnsi="Times New Roman" w:cs="Times New Roman"/>
          <w:sz w:val="24"/>
          <w:szCs w:val="24"/>
        </w:rPr>
      </w:pPr>
    </w:p>
    <w:p w:rsidR="006A3B6A" w:rsidRPr="00565D2C" w:rsidRDefault="006A3B6A" w:rsidP="00565D2C">
      <w:pPr>
        <w:jc w:val="both"/>
        <w:rPr>
          <w:rFonts w:ascii="Times New Roman" w:hAnsi="Times New Roman" w:cs="Times New Roman"/>
          <w:sz w:val="24"/>
          <w:szCs w:val="24"/>
        </w:rPr>
      </w:pPr>
      <w:r w:rsidRPr="00565D2C">
        <w:rPr>
          <w:rFonts w:ascii="Times New Roman" w:hAnsi="Times New Roman" w:cs="Times New Roman"/>
          <w:sz w:val="24"/>
          <w:szCs w:val="24"/>
        </w:rPr>
        <w:br w:type="page"/>
      </w:r>
    </w:p>
    <w:p w:rsidR="008800D7" w:rsidRPr="00565D2C" w:rsidRDefault="008800D7" w:rsidP="00565D2C">
      <w:pPr>
        <w:pStyle w:val="Ttulo1"/>
        <w:numPr>
          <w:ilvl w:val="0"/>
          <w:numId w:val="11"/>
        </w:numPr>
        <w:rPr>
          <w:rFonts w:ascii="Times New Roman" w:hAnsi="Times New Roman" w:cs="Times New Roman"/>
          <w:sz w:val="24"/>
        </w:rPr>
      </w:pPr>
      <w:bookmarkStart w:id="1" w:name="_Toc523143295"/>
      <w:r w:rsidRPr="00565D2C">
        <w:rPr>
          <w:rFonts w:ascii="Times New Roman" w:hAnsi="Times New Roman" w:cs="Times New Roman"/>
          <w:sz w:val="24"/>
        </w:rPr>
        <w:t>Resultados del avance en el PEI al primer semestre 2018</w:t>
      </w:r>
      <w:bookmarkEnd w:id="1"/>
    </w:p>
    <w:p w:rsidR="008800D7" w:rsidRPr="00565D2C" w:rsidRDefault="00D0395C" w:rsidP="00565D2C">
      <w:pPr>
        <w:jc w:val="both"/>
        <w:rPr>
          <w:rFonts w:ascii="Times New Roman" w:hAnsi="Times New Roman" w:cs="Times New Roman"/>
          <w:sz w:val="24"/>
          <w:szCs w:val="24"/>
        </w:rPr>
      </w:pPr>
      <w:r w:rsidRPr="00565D2C">
        <w:rPr>
          <w:rFonts w:ascii="Times New Roman" w:hAnsi="Times New Roman" w:cs="Times New Roman"/>
          <w:sz w:val="24"/>
          <w:szCs w:val="24"/>
        </w:rPr>
        <w:t>El PEI de la SC tiene una relación en cascada por medio de los 3 objetivos institucionales, el primero relacionado con la promoción de la competencia, el segundo con protección de la competencia y el último con fortalecimiento institucional; los 4 ejes (influencia en políticas públicas, opinión pública y públicos específicos, aplicación de la LC y desarrollo institucional); los resultados, las acciones estratégicas y las actividades.</w:t>
      </w:r>
    </w:p>
    <w:p w:rsidR="008800D7" w:rsidRPr="00565D2C" w:rsidRDefault="00D0395C" w:rsidP="00565D2C">
      <w:pPr>
        <w:jc w:val="both"/>
        <w:rPr>
          <w:rFonts w:ascii="Times New Roman" w:hAnsi="Times New Roman" w:cs="Times New Roman"/>
          <w:sz w:val="24"/>
          <w:szCs w:val="24"/>
        </w:rPr>
      </w:pPr>
      <w:r w:rsidRPr="00565D2C">
        <w:rPr>
          <w:rFonts w:ascii="Times New Roman" w:hAnsi="Times New Roman" w:cs="Times New Roman"/>
          <w:sz w:val="24"/>
          <w:szCs w:val="24"/>
        </w:rPr>
        <w:t xml:space="preserve">A </w:t>
      </w:r>
      <w:r w:rsidR="00C22FEC" w:rsidRPr="00565D2C">
        <w:rPr>
          <w:rFonts w:ascii="Times New Roman" w:hAnsi="Times New Roman" w:cs="Times New Roman"/>
          <w:sz w:val="24"/>
          <w:szCs w:val="24"/>
        </w:rPr>
        <w:t>continuación,</w:t>
      </w:r>
      <w:r w:rsidRPr="00565D2C">
        <w:rPr>
          <w:rFonts w:ascii="Times New Roman" w:hAnsi="Times New Roman" w:cs="Times New Roman"/>
          <w:sz w:val="24"/>
          <w:szCs w:val="24"/>
        </w:rPr>
        <w:t xml:space="preserve"> vamos a detallar por medio de cuadros el avance que se tiene en el primer semestre </w:t>
      </w:r>
      <w:r w:rsidR="00C22FEC" w:rsidRPr="00565D2C">
        <w:rPr>
          <w:rFonts w:ascii="Times New Roman" w:hAnsi="Times New Roman" w:cs="Times New Roman"/>
          <w:sz w:val="24"/>
          <w:szCs w:val="24"/>
        </w:rPr>
        <w:t>a nivel de resultados:</w:t>
      </w:r>
    </w:p>
    <w:tbl>
      <w:tblPr>
        <w:tblStyle w:val="Tablaconcuadrcula"/>
        <w:tblW w:w="0" w:type="auto"/>
        <w:tblLook w:val="04A0" w:firstRow="1" w:lastRow="0" w:firstColumn="1" w:lastColumn="0" w:noHBand="0" w:noVBand="1"/>
      </w:tblPr>
      <w:tblGrid>
        <w:gridCol w:w="1678"/>
        <w:gridCol w:w="1679"/>
        <w:gridCol w:w="1679"/>
        <w:gridCol w:w="1832"/>
        <w:gridCol w:w="1960"/>
      </w:tblGrid>
      <w:tr w:rsidR="00C22FEC" w:rsidRPr="00565D2C" w:rsidTr="00C32EC8">
        <w:tc>
          <w:tcPr>
            <w:tcW w:w="1731" w:type="dxa"/>
          </w:tcPr>
          <w:p w:rsidR="00C22FEC" w:rsidRPr="00565D2C" w:rsidRDefault="00C22FEC" w:rsidP="00565D2C">
            <w:pPr>
              <w:jc w:val="both"/>
              <w:rPr>
                <w:sz w:val="24"/>
                <w:szCs w:val="24"/>
              </w:rPr>
            </w:pPr>
            <w:r w:rsidRPr="00565D2C">
              <w:rPr>
                <w:sz w:val="24"/>
                <w:szCs w:val="24"/>
              </w:rPr>
              <w:t>Resultado</w:t>
            </w:r>
          </w:p>
        </w:tc>
        <w:tc>
          <w:tcPr>
            <w:tcW w:w="1731" w:type="dxa"/>
          </w:tcPr>
          <w:p w:rsidR="00C22FEC" w:rsidRPr="00565D2C" w:rsidRDefault="00C22FEC" w:rsidP="00565D2C">
            <w:pPr>
              <w:jc w:val="both"/>
              <w:rPr>
                <w:sz w:val="24"/>
                <w:szCs w:val="24"/>
              </w:rPr>
            </w:pPr>
            <w:r w:rsidRPr="00565D2C">
              <w:rPr>
                <w:sz w:val="24"/>
                <w:szCs w:val="24"/>
              </w:rPr>
              <w:t>Indicador</w:t>
            </w:r>
          </w:p>
        </w:tc>
        <w:tc>
          <w:tcPr>
            <w:tcW w:w="1732" w:type="dxa"/>
          </w:tcPr>
          <w:p w:rsidR="00C22FEC" w:rsidRPr="00565D2C" w:rsidRDefault="00C22FEC" w:rsidP="00565D2C">
            <w:pPr>
              <w:jc w:val="both"/>
              <w:rPr>
                <w:sz w:val="24"/>
                <w:szCs w:val="24"/>
              </w:rPr>
            </w:pPr>
            <w:r w:rsidRPr="00565D2C">
              <w:rPr>
                <w:sz w:val="24"/>
                <w:szCs w:val="24"/>
              </w:rPr>
              <w:t>Meta</w:t>
            </w:r>
          </w:p>
        </w:tc>
        <w:tc>
          <w:tcPr>
            <w:tcW w:w="1763" w:type="dxa"/>
          </w:tcPr>
          <w:p w:rsidR="00C22FEC" w:rsidRPr="00565D2C" w:rsidRDefault="00C22FEC" w:rsidP="00565D2C">
            <w:pPr>
              <w:jc w:val="both"/>
              <w:rPr>
                <w:sz w:val="24"/>
                <w:szCs w:val="24"/>
              </w:rPr>
            </w:pPr>
            <w:r w:rsidRPr="00565D2C">
              <w:rPr>
                <w:sz w:val="24"/>
                <w:szCs w:val="24"/>
              </w:rPr>
              <w:t>Responsable</w:t>
            </w:r>
          </w:p>
        </w:tc>
        <w:tc>
          <w:tcPr>
            <w:tcW w:w="1871" w:type="dxa"/>
          </w:tcPr>
          <w:p w:rsidR="00C22FEC" w:rsidRPr="005C54E2" w:rsidRDefault="00C22FEC" w:rsidP="00565D2C">
            <w:pPr>
              <w:jc w:val="both"/>
              <w:rPr>
                <w:sz w:val="24"/>
                <w:szCs w:val="24"/>
                <w:lang w:val="es-SV"/>
              </w:rPr>
            </w:pPr>
            <w:r w:rsidRPr="005C54E2">
              <w:rPr>
                <w:sz w:val="24"/>
                <w:szCs w:val="24"/>
                <w:lang w:val="es-SV"/>
              </w:rPr>
              <w:t>Avance al semester respect a la meta anual</w:t>
            </w:r>
          </w:p>
        </w:tc>
      </w:tr>
      <w:tr w:rsidR="00C22FEC" w:rsidRPr="00565D2C" w:rsidTr="00C32EC8">
        <w:tc>
          <w:tcPr>
            <w:tcW w:w="1731" w:type="dxa"/>
          </w:tcPr>
          <w:p w:rsidR="00C22FEC" w:rsidRPr="00565D2C" w:rsidRDefault="00C22FEC" w:rsidP="00565D2C">
            <w:pPr>
              <w:jc w:val="both"/>
              <w:rPr>
                <w:sz w:val="24"/>
                <w:szCs w:val="24"/>
                <w:lang w:val="es-SV"/>
              </w:rPr>
            </w:pPr>
            <w:r w:rsidRPr="00565D2C">
              <w:rPr>
                <w:sz w:val="24"/>
                <w:szCs w:val="24"/>
                <w:lang w:val="es-SV"/>
              </w:rPr>
              <w:t>Conocimiento fortalecido sobre el funcionamiento de los mercados y su respectiva regulación para la adecuada toma de decisiones de gobierno.</w:t>
            </w:r>
          </w:p>
          <w:p w:rsidR="00C22FEC" w:rsidRPr="00565D2C" w:rsidRDefault="00C22FEC" w:rsidP="00565D2C">
            <w:pPr>
              <w:jc w:val="both"/>
              <w:rPr>
                <w:sz w:val="24"/>
                <w:szCs w:val="24"/>
                <w:lang w:val="es-SV"/>
              </w:rPr>
            </w:pPr>
          </w:p>
        </w:tc>
        <w:tc>
          <w:tcPr>
            <w:tcW w:w="1731" w:type="dxa"/>
          </w:tcPr>
          <w:p w:rsidR="00C22FEC" w:rsidRPr="00565D2C" w:rsidRDefault="00C22FEC" w:rsidP="00565D2C">
            <w:pPr>
              <w:jc w:val="both"/>
              <w:rPr>
                <w:sz w:val="24"/>
                <w:szCs w:val="24"/>
                <w:lang w:val="es-SV"/>
              </w:rPr>
            </w:pPr>
            <w:r w:rsidRPr="00565D2C">
              <w:rPr>
                <w:sz w:val="24"/>
                <w:szCs w:val="24"/>
                <w:lang w:val="es-SV"/>
              </w:rPr>
              <w:t>Índice de fortalecimiento del conocimiento</w:t>
            </w:r>
          </w:p>
          <w:p w:rsidR="00C22FEC" w:rsidRPr="00565D2C" w:rsidRDefault="00C22FEC" w:rsidP="00565D2C">
            <w:pPr>
              <w:jc w:val="both"/>
              <w:rPr>
                <w:sz w:val="24"/>
                <w:szCs w:val="24"/>
              </w:rPr>
            </w:pPr>
          </w:p>
        </w:tc>
        <w:tc>
          <w:tcPr>
            <w:tcW w:w="1732" w:type="dxa"/>
          </w:tcPr>
          <w:p w:rsidR="00C22FEC" w:rsidRPr="00565D2C" w:rsidRDefault="00C22FEC" w:rsidP="00565D2C">
            <w:pPr>
              <w:jc w:val="both"/>
              <w:rPr>
                <w:sz w:val="24"/>
                <w:szCs w:val="24"/>
                <w:lang w:val="es-SV"/>
              </w:rPr>
            </w:pPr>
            <w:r w:rsidRPr="00565D2C">
              <w:rPr>
                <w:sz w:val="24"/>
                <w:szCs w:val="24"/>
                <w:lang w:val="es-SV"/>
              </w:rPr>
              <w:t xml:space="preserve">60% del indicador de fortalecimiento de conocimiento (IFK) </w:t>
            </w:r>
          </w:p>
          <w:p w:rsidR="00C22FEC" w:rsidRPr="00565D2C" w:rsidRDefault="00C22FEC" w:rsidP="00565D2C">
            <w:pPr>
              <w:jc w:val="both"/>
              <w:rPr>
                <w:sz w:val="24"/>
                <w:szCs w:val="24"/>
                <w:lang w:val="es-SV"/>
              </w:rPr>
            </w:pPr>
          </w:p>
        </w:tc>
        <w:tc>
          <w:tcPr>
            <w:tcW w:w="1763" w:type="dxa"/>
          </w:tcPr>
          <w:p w:rsidR="00C22FEC" w:rsidRPr="00565D2C" w:rsidRDefault="00C22FEC" w:rsidP="00565D2C">
            <w:pPr>
              <w:jc w:val="both"/>
              <w:rPr>
                <w:sz w:val="24"/>
                <w:szCs w:val="24"/>
              </w:rPr>
            </w:pPr>
            <w:r w:rsidRPr="00565D2C">
              <w:rPr>
                <w:sz w:val="24"/>
                <w:szCs w:val="24"/>
              </w:rPr>
              <w:t>IE</w:t>
            </w:r>
          </w:p>
        </w:tc>
        <w:tc>
          <w:tcPr>
            <w:tcW w:w="1871" w:type="dxa"/>
          </w:tcPr>
          <w:p w:rsidR="00C22FEC" w:rsidRPr="00565D2C" w:rsidRDefault="00C22FEC" w:rsidP="00565D2C">
            <w:pPr>
              <w:jc w:val="both"/>
              <w:rPr>
                <w:sz w:val="24"/>
                <w:szCs w:val="24"/>
                <w:lang w:val="es-SV"/>
              </w:rPr>
            </w:pPr>
            <w:r w:rsidRPr="00565D2C">
              <w:rPr>
                <w:sz w:val="24"/>
                <w:szCs w:val="24"/>
                <w:lang w:val="es-SV"/>
              </w:rPr>
              <w:t>85.7%. Se adjunta Informe y Metodología en medios de verificación, T2, subcarpeta IFK.</w:t>
            </w:r>
          </w:p>
          <w:p w:rsidR="00C22FEC" w:rsidRPr="00565D2C" w:rsidRDefault="00C22FEC" w:rsidP="00565D2C">
            <w:pPr>
              <w:jc w:val="both"/>
              <w:rPr>
                <w:sz w:val="24"/>
                <w:szCs w:val="24"/>
                <w:lang w:val="es-SV"/>
              </w:rPr>
            </w:pPr>
          </w:p>
        </w:tc>
      </w:tr>
      <w:tr w:rsidR="00C22FEC" w:rsidRPr="00565D2C" w:rsidTr="00C32EC8">
        <w:tc>
          <w:tcPr>
            <w:tcW w:w="1731" w:type="dxa"/>
          </w:tcPr>
          <w:p w:rsidR="00C22FEC" w:rsidRPr="00565D2C" w:rsidRDefault="00C22FEC" w:rsidP="00565D2C">
            <w:pPr>
              <w:jc w:val="both"/>
              <w:rPr>
                <w:sz w:val="24"/>
                <w:szCs w:val="24"/>
                <w:lang w:val="es-SV"/>
              </w:rPr>
            </w:pPr>
            <w:r w:rsidRPr="00565D2C">
              <w:rPr>
                <w:sz w:val="24"/>
                <w:szCs w:val="24"/>
                <w:lang w:val="es-SV"/>
              </w:rPr>
              <w:t>Legislación nacional de competencia fortalecidas.</w:t>
            </w:r>
          </w:p>
          <w:p w:rsidR="00C22FEC" w:rsidRPr="00565D2C" w:rsidRDefault="00C22FEC" w:rsidP="00565D2C">
            <w:pPr>
              <w:jc w:val="both"/>
              <w:rPr>
                <w:sz w:val="24"/>
                <w:szCs w:val="24"/>
                <w:lang w:val="es-SV"/>
              </w:rPr>
            </w:pPr>
          </w:p>
        </w:tc>
        <w:tc>
          <w:tcPr>
            <w:tcW w:w="1731" w:type="dxa"/>
          </w:tcPr>
          <w:p w:rsidR="00C22FEC" w:rsidRPr="00565D2C" w:rsidRDefault="00C22FEC" w:rsidP="00565D2C">
            <w:pPr>
              <w:jc w:val="both"/>
              <w:rPr>
                <w:sz w:val="24"/>
                <w:szCs w:val="24"/>
                <w:lang w:val="es-SV"/>
              </w:rPr>
            </w:pPr>
            <w:r w:rsidRPr="00565D2C">
              <w:rPr>
                <w:sz w:val="24"/>
                <w:szCs w:val="24"/>
                <w:lang w:val="es-SV"/>
              </w:rPr>
              <w:t>Reformas legales presentadas</w:t>
            </w:r>
          </w:p>
          <w:p w:rsidR="00C22FEC" w:rsidRPr="00565D2C" w:rsidRDefault="00C22FEC" w:rsidP="00565D2C">
            <w:pPr>
              <w:jc w:val="both"/>
              <w:rPr>
                <w:sz w:val="24"/>
                <w:szCs w:val="24"/>
              </w:rPr>
            </w:pPr>
          </w:p>
        </w:tc>
        <w:tc>
          <w:tcPr>
            <w:tcW w:w="1732" w:type="dxa"/>
          </w:tcPr>
          <w:p w:rsidR="00C22FEC" w:rsidRPr="00565D2C" w:rsidRDefault="00C22FEC" w:rsidP="00565D2C">
            <w:pPr>
              <w:jc w:val="both"/>
              <w:rPr>
                <w:sz w:val="24"/>
                <w:szCs w:val="24"/>
                <w:lang w:val="es-SV"/>
              </w:rPr>
            </w:pPr>
            <w:r w:rsidRPr="00565D2C">
              <w:rPr>
                <w:sz w:val="24"/>
                <w:szCs w:val="24"/>
                <w:lang w:val="es-SV"/>
              </w:rPr>
              <w:t>Proyecto de reformas a la LC y su reglamento presentadas a CAPRES</w:t>
            </w:r>
          </w:p>
          <w:p w:rsidR="00C22FEC" w:rsidRPr="00565D2C" w:rsidRDefault="00C22FEC" w:rsidP="00565D2C">
            <w:pPr>
              <w:jc w:val="both"/>
              <w:rPr>
                <w:sz w:val="24"/>
                <w:szCs w:val="24"/>
                <w:lang w:val="es-SV"/>
              </w:rPr>
            </w:pPr>
          </w:p>
        </w:tc>
        <w:tc>
          <w:tcPr>
            <w:tcW w:w="1763" w:type="dxa"/>
          </w:tcPr>
          <w:p w:rsidR="00C22FEC" w:rsidRPr="00565D2C" w:rsidRDefault="00C22FEC" w:rsidP="00565D2C">
            <w:pPr>
              <w:jc w:val="both"/>
              <w:rPr>
                <w:sz w:val="24"/>
                <w:szCs w:val="24"/>
              </w:rPr>
            </w:pPr>
            <w:r w:rsidRPr="00565D2C">
              <w:rPr>
                <w:sz w:val="24"/>
                <w:szCs w:val="24"/>
              </w:rPr>
              <w:t>Intendencias</w:t>
            </w:r>
          </w:p>
        </w:tc>
        <w:tc>
          <w:tcPr>
            <w:tcW w:w="1871" w:type="dxa"/>
          </w:tcPr>
          <w:p w:rsidR="00C22FEC" w:rsidRPr="00565D2C" w:rsidRDefault="00C22FEC" w:rsidP="00565D2C">
            <w:pPr>
              <w:jc w:val="both"/>
              <w:rPr>
                <w:sz w:val="24"/>
                <w:szCs w:val="24"/>
                <w:lang w:val="es-SV"/>
              </w:rPr>
            </w:pPr>
            <w:r w:rsidRPr="00565D2C">
              <w:rPr>
                <w:sz w:val="24"/>
                <w:szCs w:val="24"/>
                <w:lang w:val="es-SV"/>
              </w:rPr>
              <w:t>Se reporta un avance del 50% de la meta anual.</w:t>
            </w:r>
          </w:p>
          <w:p w:rsidR="00C22FEC" w:rsidRPr="00565D2C" w:rsidRDefault="00C22FEC" w:rsidP="00565D2C">
            <w:pPr>
              <w:jc w:val="both"/>
              <w:rPr>
                <w:sz w:val="24"/>
                <w:szCs w:val="24"/>
                <w:lang w:val="es-SV"/>
              </w:rPr>
            </w:pPr>
          </w:p>
        </w:tc>
      </w:tr>
      <w:tr w:rsidR="00C22FEC" w:rsidRPr="00565D2C" w:rsidTr="00C32EC8">
        <w:tc>
          <w:tcPr>
            <w:tcW w:w="1731" w:type="dxa"/>
          </w:tcPr>
          <w:p w:rsidR="00C22FEC" w:rsidRPr="00565D2C" w:rsidRDefault="00C22FEC" w:rsidP="00565D2C">
            <w:pPr>
              <w:jc w:val="both"/>
              <w:rPr>
                <w:sz w:val="24"/>
                <w:szCs w:val="24"/>
                <w:lang w:val="es-SV"/>
              </w:rPr>
            </w:pPr>
            <w:r w:rsidRPr="00565D2C">
              <w:rPr>
                <w:sz w:val="24"/>
                <w:szCs w:val="24"/>
                <w:lang w:val="es-SV"/>
              </w:rPr>
              <w:t>Norma e institucionalidad regional de competencia gestionada y relaciones internacionales fortalecidas</w:t>
            </w:r>
          </w:p>
          <w:p w:rsidR="00C22FEC" w:rsidRPr="00565D2C" w:rsidRDefault="00C22FEC" w:rsidP="00565D2C">
            <w:pPr>
              <w:jc w:val="both"/>
              <w:rPr>
                <w:sz w:val="24"/>
                <w:szCs w:val="24"/>
                <w:lang w:val="es-SV"/>
              </w:rPr>
            </w:pPr>
          </w:p>
        </w:tc>
        <w:tc>
          <w:tcPr>
            <w:tcW w:w="1731" w:type="dxa"/>
          </w:tcPr>
          <w:p w:rsidR="0099459E" w:rsidRPr="00565D2C" w:rsidRDefault="0099459E" w:rsidP="00565D2C">
            <w:pPr>
              <w:jc w:val="both"/>
              <w:rPr>
                <w:sz w:val="24"/>
                <w:szCs w:val="24"/>
                <w:lang w:val="es-SV"/>
              </w:rPr>
            </w:pPr>
            <w:r w:rsidRPr="00565D2C">
              <w:rPr>
                <w:sz w:val="24"/>
                <w:szCs w:val="24"/>
                <w:lang w:val="es-SV"/>
              </w:rPr>
              <w:t xml:space="preserve">- </w:t>
            </w:r>
            <w:r w:rsidR="00C22FEC" w:rsidRPr="00565D2C">
              <w:rPr>
                <w:sz w:val="24"/>
                <w:szCs w:val="24"/>
                <w:lang w:val="es-SV"/>
              </w:rPr>
              <w:t>Documento de propuesta</w:t>
            </w:r>
            <w:r w:rsidRPr="00565D2C">
              <w:rPr>
                <w:sz w:val="24"/>
                <w:szCs w:val="24"/>
                <w:lang w:val="es-SV"/>
              </w:rPr>
              <w:t>.</w:t>
            </w:r>
          </w:p>
          <w:p w:rsidR="00C22FEC" w:rsidRPr="00565D2C" w:rsidRDefault="0099459E" w:rsidP="00565D2C">
            <w:pPr>
              <w:jc w:val="both"/>
              <w:rPr>
                <w:sz w:val="24"/>
                <w:szCs w:val="24"/>
                <w:lang w:val="es-SV"/>
              </w:rPr>
            </w:pPr>
            <w:r w:rsidRPr="00565D2C">
              <w:rPr>
                <w:sz w:val="24"/>
                <w:szCs w:val="24"/>
                <w:lang w:val="es-SV"/>
              </w:rPr>
              <w:t>-P</w:t>
            </w:r>
            <w:r w:rsidR="00C22FEC" w:rsidRPr="00565D2C">
              <w:rPr>
                <w:sz w:val="24"/>
                <w:szCs w:val="24"/>
                <w:lang w:val="es-SV"/>
              </w:rPr>
              <w:t>lan de cabildeo de la RECAC para aprobación de Norma e Institucionalidad Regional de Competencia</w:t>
            </w:r>
            <w:r w:rsidRPr="00565D2C">
              <w:rPr>
                <w:sz w:val="24"/>
                <w:szCs w:val="24"/>
                <w:lang w:val="es-SV"/>
              </w:rPr>
              <w:t>.</w:t>
            </w:r>
            <w:r w:rsidR="00C22FEC" w:rsidRPr="00565D2C">
              <w:rPr>
                <w:sz w:val="24"/>
                <w:szCs w:val="24"/>
                <w:lang w:val="es-SV"/>
              </w:rPr>
              <w:t xml:space="preserve"> </w:t>
            </w:r>
          </w:p>
          <w:p w:rsidR="00C22FEC" w:rsidRPr="00565D2C" w:rsidRDefault="0099459E" w:rsidP="00565D2C">
            <w:pPr>
              <w:jc w:val="both"/>
              <w:rPr>
                <w:sz w:val="24"/>
                <w:szCs w:val="24"/>
                <w:lang w:val="es-SV"/>
              </w:rPr>
            </w:pPr>
            <w:r w:rsidRPr="00565D2C">
              <w:rPr>
                <w:sz w:val="24"/>
                <w:szCs w:val="24"/>
                <w:lang w:val="es-SV"/>
              </w:rPr>
              <w:t>-</w:t>
            </w:r>
            <w:r w:rsidR="00C22FEC" w:rsidRPr="00565D2C">
              <w:rPr>
                <w:sz w:val="24"/>
                <w:szCs w:val="24"/>
                <w:lang w:val="es-SV"/>
              </w:rPr>
              <w:t>N° de aportes cualitativos recibidos / entregados de (a) las redes en (sobre) el trabajo institucional e informes de participación en acuerdos comerciales</w:t>
            </w:r>
          </w:p>
          <w:p w:rsidR="00C22FEC" w:rsidRPr="00565D2C" w:rsidRDefault="00C22FEC" w:rsidP="00565D2C">
            <w:pPr>
              <w:jc w:val="both"/>
              <w:rPr>
                <w:sz w:val="24"/>
                <w:szCs w:val="24"/>
                <w:lang w:val="es-SV"/>
              </w:rPr>
            </w:pPr>
          </w:p>
        </w:tc>
        <w:tc>
          <w:tcPr>
            <w:tcW w:w="1732" w:type="dxa"/>
          </w:tcPr>
          <w:p w:rsidR="00C22FEC" w:rsidRPr="00565D2C" w:rsidRDefault="00C22FEC" w:rsidP="00565D2C">
            <w:pPr>
              <w:jc w:val="both"/>
              <w:rPr>
                <w:sz w:val="24"/>
                <w:szCs w:val="24"/>
                <w:lang w:val="es-SV"/>
              </w:rPr>
            </w:pPr>
            <w:r w:rsidRPr="00565D2C">
              <w:rPr>
                <w:sz w:val="24"/>
                <w:szCs w:val="24"/>
                <w:lang w:val="es-SV"/>
              </w:rPr>
              <w:t>Documento con propuesta y plan de cabildeo.</w:t>
            </w:r>
          </w:p>
          <w:p w:rsidR="00C22FEC" w:rsidRPr="00565D2C" w:rsidRDefault="00C22FEC" w:rsidP="00565D2C">
            <w:pPr>
              <w:jc w:val="both"/>
              <w:rPr>
                <w:sz w:val="24"/>
                <w:szCs w:val="24"/>
                <w:lang w:val="es-SV"/>
              </w:rPr>
            </w:pPr>
            <w:r w:rsidRPr="00565D2C">
              <w:rPr>
                <w:sz w:val="24"/>
                <w:szCs w:val="24"/>
                <w:lang w:val="es-SV"/>
              </w:rPr>
              <w:t>Al menos 2 aportes recibidos cada año y 5 aportes entregados cada año e informes periódicos sobre participación en acuerdos comerciales</w:t>
            </w:r>
          </w:p>
          <w:p w:rsidR="00C22FEC" w:rsidRPr="00565D2C" w:rsidRDefault="00C22FEC" w:rsidP="00565D2C">
            <w:pPr>
              <w:jc w:val="both"/>
              <w:rPr>
                <w:sz w:val="24"/>
                <w:szCs w:val="24"/>
                <w:lang w:val="es-SV"/>
              </w:rPr>
            </w:pPr>
          </w:p>
        </w:tc>
        <w:tc>
          <w:tcPr>
            <w:tcW w:w="1763" w:type="dxa"/>
          </w:tcPr>
          <w:p w:rsidR="00C22FEC" w:rsidRPr="005C54E2" w:rsidRDefault="00C22FEC" w:rsidP="00565D2C">
            <w:pPr>
              <w:jc w:val="both"/>
              <w:rPr>
                <w:sz w:val="24"/>
                <w:szCs w:val="24"/>
                <w:lang w:val="es-SV"/>
              </w:rPr>
            </w:pPr>
            <w:r w:rsidRPr="005C54E2">
              <w:rPr>
                <w:sz w:val="24"/>
                <w:szCs w:val="24"/>
                <w:lang w:val="es-SV"/>
              </w:rPr>
              <w:t>Intendencia de Abogacía de la Competencia</w:t>
            </w:r>
          </w:p>
        </w:tc>
        <w:tc>
          <w:tcPr>
            <w:tcW w:w="1871" w:type="dxa"/>
          </w:tcPr>
          <w:p w:rsidR="00C22FEC" w:rsidRPr="00565D2C" w:rsidRDefault="0099459E" w:rsidP="00565D2C">
            <w:pPr>
              <w:jc w:val="both"/>
              <w:rPr>
                <w:sz w:val="24"/>
                <w:szCs w:val="24"/>
                <w:lang w:val="es-SV"/>
              </w:rPr>
            </w:pPr>
            <w:r w:rsidRPr="00565D2C">
              <w:rPr>
                <w:sz w:val="24"/>
                <w:szCs w:val="24"/>
                <w:lang w:val="es-SV"/>
              </w:rPr>
              <w:t>S</w:t>
            </w:r>
            <w:r w:rsidR="00C22FEC" w:rsidRPr="00565D2C">
              <w:rPr>
                <w:sz w:val="24"/>
                <w:szCs w:val="24"/>
                <w:lang w:val="es-SV"/>
              </w:rPr>
              <w:t>e cuenta con la propuesta completa de Norma Regional Centroamericana elaborada por la RECAC.</w:t>
            </w:r>
          </w:p>
          <w:p w:rsidR="00C22FEC" w:rsidRPr="00565D2C" w:rsidRDefault="00C22FEC" w:rsidP="00565D2C">
            <w:pPr>
              <w:jc w:val="both"/>
              <w:rPr>
                <w:sz w:val="24"/>
                <w:szCs w:val="24"/>
                <w:lang w:val="es-SV"/>
              </w:rPr>
            </w:pPr>
            <w:r w:rsidRPr="00565D2C">
              <w:rPr>
                <w:sz w:val="24"/>
                <w:szCs w:val="24"/>
                <w:lang w:val="es-SV"/>
              </w:rPr>
              <w:t>Asimismo, el plan de trabajo 2018 de la RECAC, contempla acciones de seguimiento para crear condiciones para la adopción de su propuesta de Norma Regional de Competencia (plan de cabildeo, del cual se reporta un avance de meta del 50%)</w:t>
            </w:r>
            <w:r w:rsidR="0099459E" w:rsidRPr="00565D2C">
              <w:rPr>
                <w:sz w:val="24"/>
                <w:szCs w:val="24"/>
                <w:lang w:val="es-SV"/>
              </w:rPr>
              <w:t xml:space="preserve"> y 100% de cumplimiento en aportes recibidos/entregados de (a) las redes.</w:t>
            </w:r>
          </w:p>
          <w:p w:rsidR="00C22FEC" w:rsidRPr="00565D2C" w:rsidRDefault="00C22FEC" w:rsidP="00565D2C">
            <w:pPr>
              <w:jc w:val="both"/>
              <w:rPr>
                <w:sz w:val="24"/>
                <w:szCs w:val="24"/>
                <w:lang w:val="es-SV"/>
              </w:rPr>
            </w:pPr>
          </w:p>
        </w:tc>
      </w:tr>
      <w:tr w:rsidR="00C22FEC" w:rsidRPr="00565D2C" w:rsidTr="00C32EC8">
        <w:tc>
          <w:tcPr>
            <w:tcW w:w="1731" w:type="dxa"/>
          </w:tcPr>
          <w:p w:rsidR="0099459E" w:rsidRPr="00565D2C" w:rsidRDefault="0099459E" w:rsidP="00565D2C">
            <w:pPr>
              <w:jc w:val="both"/>
              <w:rPr>
                <w:sz w:val="24"/>
                <w:szCs w:val="24"/>
                <w:lang w:val="es-SV"/>
              </w:rPr>
            </w:pPr>
            <w:r w:rsidRPr="00565D2C">
              <w:rPr>
                <w:sz w:val="24"/>
                <w:szCs w:val="24"/>
                <w:lang w:val="es-SV"/>
              </w:rPr>
              <w:t>Aumento en la adopción de recomendaciones de políticas públicas emitidas por la SC.</w:t>
            </w:r>
          </w:p>
          <w:p w:rsidR="00C22FEC" w:rsidRPr="00565D2C" w:rsidRDefault="00C22FEC" w:rsidP="00565D2C">
            <w:pPr>
              <w:jc w:val="both"/>
              <w:rPr>
                <w:sz w:val="24"/>
                <w:szCs w:val="24"/>
                <w:lang w:val="es-SV"/>
              </w:rPr>
            </w:pPr>
          </w:p>
        </w:tc>
        <w:tc>
          <w:tcPr>
            <w:tcW w:w="1731" w:type="dxa"/>
          </w:tcPr>
          <w:p w:rsidR="0099459E" w:rsidRPr="00565D2C" w:rsidRDefault="0099459E" w:rsidP="00565D2C">
            <w:pPr>
              <w:jc w:val="both"/>
              <w:rPr>
                <w:sz w:val="24"/>
                <w:szCs w:val="24"/>
                <w:lang w:val="es-SV"/>
              </w:rPr>
            </w:pPr>
            <w:r w:rsidRPr="00565D2C">
              <w:rPr>
                <w:sz w:val="24"/>
                <w:szCs w:val="24"/>
                <w:lang w:val="es-SV"/>
              </w:rPr>
              <w:t>Porcentaje de adopción de recomendaciones de política pública</w:t>
            </w:r>
          </w:p>
          <w:p w:rsidR="00C22FEC" w:rsidRPr="00565D2C" w:rsidRDefault="00C22FEC" w:rsidP="00565D2C">
            <w:pPr>
              <w:jc w:val="both"/>
              <w:rPr>
                <w:sz w:val="24"/>
                <w:szCs w:val="24"/>
                <w:lang w:val="es-SV"/>
              </w:rPr>
            </w:pPr>
          </w:p>
        </w:tc>
        <w:tc>
          <w:tcPr>
            <w:tcW w:w="1732" w:type="dxa"/>
          </w:tcPr>
          <w:p w:rsidR="0099459E" w:rsidRPr="00565D2C" w:rsidRDefault="0099459E" w:rsidP="00565D2C">
            <w:pPr>
              <w:jc w:val="both"/>
              <w:rPr>
                <w:sz w:val="24"/>
                <w:szCs w:val="24"/>
                <w:lang w:val="es-SV"/>
              </w:rPr>
            </w:pPr>
            <w:r w:rsidRPr="00565D2C">
              <w:rPr>
                <w:sz w:val="24"/>
                <w:szCs w:val="24"/>
                <w:lang w:val="es-SV"/>
              </w:rPr>
              <w:t>Al menos el 25% de adopción sobre el total de recomendaciones emitidas</w:t>
            </w:r>
          </w:p>
          <w:p w:rsidR="00C22FEC" w:rsidRPr="00565D2C" w:rsidRDefault="00C22FEC" w:rsidP="00565D2C">
            <w:pPr>
              <w:jc w:val="both"/>
              <w:rPr>
                <w:sz w:val="24"/>
                <w:szCs w:val="24"/>
                <w:lang w:val="es-SV"/>
              </w:rPr>
            </w:pPr>
          </w:p>
        </w:tc>
        <w:tc>
          <w:tcPr>
            <w:tcW w:w="1763" w:type="dxa"/>
          </w:tcPr>
          <w:p w:rsidR="00C22FEC" w:rsidRPr="00565D2C" w:rsidRDefault="0099459E" w:rsidP="00565D2C">
            <w:pPr>
              <w:jc w:val="both"/>
              <w:rPr>
                <w:sz w:val="24"/>
                <w:szCs w:val="24"/>
              </w:rPr>
            </w:pPr>
            <w:r w:rsidRPr="00565D2C">
              <w:rPr>
                <w:sz w:val="24"/>
                <w:szCs w:val="24"/>
              </w:rPr>
              <w:t>Intendencias</w:t>
            </w:r>
          </w:p>
        </w:tc>
        <w:tc>
          <w:tcPr>
            <w:tcW w:w="1871" w:type="dxa"/>
          </w:tcPr>
          <w:p w:rsidR="0099459E" w:rsidRPr="00565D2C" w:rsidRDefault="0099459E" w:rsidP="00565D2C">
            <w:pPr>
              <w:jc w:val="both"/>
              <w:rPr>
                <w:sz w:val="24"/>
                <w:szCs w:val="24"/>
                <w:lang w:val="es-SV"/>
              </w:rPr>
            </w:pPr>
            <w:r w:rsidRPr="00565D2C">
              <w:rPr>
                <w:sz w:val="24"/>
                <w:szCs w:val="24"/>
                <w:lang w:val="es-SV"/>
              </w:rPr>
              <w:t>Al 1er semestre de 2018 se reporta un avance del 5%, ante la falta de respuesta de otras instituciones</w:t>
            </w:r>
          </w:p>
          <w:p w:rsidR="00C22FEC" w:rsidRPr="00565D2C" w:rsidRDefault="00C22FEC" w:rsidP="00565D2C">
            <w:pPr>
              <w:jc w:val="both"/>
              <w:rPr>
                <w:sz w:val="24"/>
                <w:szCs w:val="24"/>
                <w:lang w:val="es-SV"/>
              </w:rPr>
            </w:pPr>
          </w:p>
        </w:tc>
      </w:tr>
      <w:tr w:rsidR="00C22FEC" w:rsidRPr="00565D2C" w:rsidTr="00C32EC8">
        <w:tc>
          <w:tcPr>
            <w:tcW w:w="1731" w:type="dxa"/>
          </w:tcPr>
          <w:p w:rsidR="0099459E" w:rsidRPr="00565D2C" w:rsidRDefault="0099459E" w:rsidP="00565D2C">
            <w:pPr>
              <w:jc w:val="both"/>
              <w:rPr>
                <w:sz w:val="24"/>
                <w:szCs w:val="24"/>
                <w:lang w:val="es-SV"/>
              </w:rPr>
            </w:pPr>
            <w:r w:rsidRPr="00565D2C">
              <w:rPr>
                <w:sz w:val="24"/>
                <w:szCs w:val="24"/>
                <w:lang w:val="es-SV"/>
              </w:rPr>
              <w:t>Incremento en la disponibilidad de información sobre sectores relevantes de la economía.</w:t>
            </w:r>
          </w:p>
          <w:p w:rsidR="00C22FEC" w:rsidRPr="00565D2C" w:rsidRDefault="00C22FEC" w:rsidP="00565D2C">
            <w:pPr>
              <w:jc w:val="both"/>
              <w:rPr>
                <w:sz w:val="24"/>
                <w:szCs w:val="24"/>
                <w:lang w:val="es-SV"/>
              </w:rPr>
            </w:pPr>
          </w:p>
        </w:tc>
        <w:tc>
          <w:tcPr>
            <w:tcW w:w="1731" w:type="dxa"/>
          </w:tcPr>
          <w:p w:rsidR="0099459E" w:rsidRPr="00565D2C" w:rsidRDefault="0099459E" w:rsidP="00565D2C">
            <w:pPr>
              <w:jc w:val="both"/>
              <w:rPr>
                <w:sz w:val="24"/>
                <w:szCs w:val="24"/>
                <w:lang w:val="es-SV"/>
              </w:rPr>
            </w:pPr>
            <w:r w:rsidRPr="00565D2C">
              <w:rPr>
                <w:sz w:val="24"/>
                <w:szCs w:val="24"/>
                <w:lang w:val="es-SV"/>
              </w:rPr>
              <w:t>N° de documentos producidos y disponibles</w:t>
            </w:r>
          </w:p>
          <w:p w:rsidR="00C22FEC" w:rsidRPr="00565D2C" w:rsidRDefault="00C22FEC" w:rsidP="00565D2C">
            <w:pPr>
              <w:jc w:val="both"/>
              <w:rPr>
                <w:sz w:val="24"/>
                <w:szCs w:val="24"/>
                <w:lang w:val="es-SV"/>
              </w:rPr>
            </w:pPr>
          </w:p>
        </w:tc>
        <w:tc>
          <w:tcPr>
            <w:tcW w:w="1732" w:type="dxa"/>
          </w:tcPr>
          <w:p w:rsidR="0099459E" w:rsidRPr="00565D2C" w:rsidRDefault="0099459E" w:rsidP="00565D2C">
            <w:pPr>
              <w:jc w:val="both"/>
              <w:rPr>
                <w:sz w:val="24"/>
                <w:szCs w:val="24"/>
                <w:lang w:val="es-SV"/>
              </w:rPr>
            </w:pPr>
            <w:r w:rsidRPr="00565D2C">
              <w:rPr>
                <w:sz w:val="24"/>
                <w:szCs w:val="24"/>
                <w:lang w:val="es-SV"/>
              </w:rPr>
              <w:t>2 informes y 3 monitoreos</w:t>
            </w:r>
          </w:p>
          <w:p w:rsidR="00C22FEC" w:rsidRPr="00565D2C" w:rsidRDefault="00C22FEC" w:rsidP="00565D2C">
            <w:pPr>
              <w:jc w:val="both"/>
              <w:rPr>
                <w:sz w:val="24"/>
                <w:szCs w:val="24"/>
              </w:rPr>
            </w:pPr>
          </w:p>
        </w:tc>
        <w:tc>
          <w:tcPr>
            <w:tcW w:w="1763" w:type="dxa"/>
          </w:tcPr>
          <w:p w:rsidR="00C22FEC" w:rsidRPr="00565D2C" w:rsidRDefault="0099459E" w:rsidP="00565D2C">
            <w:pPr>
              <w:jc w:val="both"/>
              <w:rPr>
                <w:sz w:val="24"/>
                <w:szCs w:val="24"/>
              </w:rPr>
            </w:pPr>
            <w:r w:rsidRPr="00565D2C">
              <w:rPr>
                <w:sz w:val="24"/>
                <w:szCs w:val="24"/>
              </w:rPr>
              <w:t>IE y IAC</w:t>
            </w:r>
          </w:p>
        </w:tc>
        <w:tc>
          <w:tcPr>
            <w:tcW w:w="1871" w:type="dxa"/>
          </w:tcPr>
          <w:p w:rsidR="0099459E" w:rsidRPr="00565D2C" w:rsidRDefault="0099459E" w:rsidP="00565D2C">
            <w:pPr>
              <w:jc w:val="both"/>
              <w:rPr>
                <w:sz w:val="24"/>
                <w:szCs w:val="24"/>
                <w:lang w:val="es-SV"/>
              </w:rPr>
            </w:pPr>
            <w:r w:rsidRPr="00565D2C">
              <w:rPr>
                <w:sz w:val="24"/>
                <w:szCs w:val="24"/>
                <w:lang w:val="es-SV"/>
              </w:rPr>
              <w:t>IAC: 1 informe al 1er semestre de 2018, lo cual representa un avance del 50% de la meta anual.</w:t>
            </w:r>
          </w:p>
          <w:p w:rsidR="0099459E" w:rsidRPr="00565D2C" w:rsidRDefault="0099459E" w:rsidP="00565D2C">
            <w:pPr>
              <w:jc w:val="both"/>
              <w:rPr>
                <w:sz w:val="24"/>
                <w:szCs w:val="24"/>
                <w:lang w:val="es-SV"/>
              </w:rPr>
            </w:pPr>
            <w:r w:rsidRPr="00565D2C">
              <w:rPr>
                <w:sz w:val="24"/>
                <w:szCs w:val="24"/>
                <w:lang w:val="es-SV"/>
              </w:rPr>
              <w:t>IE: 1 monitoreo de 3 (33.33%)</w:t>
            </w:r>
          </w:p>
          <w:p w:rsidR="00C22FEC" w:rsidRPr="00565D2C" w:rsidRDefault="00C22FEC" w:rsidP="00565D2C">
            <w:pPr>
              <w:jc w:val="both"/>
              <w:rPr>
                <w:sz w:val="24"/>
                <w:szCs w:val="24"/>
              </w:rPr>
            </w:pPr>
          </w:p>
        </w:tc>
      </w:tr>
      <w:tr w:rsidR="00111788" w:rsidRPr="00565D2C" w:rsidTr="00C32EC8">
        <w:tc>
          <w:tcPr>
            <w:tcW w:w="1731" w:type="dxa"/>
          </w:tcPr>
          <w:p w:rsidR="00111788" w:rsidRPr="005C54E2" w:rsidRDefault="00111788" w:rsidP="00565D2C">
            <w:pPr>
              <w:jc w:val="both"/>
              <w:rPr>
                <w:sz w:val="24"/>
                <w:szCs w:val="24"/>
                <w:lang w:val="es-SV"/>
              </w:rPr>
            </w:pPr>
            <w:r w:rsidRPr="005C54E2">
              <w:rPr>
                <w:sz w:val="24"/>
                <w:szCs w:val="24"/>
                <w:lang w:val="es-SV"/>
              </w:rPr>
              <w:t>Aumenta la presencia positive de la SC en medios de comunicación</w:t>
            </w:r>
          </w:p>
        </w:tc>
        <w:tc>
          <w:tcPr>
            <w:tcW w:w="1731" w:type="dxa"/>
          </w:tcPr>
          <w:p w:rsidR="00111788" w:rsidRPr="005C54E2" w:rsidRDefault="00111788" w:rsidP="00565D2C">
            <w:pPr>
              <w:jc w:val="both"/>
              <w:rPr>
                <w:sz w:val="24"/>
                <w:szCs w:val="24"/>
                <w:lang w:val="es-SV"/>
              </w:rPr>
            </w:pPr>
            <w:r w:rsidRPr="005C54E2">
              <w:rPr>
                <w:sz w:val="24"/>
                <w:szCs w:val="24"/>
                <w:lang w:val="es-SV"/>
              </w:rPr>
              <w:t>N° de impactos en medios de comunicación sobre los temas desarrollados por la SC</w:t>
            </w:r>
          </w:p>
        </w:tc>
        <w:tc>
          <w:tcPr>
            <w:tcW w:w="1732" w:type="dxa"/>
          </w:tcPr>
          <w:p w:rsidR="00111788" w:rsidRPr="00565D2C" w:rsidRDefault="00111788" w:rsidP="00565D2C">
            <w:pPr>
              <w:jc w:val="both"/>
              <w:rPr>
                <w:sz w:val="24"/>
                <w:szCs w:val="24"/>
              </w:rPr>
            </w:pPr>
            <w:r>
              <w:rPr>
                <w:sz w:val="24"/>
                <w:szCs w:val="24"/>
              </w:rPr>
              <w:t>600 notas</w:t>
            </w:r>
          </w:p>
        </w:tc>
        <w:tc>
          <w:tcPr>
            <w:tcW w:w="1763" w:type="dxa"/>
          </w:tcPr>
          <w:p w:rsidR="00111788" w:rsidRPr="00565D2C" w:rsidRDefault="00111788" w:rsidP="00565D2C">
            <w:pPr>
              <w:jc w:val="both"/>
              <w:rPr>
                <w:sz w:val="24"/>
                <w:szCs w:val="24"/>
              </w:rPr>
            </w:pPr>
            <w:r>
              <w:rPr>
                <w:sz w:val="24"/>
                <w:szCs w:val="24"/>
              </w:rPr>
              <w:t>UC</w:t>
            </w:r>
          </w:p>
        </w:tc>
        <w:tc>
          <w:tcPr>
            <w:tcW w:w="1871" w:type="dxa"/>
          </w:tcPr>
          <w:p w:rsidR="00111788" w:rsidRPr="00565D2C" w:rsidRDefault="00111788" w:rsidP="00565D2C">
            <w:pPr>
              <w:jc w:val="both"/>
              <w:rPr>
                <w:sz w:val="24"/>
                <w:szCs w:val="24"/>
              </w:rPr>
            </w:pPr>
            <w:r>
              <w:rPr>
                <w:sz w:val="24"/>
                <w:szCs w:val="24"/>
              </w:rPr>
              <w:t>49.20% (295)</w:t>
            </w:r>
          </w:p>
        </w:tc>
      </w:tr>
      <w:tr w:rsidR="00C22FEC" w:rsidRPr="00565D2C" w:rsidTr="00C32EC8">
        <w:tc>
          <w:tcPr>
            <w:tcW w:w="1731" w:type="dxa"/>
          </w:tcPr>
          <w:p w:rsidR="0099459E" w:rsidRPr="00565D2C" w:rsidRDefault="0099459E" w:rsidP="00565D2C">
            <w:pPr>
              <w:jc w:val="both"/>
              <w:rPr>
                <w:sz w:val="24"/>
                <w:szCs w:val="24"/>
                <w:lang w:val="es-SV"/>
              </w:rPr>
            </w:pPr>
            <w:r w:rsidRPr="00565D2C">
              <w:rPr>
                <w:sz w:val="24"/>
                <w:szCs w:val="24"/>
                <w:lang w:val="es-SV"/>
              </w:rPr>
              <w:t>Incremento de las acciones de promoción de la competencia.</w:t>
            </w:r>
          </w:p>
          <w:p w:rsidR="00C22FEC" w:rsidRPr="00565D2C" w:rsidRDefault="00C22FEC" w:rsidP="00565D2C">
            <w:pPr>
              <w:jc w:val="both"/>
              <w:rPr>
                <w:sz w:val="24"/>
                <w:szCs w:val="24"/>
                <w:lang w:val="es-SV"/>
              </w:rPr>
            </w:pPr>
          </w:p>
        </w:tc>
        <w:tc>
          <w:tcPr>
            <w:tcW w:w="1731" w:type="dxa"/>
          </w:tcPr>
          <w:p w:rsidR="0099459E" w:rsidRPr="00565D2C" w:rsidRDefault="0099459E" w:rsidP="00565D2C">
            <w:pPr>
              <w:jc w:val="both"/>
              <w:rPr>
                <w:sz w:val="24"/>
                <w:szCs w:val="24"/>
                <w:lang w:val="es-SV"/>
              </w:rPr>
            </w:pPr>
            <w:r w:rsidRPr="00565D2C">
              <w:rPr>
                <w:sz w:val="24"/>
                <w:szCs w:val="24"/>
                <w:lang w:val="es-SV"/>
              </w:rPr>
              <w:t>Número de acciones para promover la competencia</w:t>
            </w:r>
          </w:p>
          <w:p w:rsidR="00C22FEC" w:rsidRPr="00565D2C" w:rsidRDefault="00C22FEC" w:rsidP="00565D2C">
            <w:pPr>
              <w:jc w:val="both"/>
              <w:rPr>
                <w:sz w:val="24"/>
                <w:szCs w:val="24"/>
                <w:lang w:val="es-SV"/>
              </w:rPr>
            </w:pPr>
          </w:p>
        </w:tc>
        <w:tc>
          <w:tcPr>
            <w:tcW w:w="1732" w:type="dxa"/>
          </w:tcPr>
          <w:p w:rsidR="00C22FEC" w:rsidRPr="00565D2C" w:rsidRDefault="0099459E" w:rsidP="00565D2C">
            <w:pPr>
              <w:jc w:val="both"/>
              <w:rPr>
                <w:sz w:val="24"/>
                <w:szCs w:val="24"/>
              </w:rPr>
            </w:pPr>
            <w:r w:rsidRPr="00565D2C">
              <w:rPr>
                <w:sz w:val="24"/>
                <w:szCs w:val="24"/>
              </w:rPr>
              <w:t>52 acciones</w:t>
            </w:r>
          </w:p>
        </w:tc>
        <w:tc>
          <w:tcPr>
            <w:tcW w:w="1763" w:type="dxa"/>
          </w:tcPr>
          <w:p w:rsidR="00C22FEC" w:rsidRPr="00565D2C" w:rsidRDefault="0099459E" w:rsidP="00565D2C">
            <w:pPr>
              <w:jc w:val="both"/>
              <w:rPr>
                <w:sz w:val="24"/>
                <w:szCs w:val="24"/>
              </w:rPr>
            </w:pPr>
            <w:r w:rsidRPr="00565D2C">
              <w:rPr>
                <w:sz w:val="24"/>
                <w:szCs w:val="24"/>
              </w:rPr>
              <w:t>IAC</w:t>
            </w:r>
            <w:r w:rsidR="00111788">
              <w:rPr>
                <w:sz w:val="24"/>
                <w:szCs w:val="24"/>
              </w:rPr>
              <w:t xml:space="preserve"> y UC</w:t>
            </w:r>
          </w:p>
        </w:tc>
        <w:tc>
          <w:tcPr>
            <w:tcW w:w="1871" w:type="dxa"/>
          </w:tcPr>
          <w:p w:rsidR="0099459E" w:rsidRPr="00565D2C" w:rsidRDefault="0099459E" w:rsidP="00565D2C">
            <w:pPr>
              <w:jc w:val="both"/>
              <w:rPr>
                <w:sz w:val="24"/>
                <w:szCs w:val="24"/>
                <w:lang w:val="es-SV"/>
              </w:rPr>
            </w:pPr>
            <w:r w:rsidRPr="00565D2C">
              <w:rPr>
                <w:sz w:val="24"/>
                <w:szCs w:val="24"/>
                <w:lang w:val="es-SV"/>
              </w:rPr>
              <w:t>Al 1er semestre de 2018 se reporta un avance del 58.33% de la meta anual, con 28 de 5</w:t>
            </w:r>
            <w:r w:rsidR="00111788">
              <w:rPr>
                <w:sz w:val="24"/>
                <w:szCs w:val="24"/>
                <w:lang w:val="es-SV"/>
              </w:rPr>
              <w:t>2</w:t>
            </w:r>
            <w:r w:rsidRPr="00565D2C">
              <w:rPr>
                <w:sz w:val="24"/>
                <w:szCs w:val="24"/>
                <w:lang w:val="es-SV"/>
              </w:rPr>
              <w:t xml:space="preserve"> acciones.</w:t>
            </w:r>
          </w:p>
          <w:p w:rsidR="00C22FEC" w:rsidRPr="00565D2C" w:rsidRDefault="00C22FEC" w:rsidP="00565D2C">
            <w:pPr>
              <w:jc w:val="both"/>
              <w:rPr>
                <w:sz w:val="24"/>
                <w:szCs w:val="24"/>
                <w:lang w:val="es-SV"/>
              </w:rPr>
            </w:pPr>
          </w:p>
        </w:tc>
      </w:tr>
      <w:tr w:rsidR="00C22FEC" w:rsidRPr="00565D2C" w:rsidTr="00C32EC8">
        <w:tc>
          <w:tcPr>
            <w:tcW w:w="1731" w:type="dxa"/>
          </w:tcPr>
          <w:p w:rsidR="0099459E" w:rsidRPr="00565D2C" w:rsidRDefault="0099459E" w:rsidP="00565D2C">
            <w:pPr>
              <w:jc w:val="both"/>
              <w:rPr>
                <w:sz w:val="24"/>
                <w:szCs w:val="24"/>
                <w:lang w:val="es-SV"/>
              </w:rPr>
            </w:pPr>
            <w:r w:rsidRPr="00565D2C">
              <w:rPr>
                <w:sz w:val="24"/>
                <w:szCs w:val="24"/>
                <w:lang w:val="es-SV"/>
              </w:rPr>
              <w:t>Efectividad en el análisis de las concentraciones económicas.</w:t>
            </w:r>
          </w:p>
          <w:p w:rsidR="00C22FEC" w:rsidRPr="00565D2C" w:rsidRDefault="00C22FEC" w:rsidP="00565D2C">
            <w:pPr>
              <w:jc w:val="both"/>
              <w:rPr>
                <w:sz w:val="24"/>
                <w:szCs w:val="24"/>
                <w:lang w:val="es-SV"/>
              </w:rPr>
            </w:pPr>
          </w:p>
        </w:tc>
        <w:tc>
          <w:tcPr>
            <w:tcW w:w="1731" w:type="dxa"/>
          </w:tcPr>
          <w:p w:rsidR="0099459E" w:rsidRPr="00565D2C" w:rsidRDefault="0099459E" w:rsidP="00565D2C">
            <w:pPr>
              <w:jc w:val="both"/>
              <w:rPr>
                <w:sz w:val="24"/>
                <w:szCs w:val="24"/>
                <w:lang w:val="es-SV"/>
              </w:rPr>
            </w:pPr>
            <w:r w:rsidRPr="00565D2C">
              <w:rPr>
                <w:sz w:val="24"/>
                <w:szCs w:val="24"/>
                <w:lang w:val="es-SV"/>
              </w:rPr>
              <w:t>Número de solicitudes de concentraciones analizadas y resueltas</w:t>
            </w:r>
          </w:p>
          <w:p w:rsidR="00C22FEC" w:rsidRPr="00565D2C" w:rsidRDefault="00C22FEC" w:rsidP="00565D2C">
            <w:pPr>
              <w:jc w:val="both"/>
              <w:rPr>
                <w:sz w:val="24"/>
                <w:szCs w:val="24"/>
                <w:lang w:val="es-SV"/>
              </w:rPr>
            </w:pPr>
          </w:p>
        </w:tc>
        <w:tc>
          <w:tcPr>
            <w:tcW w:w="1732" w:type="dxa"/>
          </w:tcPr>
          <w:p w:rsidR="0099459E" w:rsidRPr="00565D2C" w:rsidRDefault="0099459E" w:rsidP="00565D2C">
            <w:pPr>
              <w:jc w:val="both"/>
              <w:rPr>
                <w:sz w:val="24"/>
                <w:szCs w:val="24"/>
                <w:lang w:val="es-SV"/>
              </w:rPr>
            </w:pPr>
            <w:r w:rsidRPr="00565D2C">
              <w:rPr>
                <w:sz w:val="24"/>
                <w:szCs w:val="24"/>
                <w:lang w:val="es-SV"/>
              </w:rPr>
              <w:t>7 solicitudes analizadas y resueltas</w:t>
            </w:r>
          </w:p>
          <w:p w:rsidR="00C22FEC" w:rsidRPr="00565D2C" w:rsidRDefault="00C22FEC" w:rsidP="00565D2C">
            <w:pPr>
              <w:jc w:val="both"/>
              <w:rPr>
                <w:sz w:val="24"/>
                <w:szCs w:val="24"/>
              </w:rPr>
            </w:pPr>
          </w:p>
        </w:tc>
        <w:tc>
          <w:tcPr>
            <w:tcW w:w="1763" w:type="dxa"/>
          </w:tcPr>
          <w:p w:rsidR="00C22FEC" w:rsidRPr="00565D2C" w:rsidRDefault="0099459E" w:rsidP="00565D2C">
            <w:pPr>
              <w:jc w:val="both"/>
              <w:rPr>
                <w:sz w:val="24"/>
                <w:szCs w:val="24"/>
              </w:rPr>
            </w:pPr>
            <w:r w:rsidRPr="00565D2C">
              <w:rPr>
                <w:sz w:val="24"/>
                <w:szCs w:val="24"/>
              </w:rPr>
              <w:t>IE</w:t>
            </w:r>
          </w:p>
        </w:tc>
        <w:tc>
          <w:tcPr>
            <w:tcW w:w="1871" w:type="dxa"/>
          </w:tcPr>
          <w:p w:rsidR="00C22FEC" w:rsidRPr="00565D2C" w:rsidRDefault="0099459E" w:rsidP="00565D2C">
            <w:pPr>
              <w:jc w:val="both"/>
              <w:rPr>
                <w:sz w:val="24"/>
                <w:szCs w:val="24"/>
              </w:rPr>
            </w:pPr>
            <w:r w:rsidRPr="00565D2C">
              <w:rPr>
                <w:sz w:val="24"/>
                <w:szCs w:val="24"/>
              </w:rPr>
              <w:t>100%</w:t>
            </w:r>
          </w:p>
        </w:tc>
      </w:tr>
      <w:tr w:rsidR="0099459E" w:rsidRPr="00565D2C" w:rsidTr="00C32EC8">
        <w:tc>
          <w:tcPr>
            <w:tcW w:w="1731" w:type="dxa"/>
          </w:tcPr>
          <w:p w:rsidR="0099459E" w:rsidRPr="00565D2C" w:rsidRDefault="0099459E" w:rsidP="00565D2C">
            <w:pPr>
              <w:jc w:val="both"/>
              <w:rPr>
                <w:sz w:val="24"/>
                <w:szCs w:val="24"/>
                <w:lang w:val="es-SV"/>
              </w:rPr>
            </w:pPr>
            <w:r w:rsidRPr="00565D2C">
              <w:rPr>
                <w:sz w:val="24"/>
                <w:szCs w:val="24"/>
                <w:lang w:val="es-SV"/>
              </w:rPr>
              <w:t>Efectividad en el procedimiento sancionatorio.</w:t>
            </w:r>
          </w:p>
          <w:p w:rsidR="0099459E" w:rsidRPr="00565D2C" w:rsidRDefault="0099459E" w:rsidP="00565D2C">
            <w:pPr>
              <w:jc w:val="both"/>
              <w:rPr>
                <w:sz w:val="24"/>
                <w:szCs w:val="24"/>
                <w:lang w:val="es-SV"/>
              </w:rPr>
            </w:pPr>
          </w:p>
        </w:tc>
        <w:tc>
          <w:tcPr>
            <w:tcW w:w="1731" w:type="dxa"/>
          </w:tcPr>
          <w:p w:rsidR="0099459E" w:rsidRPr="00565D2C" w:rsidRDefault="0099459E" w:rsidP="00565D2C">
            <w:pPr>
              <w:jc w:val="both"/>
              <w:rPr>
                <w:sz w:val="24"/>
                <w:szCs w:val="24"/>
                <w:lang w:val="es-SV"/>
              </w:rPr>
            </w:pPr>
            <w:r w:rsidRPr="00565D2C">
              <w:rPr>
                <w:sz w:val="24"/>
                <w:szCs w:val="24"/>
                <w:lang w:val="es-SV"/>
              </w:rPr>
              <w:t>N° de actuaciones previas iniciadas;</w:t>
            </w:r>
          </w:p>
          <w:p w:rsidR="0099459E" w:rsidRPr="00565D2C" w:rsidRDefault="0099459E" w:rsidP="00565D2C">
            <w:pPr>
              <w:jc w:val="both"/>
              <w:rPr>
                <w:sz w:val="24"/>
                <w:szCs w:val="24"/>
                <w:lang w:val="es-SV"/>
              </w:rPr>
            </w:pPr>
            <w:r w:rsidRPr="00565D2C">
              <w:rPr>
                <w:sz w:val="24"/>
                <w:szCs w:val="24"/>
                <w:lang w:val="es-SV"/>
              </w:rPr>
              <w:t>N° de procedimientos sancionatorios iniciados en sede administrativa;</w:t>
            </w:r>
          </w:p>
          <w:p w:rsidR="0099459E" w:rsidRPr="00565D2C" w:rsidRDefault="0099459E" w:rsidP="00565D2C">
            <w:pPr>
              <w:jc w:val="both"/>
              <w:rPr>
                <w:sz w:val="24"/>
                <w:szCs w:val="24"/>
                <w:lang w:val="es-SV"/>
              </w:rPr>
            </w:pPr>
            <w:r w:rsidRPr="00565D2C">
              <w:rPr>
                <w:sz w:val="24"/>
                <w:szCs w:val="24"/>
                <w:lang w:val="es-SV"/>
              </w:rPr>
              <w:t>N° de casos ganados en sede judicial*;</w:t>
            </w:r>
          </w:p>
          <w:p w:rsidR="0099459E" w:rsidRPr="00565D2C" w:rsidRDefault="0099459E" w:rsidP="00565D2C">
            <w:pPr>
              <w:jc w:val="both"/>
              <w:rPr>
                <w:sz w:val="24"/>
                <w:szCs w:val="24"/>
                <w:lang w:val="es-SV"/>
              </w:rPr>
            </w:pPr>
            <w:r w:rsidRPr="00565D2C">
              <w:rPr>
                <w:sz w:val="24"/>
                <w:szCs w:val="24"/>
                <w:lang w:val="es-SV"/>
              </w:rPr>
              <w:t>N° de casos con seguimiento a las sanciones impuestas</w:t>
            </w:r>
          </w:p>
          <w:p w:rsidR="0099459E" w:rsidRPr="00565D2C" w:rsidRDefault="0099459E" w:rsidP="00565D2C">
            <w:pPr>
              <w:jc w:val="both"/>
              <w:rPr>
                <w:sz w:val="24"/>
                <w:szCs w:val="24"/>
                <w:lang w:val="es-SV"/>
              </w:rPr>
            </w:pPr>
          </w:p>
        </w:tc>
        <w:tc>
          <w:tcPr>
            <w:tcW w:w="1732" w:type="dxa"/>
          </w:tcPr>
          <w:p w:rsidR="0099459E" w:rsidRPr="00565D2C" w:rsidRDefault="0099459E" w:rsidP="00565D2C">
            <w:pPr>
              <w:jc w:val="both"/>
              <w:rPr>
                <w:sz w:val="24"/>
                <w:szCs w:val="24"/>
              </w:rPr>
            </w:pPr>
            <w:r w:rsidRPr="00565D2C">
              <w:rPr>
                <w:sz w:val="24"/>
                <w:szCs w:val="24"/>
              </w:rPr>
              <w:t>8 casos</w:t>
            </w:r>
          </w:p>
        </w:tc>
        <w:tc>
          <w:tcPr>
            <w:tcW w:w="1763" w:type="dxa"/>
          </w:tcPr>
          <w:p w:rsidR="0099459E" w:rsidRPr="00565D2C" w:rsidRDefault="0099459E" w:rsidP="00565D2C">
            <w:pPr>
              <w:jc w:val="both"/>
              <w:rPr>
                <w:sz w:val="24"/>
                <w:szCs w:val="24"/>
              </w:rPr>
            </w:pPr>
            <w:r w:rsidRPr="00565D2C">
              <w:rPr>
                <w:sz w:val="24"/>
                <w:szCs w:val="24"/>
              </w:rPr>
              <w:t>II</w:t>
            </w:r>
          </w:p>
        </w:tc>
        <w:tc>
          <w:tcPr>
            <w:tcW w:w="1871" w:type="dxa"/>
          </w:tcPr>
          <w:p w:rsidR="0099459E" w:rsidRPr="00565D2C" w:rsidRDefault="0099459E" w:rsidP="00565D2C">
            <w:pPr>
              <w:jc w:val="both"/>
              <w:rPr>
                <w:sz w:val="24"/>
                <w:szCs w:val="24"/>
                <w:lang w:val="es-SV"/>
              </w:rPr>
            </w:pPr>
            <w:r w:rsidRPr="00565D2C">
              <w:rPr>
                <w:sz w:val="24"/>
                <w:szCs w:val="24"/>
                <w:lang w:val="es-SV"/>
              </w:rPr>
              <w:t>5 de 8 es decir 62.50%.</w:t>
            </w:r>
          </w:p>
          <w:p w:rsidR="0099459E" w:rsidRPr="00565D2C" w:rsidRDefault="0099459E" w:rsidP="00565D2C">
            <w:pPr>
              <w:jc w:val="both"/>
              <w:rPr>
                <w:sz w:val="24"/>
                <w:szCs w:val="24"/>
                <w:lang w:val="es-SV"/>
              </w:rPr>
            </w:pPr>
            <w:r w:rsidRPr="00565D2C">
              <w:rPr>
                <w:sz w:val="24"/>
                <w:szCs w:val="24"/>
                <w:lang w:val="es-SV"/>
              </w:rPr>
              <w:t>2 procedimientos sancionadores por PA iniciados.</w:t>
            </w:r>
          </w:p>
          <w:p w:rsidR="0099459E" w:rsidRPr="00565D2C" w:rsidRDefault="0099459E" w:rsidP="00565D2C">
            <w:pPr>
              <w:jc w:val="both"/>
              <w:rPr>
                <w:sz w:val="24"/>
                <w:szCs w:val="24"/>
                <w:lang w:val="es-SV"/>
              </w:rPr>
            </w:pPr>
            <w:r w:rsidRPr="00565D2C">
              <w:rPr>
                <w:sz w:val="24"/>
                <w:szCs w:val="24"/>
                <w:lang w:val="es-SV"/>
              </w:rPr>
              <w:t>1 actuación previa abierta en la búsqueda de indicios.</w:t>
            </w:r>
          </w:p>
          <w:p w:rsidR="0099459E" w:rsidRPr="00565D2C" w:rsidRDefault="0099459E" w:rsidP="00565D2C">
            <w:pPr>
              <w:jc w:val="both"/>
              <w:rPr>
                <w:sz w:val="24"/>
                <w:szCs w:val="24"/>
                <w:lang w:val="es-SV"/>
              </w:rPr>
            </w:pPr>
            <w:r w:rsidRPr="00565D2C">
              <w:rPr>
                <w:sz w:val="24"/>
                <w:szCs w:val="24"/>
                <w:lang w:val="es-SV"/>
              </w:rPr>
              <w:t>2 actuaciones previas concluidas</w:t>
            </w:r>
          </w:p>
          <w:p w:rsidR="0099459E" w:rsidRPr="00565D2C" w:rsidRDefault="0099459E" w:rsidP="00565D2C">
            <w:pPr>
              <w:jc w:val="both"/>
              <w:rPr>
                <w:sz w:val="24"/>
                <w:szCs w:val="24"/>
              </w:rPr>
            </w:pPr>
          </w:p>
        </w:tc>
      </w:tr>
      <w:tr w:rsidR="0099459E" w:rsidRPr="00565D2C" w:rsidTr="00C32EC8">
        <w:tc>
          <w:tcPr>
            <w:tcW w:w="1731" w:type="dxa"/>
          </w:tcPr>
          <w:p w:rsidR="0099459E" w:rsidRPr="00565D2C" w:rsidRDefault="0099459E" w:rsidP="00565D2C">
            <w:pPr>
              <w:jc w:val="both"/>
              <w:rPr>
                <w:sz w:val="24"/>
                <w:szCs w:val="24"/>
                <w:lang w:val="es-SV"/>
              </w:rPr>
            </w:pPr>
            <w:r w:rsidRPr="00565D2C">
              <w:rPr>
                <w:sz w:val="24"/>
                <w:szCs w:val="24"/>
                <w:lang w:val="es-SV"/>
              </w:rPr>
              <w:t>Efectividad en la ejecución de metas y presupuesto institucional.</w:t>
            </w:r>
          </w:p>
          <w:p w:rsidR="0099459E" w:rsidRPr="00565D2C" w:rsidRDefault="0099459E" w:rsidP="00565D2C">
            <w:pPr>
              <w:jc w:val="both"/>
              <w:rPr>
                <w:sz w:val="24"/>
                <w:szCs w:val="24"/>
                <w:lang w:val="es-SV"/>
              </w:rPr>
            </w:pPr>
          </w:p>
        </w:tc>
        <w:tc>
          <w:tcPr>
            <w:tcW w:w="1731" w:type="dxa"/>
          </w:tcPr>
          <w:p w:rsidR="0099459E" w:rsidRPr="00565D2C" w:rsidRDefault="0099459E" w:rsidP="00565D2C">
            <w:pPr>
              <w:jc w:val="both"/>
              <w:rPr>
                <w:sz w:val="24"/>
                <w:szCs w:val="24"/>
                <w:lang w:val="es-SV"/>
              </w:rPr>
            </w:pPr>
            <w:r w:rsidRPr="00565D2C">
              <w:rPr>
                <w:sz w:val="24"/>
                <w:szCs w:val="24"/>
                <w:lang w:val="es-SV"/>
              </w:rPr>
              <w:t>Porcentaje del presupuesto ejercido con relación al programado en el periodo</w:t>
            </w:r>
          </w:p>
          <w:p w:rsidR="0099459E" w:rsidRPr="00565D2C" w:rsidRDefault="0099459E" w:rsidP="00565D2C">
            <w:pPr>
              <w:jc w:val="both"/>
              <w:rPr>
                <w:sz w:val="24"/>
                <w:szCs w:val="24"/>
                <w:lang w:val="es-SV"/>
              </w:rPr>
            </w:pPr>
          </w:p>
        </w:tc>
        <w:tc>
          <w:tcPr>
            <w:tcW w:w="1732" w:type="dxa"/>
          </w:tcPr>
          <w:p w:rsidR="0099459E" w:rsidRPr="00565D2C" w:rsidRDefault="0099459E" w:rsidP="00565D2C">
            <w:pPr>
              <w:jc w:val="both"/>
              <w:rPr>
                <w:sz w:val="24"/>
                <w:szCs w:val="24"/>
                <w:lang w:val="es-SV"/>
              </w:rPr>
            </w:pPr>
            <w:r w:rsidRPr="00565D2C">
              <w:rPr>
                <w:sz w:val="24"/>
                <w:szCs w:val="24"/>
                <w:lang w:val="es-SV"/>
              </w:rPr>
              <w:t>95% del presupuesto anual ejecutado</w:t>
            </w:r>
          </w:p>
          <w:p w:rsidR="0099459E" w:rsidRPr="00565D2C" w:rsidRDefault="0099459E" w:rsidP="00565D2C">
            <w:pPr>
              <w:jc w:val="both"/>
              <w:rPr>
                <w:sz w:val="24"/>
                <w:szCs w:val="24"/>
              </w:rPr>
            </w:pPr>
          </w:p>
        </w:tc>
        <w:tc>
          <w:tcPr>
            <w:tcW w:w="1763" w:type="dxa"/>
          </w:tcPr>
          <w:p w:rsidR="0099459E" w:rsidRPr="00565D2C" w:rsidRDefault="0099459E" w:rsidP="00565D2C">
            <w:pPr>
              <w:jc w:val="both"/>
              <w:rPr>
                <w:sz w:val="24"/>
                <w:szCs w:val="24"/>
                <w:lang w:val="es-SV"/>
              </w:rPr>
            </w:pPr>
            <w:r w:rsidRPr="00565D2C">
              <w:rPr>
                <w:sz w:val="24"/>
                <w:szCs w:val="24"/>
                <w:lang w:val="es-SV"/>
              </w:rPr>
              <w:t>UARH-UFI-UACI-UP</w:t>
            </w:r>
          </w:p>
          <w:p w:rsidR="0099459E" w:rsidRPr="00565D2C" w:rsidRDefault="0099459E" w:rsidP="00565D2C">
            <w:pPr>
              <w:jc w:val="both"/>
              <w:rPr>
                <w:sz w:val="24"/>
                <w:szCs w:val="24"/>
              </w:rPr>
            </w:pPr>
          </w:p>
        </w:tc>
        <w:tc>
          <w:tcPr>
            <w:tcW w:w="1871" w:type="dxa"/>
          </w:tcPr>
          <w:p w:rsidR="0099459E" w:rsidRPr="00565D2C" w:rsidRDefault="0099459E" w:rsidP="00565D2C">
            <w:pPr>
              <w:jc w:val="both"/>
              <w:rPr>
                <w:sz w:val="24"/>
                <w:szCs w:val="24"/>
              </w:rPr>
            </w:pPr>
            <w:r w:rsidRPr="00565D2C">
              <w:rPr>
                <w:sz w:val="24"/>
                <w:szCs w:val="24"/>
              </w:rPr>
              <w:t>54.50%</w:t>
            </w:r>
          </w:p>
        </w:tc>
      </w:tr>
      <w:tr w:rsidR="0099459E" w:rsidRPr="00565D2C" w:rsidTr="00C32EC8">
        <w:tc>
          <w:tcPr>
            <w:tcW w:w="1731" w:type="dxa"/>
          </w:tcPr>
          <w:p w:rsidR="0099459E" w:rsidRPr="00565D2C" w:rsidRDefault="0099459E" w:rsidP="00565D2C">
            <w:pPr>
              <w:jc w:val="both"/>
              <w:rPr>
                <w:sz w:val="24"/>
                <w:szCs w:val="24"/>
                <w:lang w:val="es-SV"/>
              </w:rPr>
            </w:pPr>
            <w:r w:rsidRPr="00565D2C">
              <w:rPr>
                <w:sz w:val="24"/>
                <w:szCs w:val="24"/>
                <w:lang w:val="es-SV"/>
              </w:rPr>
              <w:t>Efectividad en los recursos y la transparencia institucional</w:t>
            </w:r>
          </w:p>
          <w:p w:rsidR="0099459E" w:rsidRPr="00565D2C" w:rsidRDefault="0099459E" w:rsidP="00565D2C">
            <w:pPr>
              <w:jc w:val="both"/>
              <w:rPr>
                <w:sz w:val="24"/>
                <w:szCs w:val="24"/>
                <w:lang w:val="es-SV"/>
              </w:rPr>
            </w:pPr>
          </w:p>
        </w:tc>
        <w:tc>
          <w:tcPr>
            <w:tcW w:w="1731" w:type="dxa"/>
          </w:tcPr>
          <w:p w:rsidR="0099459E" w:rsidRPr="00565D2C" w:rsidRDefault="0099459E" w:rsidP="00565D2C">
            <w:pPr>
              <w:jc w:val="both"/>
              <w:rPr>
                <w:sz w:val="24"/>
                <w:szCs w:val="24"/>
                <w:lang w:val="es-SV"/>
              </w:rPr>
            </w:pPr>
            <w:r w:rsidRPr="00565D2C">
              <w:rPr>
                <w:sz w:val="24"/>
                <w:szCs w:val="24"/>
                <w:lang w:val="es-SV"/>
              </w:rPr>
              <w:t>Índice de clima organizacional.</w:t>
            </w:r>
          </w:p>
          <w:p w:rsidR="0099459E" w:rsidRPr="00565D2C" w:rsidRDefault="0099459E" w:rsidP="00565D2C">
            <w:pPr>
              <w:jc w:val="both"/>
              <w:rPr>
                <w:sz w:val="24"/>
                <w:szCs w:val="24"/>
                <w:lang w:val="es-SV"/>
              </w:rPr>
            </w:pPr>
            <w:r w:rsidRPr="00565D2C">
              <w:rPr>
                <w:sz w:val="24"/>
                <w:szCs w:val="24"/>
                <w:lang w:val="es-SV"/>
              </w:rPr>
              <w:t>Porcentaje de mejora en ejecución de planes y en transparencia institucional</w:t>
            </w:r>
          </w:p>
          <w:p w:rsidR="0099459E" w:rsidRPr="00565D2C" w:rsidRDefault="0099459E" w:rsidP="00565D2C">
            <w:pPr>
              <w:jc w:val="both"/>
              <w:rPr>
                <w:sz w:val="24"/>
                <w:szCs w:val="24"/>
                <w:lang w:val="es-SV"/>
              </w:rPr>
            </w:pPr>
          </w:p>
        </w:tc>
        <w:tc>
          <w:tcPr>
            <w:tcW w:w="1732" w:type="dxa"/>
          </w:tcPr>
          <w:p w:rsidR="00C77B01" w:rsidRPr="005C54E2" w:rsidRDefault="00C77B01" w:rsidP="00565D2C">
            <w:pPr>
              <w:jc w:val="both"/>
              <w:rPr>
                <w:sz w:val="24"/>
                <w:szCs w:val="24"/>
                <w:lang w:val="es-SV"/>
              </w:rPr>
            </w:pPr>
            <w:r w:rsidRPr="005C54E2">
              <w:rPr>
                <w:sz w:val="24"/>
                <w:szCs w:val="24"/>
                <w:lang w:val="es-SV"/>
              </w:rPr>
              <w:t>-Al menos 75% anual</w:t>
            </w:r>
          </w:p>
          <w:p w:rsidR="00C77B01" w:rsidRPr="005C54E2" w:rsidRDefault="00C77B01" w:rsidP="00565D2C">
            <w:pPr>
              <w:jc w:val="both"/>
              <w:rPr>
                <w:sz w:val="24"/>
                <w:szCs w:val="24"/>
                <w:lang w:val="es-SV"/>
              </w:rPr>
            </w:pPr>
            <w:r w:rsidRPr="005C54E2">
              <w:rPr>
                <w:sz w:val="24"/>
                <w:szCs w:val="24"/>
                <w:lang w:val="es-SV"/>
              </w:rPr>
              <w:t>-9.0 en nota anual en transparencia institucional</w:t>
            </w:r>
          </w:p>
          <w:p w:rsidR="00C77B01" w:rsidRPr="00565D2C" w:rsidRDefault="00C77B01" w:rsidP="00565D2C">
            <w:pPr>
              <w:jc w:val="both"/>
              <w:rPr>
                <w:sz w:val="24"/>
                <w:szCs w:val="24"/>
              </w:rPr>
            </w:pPr>
            <w:r w:rsidRPr="00565D2C">
              <w:rPr>
                <w:sz w:val="24"/>
                <w:szCs w:val="24"/>
              </w:rPr>
              <w:t>- 90% del plan anual</w:t>
            </w:r>
          </w:p>
          <w:p w:rsidR="0099459E" w:rsidRPr="00565D2C" w:rsidRDefault="0099459E" w:rsidP="00565D2C">
            <w:pPr>
              <w:jc w:val="both"/>
              <w:rPr>
                <w:sz w:val="24"/>
                <w:szCs w:val="24"/>
              </w:rPr>
            </w:pPr>
          </w:p>
        </w:tc>
        <w:tc>
          <w:tcPr>
            <w:tcW w:w="1763" w:type="dxa"/>
          </w:tcPr>
          <w:p w:rsidR="00C77B01" w:rsidRPr="00565D2C" w:rsidRDefault="00C77B01" w:rsidP="00565D2C">
            <w:pPr>
              <w:jc w:val="both"/>
              <w:rPr>
                <w:sz w:val="24"/>
                <w:szCs w:val="24"/>
                <w:lang w:val="es-SV"/>
              </w:rPr>
            </w:pPr>
            <w:r w:rsidRPr="00565D2C">
              <w:rPr>
                <w:sz w:val="24"/>
                <w:szCs w:val="24"/>
                <w:lang w:val="es-SV"/>
              </w:rPr>
              <w:t>UARH-UP-OIR-AI-INTENDENCIAS-SG-UI-CDSI-CTS</w:t>
            </w:r>
          </w:p>
          <w:p w:rsidR="0099459E" w:rsidRPr="00565D2C" w:rsidRDefault="0099459E" w:rsidP="00565D2C">
            <w:pPr>
              <w:jc w:val="both"/>
              <w:rPr>
                <w:sz w:val="24"/>
                <w:szCs w:val="24"/>
              </w:rPr>
            </w:pPr>
          </w:p>
        </w:tc>
        <w:tc>
          <w:tcPr>
            <w:tcW w:w="1871" w:type="dxa"/>
          </w:tcPr>
          <w:p w:rsidR="00C77B01" w:rsidRPr="00565D2C" w:rsidRDefault="00C77B01" w:rsidP="00565D2C">
            <w:pPr>
              <w:jc w:val="both"/>
              <w:rPr>
                <w:sz w:val="24"/>
                <w:szCs w:val="24"/>
                <w:lang w:val="es-SV"/>
              </w:rPr>
            </w:pPr>
            <w:r w:rsidRPr="00565D2C">
              <w:rPr>
                <w:sz w:val="24"/>
                <w:szCs w:val="24"/>
                <w:lang w:val="es-SV"/>
              </w:rPr>
              <w:t xml:space="preserve">-POA: 95.95% (Eval. ponderada) </w:t>
            </w:r>
          </w:p>
          <w:p w:rsidR="00C77B01" w:rsidRPr="00565D2C" w:rsidRDefault="00C77B01" w:rsidP="00565D2C">
            <w:pPr>
              <w:jc w:val="both"/>
              <w:rPr>
                <w:sz w:val="24"/>
                <w:szCs w:val="24"/>
                <w:lang w:val="es-SV"/>
              </w:rPr>
            </w:pPr>
            <w:r w:rsidRPr="00565D2C">
              <w:rPr>
                <w:sz w:val="24"/>
                <w:szCs w:val="24"/>
                <w:lang w:val="es-SV"/>
              </w:rPr>
              <w:t>- En la nota de portal de transparencia del proceso de fiscalización del año 2017 se obtuvo una nota de 7.37.</w:t>
            </w:r>
          </w:p>
          <w:p w:rsidR="0099459E" w:rsidRPr="00565D2C" w:rsidRDefault="0099459E" w:rsidP="00565D2C">
            <w:pPr>
              <w:jc w:val="both"/>
              <w:rPr>
                <w:sz w:val="24"/>
                <w:szCs w:val="24"/>
                <w:lang w:val="es-SV"/>
              </w:rPr>
            </w:pPr>
          </w:p>
        </w:tc>
      </w:tr>
      <w:tr w:rsidR="0099459E" w:rsidRPr="00565D2C" w:rsidTr="00C32EC8">
        <w:tc>
          <w:tcPr>
            <w:tcW w:w="1731" w:type="dxa"/>
          </w:tcPr>
          <w:p w:rsidR="00C32EC8" w:rsidRPr="005C54E2" w:rsidRDefault="00C32EC8" w:rsidP="00565D2C">
            <w:pPr>
              <w:jc w:val="both"/>
              <w:rPr>
                <w:sz w:val="24"/>
                <w:szCs w:val="24"/>
                <w:lang w:val="es-SV"/>
              </w:rPr>
            </w:pPr>
            <w:r w:rsidRPr="005C54E2">
              <w:rPr>
                <w:sz w:val="24"/>
                <w:szCs w:val="24"/>
                <w:lang w:val="es-SV"/>
              </w:rPr>
              <w:t>Mejorar la expectativa de bienestar de los consumidores a raíz de las resoluciones emitidas por la SC.</w:t>
            </w:r>
          </w:p>
          <w:p w:rsidR="0099459E" w:rsidRPr="005C54E2" w:rsidRDefault="0099459E" w:rsidP="00565D2C">
            <w:pPr>
              <w:jc w:val="both"/>
              <w:rPr>
                <w:sz w:val="24"/>
                <w:szCs w:val="24"/>
                <w:lang w:val="es-SV"/>
              </w:rPr>
            </w:pPr>
          </w:p>
        </w:tc>
        <w:tc>
          <w:tcPr>
            <w:tcW w:w="1731" w:type="dxa"/>
          </w:tcPr>
          <w:p w:rsidR="00C32EC8" w:rsidRPr="00565D2C" w:rsidRDefault="00C32EC8" w:rsidP="00565D2C">
            <w:pPr>
              <w:jc w:val="both"/>
              <w:rPr>
                <w:sz w:val="24"/>
                <w:szCs w:val="24"/>
                <w:lang w:val="es-SV"/>
              </w:rPr>
            </w:pPr>
            <w:r w:rsidRPr="00565D2C">
              <w:rPr>
                <w:sz w:val="24"/>
                <w:szCs w:val="24"/>
                <w:lang w:val="es-SV"/>
              </w:rPr>
              <w:t>Cuantía de beneficios económicos potencialmente generados</w:t>
            </w:r>
          </w:p>
          <w:p w:rsidR="0099459E" w:rsidRPr="00565D2C" w:rsidRDefault="0099459E" w:rsidP="00565D2C">
            <w:pPr>
              <w:jc w:val="both"/>
              <w:rPr>
                <w:sz w:val="24"/>
                <w:szCs w:val="24"/>
                <w:lang w:val="es-SV"/>
              </w:rPr>
            </w:pPr>
          </w:p>
        </w:tc>
        <w:tc>
          <w:tcPr>
            <w:tcW w:w="1732" w:type="dxa"/>
          </w:tcPr>
          <w:p w:rsidR="00C32EC8" w:rsidRPr="00565D2C" w:rsidRDefault="00C32EC8" w:rsidP="00565D2C">
            <w:pPr>
              <w:jc w:val="both"/>
              <w:rPr>
                <w:sz w:val="24"/>
                <w:szCs w:val="24"/>
                <w:lang w:val="es-SV"/>
              </w:rPr>
            </w:pPr>
            <w:r w:rsidRPr="00565D2C">
              <w:rPr>
                <w:sz w:val="24"/>
                <w:szCs w:val="24"/>
                <w:lang w:val="es-SV"/>
              </w:rPr>
              <w:t>US$2.5 millones</w:t>
            </w:r>
          </w:p>
          <w:p w:rsidR="0099459E" w:rsidRPr="00565D2C" w:rsidRDefault="0099459E" w:rsidP="00565D2C">
            <w:pPr>
              <w:jc w:val="both"/>
              <w:rPr>
                <w:sz w:val="24"/>
                <w:szCs w:val="24"/>
              </w:rPr>
            </w:pPr>
          </w:p>
        </w:tc>
        <w:tc>
          <w:tcPr>
            <w:tcW w:w="1763" w:type="dxa"/>
          </w:tcPr>
          <w:p w:rsidR="0099459E" w:rsidRPr="00565D2C" w:rsidRDefault="00C32EC8" w:rsidP="00565D2C">
            <w:pPr>
              <w:jc w:val="both"/>
              <w:rPr>
                <w:sz w:val="24"/>
                <w:szCs w:val="24"/>
              </w:rPr>
            </w:pPr>
            <w:r w:rsidRPr="00565D2C">
              <w:rPr>
                <w:sz w:val="24"/>
                <w:szCs w:val="24"/>
              </w:rPr>
              <w:t>IAC y UC</w:t>
            </w:r>
          </w:p>
        </w:tc>
        <w:tc>
          <w:tcPr>
            <w:tcW w:w="1871" w:type="dxa"/>
          </w:tcPr>
          <w:p w:rsidR="00C32EC8" w:rsidRPr="00565D2C" w:rsidRDefault="00C32EC8" w:rsidP="00565D2C">
            <w:pPr>
              <w:jc w:val="both"/>
              <w:rPr>
                <w:sz w:val="24"/>
                <w:szCs w:val="24"/>
                <w:lang w:val="es-SV"/>
              </w:rPr>
            </w:pPr>
            <w:r w:rsidRPr="00565D2C">
              <w:rPr>
                <w:sz w:val="24"/>
                <w:szCs w:val="24"/>
                <w:lang w:val="es-SV"/>
              </w:rPr>
              <w:t>IAC reporta al 1er semestre de 2018, un avance del 100% en la meta anual, con una cuantía de beneficios de $28,976,922.00</w:t>
            </w:r>
          </w:p>
          <w:p w:rsidR="0099459E" w:rsidRPr="00565D2C" w:rsidRDefault="0099459E" w:rsidP="00565D2C">
            <w:pPr>
              <w:jc w:val="both"/>
              <w:rPr>
                <w:sz w:val="24"/>
                <w:szCs w:val="24"/>
                <w:lang w:val="es-SV"/>
              </w:rPr>
            </w:pPr>
          </w:p>
        </w:tc>
      </w:tr>
      <w:tr w:rsidR="0099459E" w:rsidRPr="00565D2C" w:rsidTr="00C32EC8">
        <w:tc>
          <w:tcPr>
            <w:tcW w:w="1731" w:type="dxa"/>
          </w:tcPr>
          <w:p w:rsidR="00C32EC8" w:rsidRPr="00565D2C" w:rsidRDefault="00C32EC8" w:rsidP="00565D2C">
            <w:pPr>
              <w:jc w:val="both"/>
              <w:rPr>
                <w:sz w:val="24"/>
                <w:szCs w:val="24"/>
                <w:lang w:val="es-SV"/>
              </w:rPr>
            </w:pPr>
            <w:r w:rsidRPr="00565D2C">
              <w:rPr>
                <w:sz w:val="24"/>
                <w:szCs w:val="24"/>
                <w:lang w:val="es-SV"/>
              </w:rPr>
              <w:t>Mejor gestión de recursos vía diferentes mecanismos de cooperación</w:t>
            </w:r>
          </w:p>
          <w:p w:rsidR="0099459E" w:rsidRPr="00565D2C" w:rsidRDefault="0099459E" w:rsidP="00565D2C">
            <w:pPr>
              <w:jc w:val="both"/>
              <w:rPr>
                <w:sz w:val="24"/>
                <w:szCs w:val="24"/>
                <w:lang w:val="es-SV"/>
              </w:rPr>
            </w:pPr>
          </w:p>
        </w:tc>
        <w:tc>
          <w:tcPr>
            <w:tcW w:w="1731" w:type="dxa"/>
          </w:tcPr>
          <w:p w:rsidR="00C32EC8" w:rsidRPr="00565D2C" w:rsidRDefault="00C32EC8" w:rsidP="00565D2C">
            <w:pPr>
              <w:jc w:val="both"/>
              <w:rPr>
                <w:sz w:val="24"/>
                <w:szCs w:val="24"/>
                <w:lang w:val="es-SV"/>
              </w:rPr>
            </w:pPr>
            <w:r w:rsidRPr="00565D2C">
              <w:rPr>
                <w:sz w:val="24"/>
                <w:szCs w:val="24"/>
                <w:lang w:val="es-SV"/>
              </w:rPr>
              <w:t>Porcentaje de recursos gestionados de cooperación en relación al presupuesto del Estado</w:t>
            </w:r>
          </w:p>
          <w:p w:rsidR="0099459E" w:rsidRPr="00565D2C" w:rsidRDefault="0099459E" w:rsidP="00565D2C">
            <w:pPr>
              <w:jc w:val="both"/>
              <w:rPr>
                <w:sz w:val="24"/>
                <w:szCs w:val="24"/>
                <w:lang w:val="es-SV"/>
              </w:rPr>
            </w:pPr>
          </w:p>
        </w:tc>
        <w:tc>
          <w:tcPr>
            <w:tcW w:w="1732" w:type="dxa"/>
          </w:tcPr>
          <w:p w:rsidR="00C32EC8" w:rsidRPr="00565D2C" w:rsidRDefault="00C32EC8" w:rsidP="00565D2C">
            <w:pPr>
              <w:jc w:val="both"/>
              <w:rPr>
                <w:sz w:val="24"/>
                <w:szCs w:val="24"/>
              </w:rPr>
            </w:pPr>
            <w:r w:rsidRPr="00565D2C">
              <w:rPr>
                <w:sz w:val="24"/>
                <w:szCs w:val="24"/>
              </w:rPr>
              <w:t>3% del presupuesto anual</w:t>
            </w:r>
          </w:p>
          <w:p w:rsidR="0099459E" w:rsidRPr="00565D2C" w:rsidRDefault="0099459E" w:rsidP="00565D2C">
            <w:pPr>
              <w:jc w:val="both"/>
              <w:rPr>
                <w:sz w:val="24"/>
                <w:szCs w:val="24"/>
                <w:lang w:val="es-SV"/>
              </w:rPr>
            </w:pPr>
          </w:p>
        </w:tc>
        <w:tc>
          <w:tcPr>
            <w:tcW w:w="1763" w:type="dxa"/>
          </w:tcPr>
          <w:p w:rsidR="0099459E" w:rsidRPr="00565D2C" w:rsidRDefault="00C32EC8" w:rsidP="00565D2C">
            <w:pPr>
              <w:jc w:val="both"/>
              <w:rPr>
                <w:sz w:val="24"/>
                <w:szCs w:val="24"/>
              </w:rPr>
            </w:pPr>
            <w:r w:rsidRPr="00565D2C">
              <w:rPr>
                <w:sz w:val="24"/>
                <w:szCs w:val="24"/>
              </w:rPr>
              <w:t>IAC</w:t>
            </w:r>
          </w:p>
        </w:tc>
        <w:tc>
          <w:tcPr>
            <w:tcW w:w="1871" w:type="dxa"/>
          </w:tcPr>
          <w:p w:rsidR="00C32EC8" w:rsidRPr="00565D2C" w:rsidRDefault="00C32EC8" w:rsidP="00565D2C">
            <w:pPr>
              <w:jc w:val="both"/>
              <w:rPr>
                <w:sz w:val="24"/>
                <w:szCs w:val="24"/>
                <w:lang w:val="es-SV"/>
              </w:rPr>
            </w:pPr>
            <w:r w:rsidRPr="00565D2C">
              <w:rPr>
                <w:sz w:val="24"/>
                <w:szCs w:val="24"/>
                <w:lang w:val="es-SV"/>
              </w:rPr>
              <w:t>Al 1er semestre de 2018 se reporta un porcentaje del 2% de recursos adjudicados de cooperación en relación al presupuesto del Estado, respecto al 3% que se tiene como meta anual, lo cual representa un avance del 67% de la meta anual.</w:t>
            </w:r>
          </w:p>
          <w:p w:rsidR="0099459E" w:rsidRPr="00565D2C" w:rsidRDefault="0099459E" w:rsidP="00565D2C">
            <w:pPr>
              <w:jc w:val="both"/>
              <w:rPr>
                <w:sz w:val="24"/>
                <w:szCs w:val="24"/>
                <w:lang w:val="es-SV"/>
              </w:rPr>
            </w:pPr>
          </w:p>
        </w:tc>
      </w:tr>
    </w:tbl>
    <w:p w:rsidR="00C22FEC" w:rsidRPr="00565D2C" w:rsidRDefault="00C22FEC" w:rsidP="00565D2C">
      <w:pPr>
        <w:jc w:val="both"/>
        <w:rPr>
          <w:rFonts w:ascii="Times New Roman" w:hAnsi="Times New Roman" w:cs="Times New Roman"/>
          <w:sz w:val="24"/>
          <w:szCs w:val="24"/>
        </w:rPr>
      </w:pPr>
    </w:p>
    <w:p w:rsidR="00C41A91" w:rsidRPr="00565D2C" w:rsidRDefault="00CB5676" w:rsidP="00565D2C">
      <w:pPr>
        <w:pStyle w:val="Ttulo1"/>
        <w:numPr>
          <w:ilvl w:val="0"/>
          <w:numId w:val="11"/>
        </w:numPr>
        <w:rPr>
          <w:rFonts w:ascii="Times New Roman" w:hAnsi="Times New Roman" w:cs="Times New Roman"/>
          <w:sz w:val="24"/>
        </w:rPr>
      </w:pPr>
      <w:bookmarkStart w:id="2" w:name="_Toc523143296"/>
      <w:r w:rsidRPr="00565D2C">
        <w:rPr>
          <w:rFonts w:ascii="Times New Roman" w:hAnsi="Times New Roman" w:cs="Times New Roman"/>
          <w:sz w:val="24"/>
        </w:rPr>
        <w:t xml:space="preserve">Resultados de </w:t>
      </w:r>
      <w:r w:rsidR="004450CB" w:rsidRPr="00565D2C">
        <w:rPr>
          <w:rFonts w:ascii="Times New Roman" w:hAnsi="Times New Roman" w:cs="Times New Roman"/>
          <w:sz w:val="24"/>
        </w:rPr>
        <w:t xml:space="preserve">la </w:t>
      </w:r>
      <w:r w:rsidRPr="00565D2C">
        <w:rPr>
          <w:rFonts w:ascii="Times New Roman" w:hAnsi="Times New Roman" w:cs="Times New Roman"/>
          <w:sz w:val="24"/>
        </w:rPr>
        <w:t>evaluación de plan operativo</w:t>
      </w:r>
      <w:r w:rsidR="00D01241" w:rsidRPr="00565D2C">
        <w:rPr>
          <w:rFonts w:ascii="Times New Roman" w:hAnsi="Times New Roman" w:cs="Times New Roman"/>
          <w:sz w:val="24"/>
        </w:rPr>
        <w:t xml:space="preserve"> por unidad</w:t>
      </w:r>
      <w:bookmarkEnd w:id="2"/>
    </w:p>
    <w:p w:rsidR="007251B9" w:rsidRPr="00565D2C" w:rsidRDefault="007251B9" w:rsidP="00565D2C">
      <w:pPr>
        <w:tabs>
          <w:tab w:val="left" w:pos="-3544"/>
        </w:tabs>
        <w:spacing w:after="0" w:line="240" w:lineRule="auto"/>
        <w:jc w:val="both"/>
        <w:rPr>
          <w:rFonts w:ascii="Times New Roman" w:hAnsi="Times New Roman" w:cs="Times New Roman"/>
          <w:sz w:val="24"/>
          <w:szCs w:val="24"/>
        </w:rPr>
      </w:pPr>
    </w:p>
    <w:p w:rsidR="00EE6BD0" w:rsidRPr="00565D2C" w:rsidRDefault="00EE6BD0" w:rsidP="00565D2C">
      <w:pPr>
        <w:tabs>
          <w:tab w:val="left" w:pos="-3544"/>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Como ya se ha indicado, el plan de la SC </w:t>
      </w:r>
      <w:r w:rsidR="00C615E6" w:rsidRPr="00565D2C">
        <w:rPr>
          <w:rFonts w:ascii="Times New Roman" w:hAnsi="Times New Roman" w:cs="Times New Roman"/>
          <w:sz w:val="24"/>
          <w:szCs w:val="24"/>
        </w:rPr>
        <w:t>establece</w:t>
      </w:r>
      <w:r w:rsidRPr="00565D2C">
        <w:rPr>
          <w:rFonts w:ascii="Times New Roman" w:hAnsi="Times New Roman" w:cs="Times New Roman"/>
          <w:sz w:val="24"/>
          <w:szCs w:val="24"/>
        </w:rPr>
        <w:t xml:space="preserve"> objetivos estratégicos, </w:t>
      </w:r>
      <w:r w:rsidR="008800D7" w:rsidRPr="00565D2C">
        <w:rPr>
          <w:rFonts w:ascii="Times New Roman" w:hAnsi="Times New Roman" w:cs="Times New Roman"/>
          <w:sz w:val="24"/>
          <w:szCs w:val="24"/>
        </w:rPr>
        <w:t xml:space="preserve">resultados, </w:t>
      </w:r>
      <w:r w:rsidRPr="00565D2C">
        <w:rPr>
          <w:rFonts w:ascii="Times New Roman" w:hAnsi="Times New Roman" w:cs="Times New Roman"/>
          <w:sz w:val="24"/>
          <w:szCs w:val="24"/>
        </w:rPr>
        <w:t>acciones estratégicas y actividades. Para darle cumplimiento a la evaluación del plan operativo es necesario determinar cómo se cumplieron las actividades contenidas en cada una de las acciones estratégicas</w:t>
      </w:r>
      <w:r w:rsidR="00414DD1" w:rsidRPr="00565D2C">
        <w:rPr>
          <w:rFonts w:ascii="Times New Roman" w:hAnsi="Times New Roman" w:cs="Times New Roman"/>
          <w:sz w:val="24"/>
          <w:szCs w:val="24"/>
        </w:rPr>
        <w:t xml:space="preserve"> por unidad organizativa</w:t>
      </w:r>
      <w:r w:rsidR="00D90B8C" w:rsidRPr="00565D2C">
        <w:rPr>
          <w:rFonts w:ascii="Times New Roman" w:hAnsi="Times New Roman" w:cs="Times New Roman"/>
          <w:sz w:val="24"/>
          <w:szCs w:val="24"/>
        </w:rPr>
        <w:t xml:space="preserve">. A </w:t>
      </w:r>
      <w:r w:rsidR="009B1F63" w:rsidRPr="00565D2C">
        <w:rPr>
          <w:rFonts w:ascii="Times New Roman" w:hAnsi="Times New Roman" w:cs="Times New Roman"/>
          <w:sz w:val="24"/>
          <w:szCs w:val="24"/>
        </w:rPr>
        <w:t>continuación,</w:t>
      </w:r>
      <w:r w:rsidR="00D90B8C" w:rsidRPr="00565D2C">
        <w:rPr>
          <w:rFonts w:ascii="Times New Roman" w:hAnsi="Times New Roman" w:cs="Times New Roman"/>
          <w:sz w:val="24"/>
          <w:szCs w:val="24"/>
        </w:rPr>
        <w:t xml:space="preserve"> se describen por medio de los cuadros la</w:t>
      </w:r>
      <w:r w:rsidR="009B1F63" w:rsidRPr="00565D2C">
        <w:rPr>
          <w:rFonts w:ascii="Times New Roman" w:hAnsi="Times New Roman" w:cs="Times New Roman"/>
          <w:sz w:val="24"/>
          <w:szCs w:val="24"/>
        </w:rPr>
        <w:t>s</w:t>
      </w:r>
      <w:r w:rsidR="00D90B8C" w:rsidRPr="00565D2C">
        <w:rPr>
          <w:rFonts w:ascii="Times New Roman" w:hAnsi="Times New Roman" w:cs="Times New Roman"/>
          <w:sz w:val="24"/>
          <w:szCs w:val="24"/>
        </w:rPr>
        <w:t xml:space="preserve"> actividades que se desempeñaron con una ejecución </w:t>
      </w:r>
      <w:r w:rsidR="006D43F6" w:rsidRPr="00565D2C">
        <w:rPr>
          <w:rFonts w:ascii="Times New Roman" w:hAnsi="Times New Roman" w:cs="Times New Roman"/>
          <w:sz w:val="24"/>
          <w:szCs w:val="24"/>
        </w:rPr>
        <w:t xml:space="preserve">“satisfactoria”, </w:t>
      </w:r>
      <w:r w:rsidR="00D90B8C" w:rsidRPr="00565D2C">
        <w:rPr>
          <w:rFonts w:ascii="Times New Roman" w:hAnsi="Times New Roman" w:cs="Times New Roman"/>
          <w:sz w:val="24"/>
          <w:szCs w:val="24"/>
        </w:rPr>
        <w:t>“media”</w:t>
      </w:r>
      <w:r w:rsidR="006D43F6" w:rsidRPr="00565D2C">
        <w:rPr>
          <w:rFonts w:ascii="Times New Roman" w:hAnsi="Times New Roman" w:cs="Times New Roman"/>
          <w:sz w:val="24"/>
          <w:szCs w:val="24"/>
        </w:rPr>
        <w:t xml:space="preserve">, </w:t>
      </w:r>
      <w:r w:rsidR="00C91FD1" w:rsidRPr="00565D2C">
        <w:rPr>
          <w:rFonts w:ascii="Times New Roman" w:hAnsi="Times New Roman" w:cs="Times New Roman"/>
          <w:sz w:val="24"/>
          <w:szCs w:val="24"/>
        </w:rPr>
        <w:t>o “</w:t>
      </w:r>
      <w:r w:rsidR="00D90B8C" w:rsidRPr="00565D2C">
        <w:rPr>
          <w:rFonts w:ascii="Times New Roman" w:hAnsi="Times New Roman" w:cs="Times New Roman"/>
          <w:sz w:val="24"/>
          <w:szCs w:val="24"/>
        </w:rPr>
        <w:t>baja”, y se relatan las actividades más sustantivas ejecutadas exitosamente.</w:t>
      </w:r>
    </w:p>
    <w:p w:rsidR="00F04F60" w:rsidRPr="00565D2C" w:rsidRDefault="00F04F60" w:rsidP="00565D2C">
      <w:pPr>
        <w:pStyle w:val="Ttulo1"/>
        <w:rPr>
          <w:rFonts w:ascii="Times New Roman" w:hAnsi="Times New Roman" w:cs="Times New Roman"/>
          <w:sz w:val="24"/>
        </w:rPr>
      </w:pPr>
    </w:p>
    <w:p w:rsidR="00414DD1" w:rsidRPr="00565D2C" w:rsidRDefault="00535C43" w:rsidP="00565D2C">
      <w:pPr>
        <w:pStyle w:val="Ttulo2"/>
        <w:numPr>
          <w:ilvl w:val="0"/>
          <w:numId w:val="12"/>
        </w:numPr>
        <w:rPr>
          <w:rFonts w:ascii="Times New Roman" w:hAnsi="Times New Roman" w:cs="Times New Roman"/>
          <w:szCs w:val="24"/>
        </w:rPr>
      </w:pPr>
      <w:bookmarkStart w:id="3" w:name="_Toc523143297"/>
      <w:r w:rsidRPr="00565D2C">
        <w:rPr>
          <w:rFonts w:ascii="Times New Roman" w:hAnsi="Times New Roman" w:cs="Times New Roman"/>
          <w:noProof/>
          <w:szCs w:val="24"/>
        </w:rPr>
        <w:drawing>
          <wp:anchor distT="0" distB="0" distL="114300" distR="114300" simplePos="0" relativeHeight="251769856" behindDoc="1" locked="0" layoutInCell="1" allowOverlap="1">
            <wp:simplePos x="0" y="0"/>
            <wp:positionH relativeFrom="column">
              <wp:posOffset>43815</wp:posOffset>
            </wp:positionH>
            <wp:positionV relativeFrom="paragraph">
              <wp:posOffset>258445</wp:posOffset>
            </wp:positionV>
            <wp:extent cx="1971675" cy="603885"/>
            <wp:effectExtent l="0" t="0" r="9525" b="571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603885"/>
                    </a:xfrm>
                    <a:prstGeom prst="rect">
                      <a:avLst/>
                    </a:prstGeom>
                    <a:noFill/>
                  </pic:spPr>
                </pic:pic>
              </a:graphicData>
            </a:graphic>
            <wp14:sizeRelH relativeFrom="margin">
              <wp14:pctWidth>0</wp14:pctWidth>
            </wp14:sizeRelH>
            <wp14:sizeRelV relativeFrom="margin">
              <wp14:pctHeight>0</wp14:pctHeight>
            </wp14:sizeRelV>
          </wp:anchor>
        </w:drawing>
      </w:r>
      <w:r w:rsidR="00565D2C" w:rsidRPr="00565D2C">
        <w:rPr>
          <w:rFonts w:ascii="Times New Roman" w:hAnsi="Times New Roman" w:cs="Times New Roman"/>
          <w:noProof/>
          <w:szCs w:val="24"/>
        </w:rPr>
        <w:drawing>
          <wp:anchor distT="0" distB="0" distL="114300" distR="114300" simplePos="0" relativeHeight="251768832" behindDoc="1" locked="0" layoutInCell="1" allowOverlap="1">
            <wp:simplePos x="0" y="0"/>
            <wp:positionH relativeFrom="column">
              <wp:posOffset>2758440</wp:posOffset>
            </wp:positionH>
            <wp:positionV relativeFrom="paragraph">
              <wp:posOffset>260985</wp:posOffset>
            </wp:positionV>
            <wp:extent cx="2924175" cy="561975"/>
            <wp:effectExtent l="0" t="0" r="9525" b="0"/>
            <wp:wrapTight wrapText="bothSides">
              <wp:wrapPolygon edited="0">
                <wp:start x="0" y="0"/>
                <wp:lineTo x="0" y="20502"/>
                <wp:lineTo x="21530" y="20502"/>
                <wp:lineTo x="21530"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4175" cy="561975"/>
                    </a:xfrm>
                    <a:prstGeom prst="rect">
                      <a:avLst/>
                    </a:prstGeom>
                    <a:noFill/>
                  </pic:spPr>
                </pic:pic>
              </a:graphicData>
            </a:graphic>
            <wp14:sizeRelH relativeFrom="margin">
              <wp14:pctWidth>0</wp14:pctWidth>
            </wp14:sizeRelH>
            <wp14:sizeRelV relativeFrom="margin">
              <wp14:pctHeight>0</wp14:pctHeight>
            </wp14:sizeRelV>
          </wp:anchor>
        </w:drawing>
      </w:r>
      <w:r w:rsidR="00414DD1" w:rsidRPr="00565D2C">
        <w:rPr>
          <w:rFonts w:ascii="Times New Roman" w:hAnsi="Times New Roman" w:cs="Times New Roman"/>
          <w:szCs w:val="24"/>
        </w:rPr>
        <w:t>Intendencia de Abogacía de la Competencia (IAC)</w:t>
      </w:r>
      <w:bookmarkEnd w:id="3"/>
    </w:p>
    <w:p w:rsidR="007534AE" w:rsidRPr="00565D2C" w:rsidRDefault="008B5BEC" w:rsidP="00565D2C">
      <w:pPr>
        <w:tabs>
          <w:tab w:val="left" w:pos="-3544"/>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p>
    <w:p w:rsidR="002C1735" w:rsidRPr="00565D2C" w:rsidRDefault="002C1735"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La IAC tuvo un logro del 96.66% en las actividades planificadas en el primer semestre.</w:t>
      </w:r>
    </w:p>
    <w:p w:rsidR="002C1735" w:rsidRPr="00565D2C" w:rsidRDefault="002C1735" w:rsidP="00565D2C">
      <w:pPr>
        <w:spacing w:after="0" w:line="240" w:lineRule="auto"/>
        <w:jc w:val="both"/>
        <w:rPr>
          <w:rFonts w:ascii="Times New Roman" w:hAnsi="Times New Roman" w:cs="Times New Roman"/>
          <w:sz w:val="24"/>
          <w:szCs w:val="24"/>
        </w:rPr>
      </w:pPr>
    </w:p>
    <w:p w:rsidR="0003186F" w:rsidRPr="00565D2C" w:rsidRDefault="00DE0633"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L</w:t>
      </w:r>
      <w:r w:rsidR="0003186F" w:rsidRPr="00565D2C">
        <w:rPr>
          <w:rFonts w:ascii="Times New Roman" w:hAnsi="Times New Roman" w:cs="Times New Roman"/>
          <w:sz w:val="24"/>
          <w:szCs w:val="24"/>
        </w:rPr>
        <w:t xml:space="preserve">as actividades más relevantes ejecutadas exitosamente </w:t>
      </w:r>
      <w:r w:rsidR="00065650" w:rsidRPr="00565D2C">
        <w:rPr>
          <w:rFonts w:ascii="Times New Roman" w:hAnsi="Times New Roman" w:cs="Times New Roman"/>
          <w:sz w:val="24"/>
          <w:szCs w:val="24"/>
        </w:rPr>
        <w:t>por la IAC son las siguientes:</w:t>
      </w:r>
      <w:r w:rsidR="0003186F" w:rsidRPr="00565D2C">
        <w:rPr>
          <w:rFonts w:ascii="Times New Roman" w:hAnsi="Times New Roman" w:cs="Times New Roman"/>
          <w:sz w:val="24"/>
          <w:szCs w:val="24"/>
        </w:rPr>
        <w:t xml:space="preserve"> </w:t>
      </w:r>
    </w:p>
    <w:p w:rsidR="00F34171" w:rsidRPr="00565D2C" w:rsidRDefault="00F34171" w:rsidP="00565D2C">
      <w:pPr>
        <w:spacing w:after="0" w:line="240" w:lineRule="auto"/>
        <w:jc w:val="both"/>
        <w:rPr>
          <w:rFonts w:ascii="Times New Roman" w:hAnsi="Times New Roman" w:cs="Times New Roman"/>
          <w:sz w:val="24"/>
          <w:szCs w:val="24"/>
        </w:rPr>
      </w:pPr>
    </w:p>
    <w:p w:rsidR="00C015B9" w:rsidRPr="00565D2C" w:rsidRDefault="00C015B9" w:rsidP="00565D2C">
      <w:pPr>
        <w:pStyle w:val="Prrafodelista"/>
        <w:numPr>
          <w:ilvl w:val="0"/>
          <w:numId w:val="1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Insumos proporcionados a la Intendencia Económica para la elaboración del boletín informativo electrónico cuyo </w:t>
      </w:r>
      <w:r w:rsidR="005009BA" w:rsidRPr="00565D2C">
        <w:rPr>
          <w:rFonts w:ascii="Times New Roman" w:hAnsi="Times New Roman" w:cs="Times New Roman"/>
          <w:sz w:val="24"/>
          <w:szCs w:val="24"/>
        </w:rPr>
        <w:t>título</w:t>
      </w:r>
      <w:r w:rsidRPr="00565D2C">
        <w:rPr>
          <w:rFonts w:ascii="Times New Roman" w:hAnsi="Times New Roman" w:cs="Times New Roman"/>
          <w:sz w:val="24"/>
          <w:szCs w:val="24"/>
        </w:rPr>
        <w:t xml:space="preserve"> fue </w:t>
      </w:r>
      <w:r w:rsidR="005009BA" w:rsidRPr="00565D2C">
        <w:rPr>
          <w:rFonts w:ascii="Times New Roman" w:hAnsi="Times New Roman" w:cs="Times New Roman"/>
          <w:sz w:val="24"/>
          <w:szCs w:val="24"/>
        </w:rPr>
        <w:t xml:space="preserve">“SC promueve competencia entre PYMEs” y </w:t>
      </w:r>
      <w:r w:rsidR="0065007D" w:rsidRPr="00565D2C">
        <w:rPr>
          <w:rFonts w:ascii="Times New Roman" w:hAnsi="Times New Roman" w:cs="Times New Roman"/>
          <w:sz w:val="24"/>
          <w:szCs w:val="24"/>
        </w:rPr>
        <w:t>“Profundización de la aplicación de los principios de competencia en las licitaciones públicas”.</w:t>
      </w:r>
    </w:p>
    <w:p w:rsidR="002131D6" w:rsidRPr="00565D2C" w:rsidRDefault="002131D6" w:rsidP="00565D2C">
      <w:pPr>
        <w:pStyle w:val="Prrafodelista"/>
        <w:spacing w:after="0" w:line="240" w:lineRule="auto"/>
        <w:ind w:left="1080"/>
        <w:jc w:val="both"/>
        <w:rPr>
          <w:rFonts w:ascii="Times New Roman" w:hAnsi="Times New Roman" w:cs="Times New Roman"/>
          <w:sz w:val="24"/>
          <w:szCs w:val="24"/>
        </w:rPr>
      </w:pPr>
    </w:p>
    <w:p w:rsidR="00AA6781" w:rsidRPr="00565D2C" w:rsidRDefault="00C015B9" w:rsidP="00565D2C">
      <w:pPr>
        <w:pStyle w:val="Default"/>
        <w:numPr>
          <w:ilvl w:val="0"/>
          <w:numId w:val="13"/>
        </w:numPr>
        <w:jc w:val="both"/>
        <w:rPr>
          <w:rFonts w:ascii="Times New Roman" w:hAnsi="Times New Roman" w:cs="Times New Roman"/>
        </w:rPr>
      </w:pPr>
      <w:r w:rsidRPr="00565D2C">
        <w:rPr>
          <w:rFonts w:ascii="Times New Roman" w:hAnsi="Times New Roman" w:cs="Times New Roman"/>
        </w:rPr>
        <w:t xml:space="preserve">Seguimiento a plan de </w:t>
      </w:r>
      <w:r w:rsidR="00AA6781" w:rsidRPr="00565D2C">
        <w:rPr>
          <w:rFonts w:ascii="Times New Roman" w:hAnsi="Times New Roman" w:cs="Times New Roman"/>
        </w:rPr>
        <w:t>cabildeo de reformas a la L</w:t>
      </w:r>
      <w:r w:rsidR="006A2F34" w:rsidRPr="00565D2C">
        <w:rPr>
          <w:rFonts w:ascii="Times New Roman" w:hAnsi="Times New Roman" w:cs="Times New Roman"/>
        </w:rPr>
        <w:t xml:space="preserve">ey de </w:t>
      </w:r>
      <w:r w:rsidR="00AA6781" w:rsidRPr="00565D2C">
        <w:rPr>
          <w:rFonts w:ascii="Times New Roman" w:hAnsi="Times New Roman" w:cs="Times New Roman"/>
        </w:rPr>
        <w:t>C</w:t>
      </w:r>
      <w:r w:rsidR="006A2F34" w:rsidRPr="00565D2C">
        <w:rPr>
          <w:rFonts w:ascii="Times New Roman" w:hAnsi="Times New Roman" w:cs="Times New Roman"/>
        </w:rPr>
        <w:t>ompetencia</w:t>
      </w:r>
      <w:r w:rsidRPr="00565D2C">
        <w:rPr>
          <w:rFonts w:ascii="Times New Roman" w:hAnsi="Times New Roman" w:cs="Times New Roman"/>
        </w:rPr>
        <w:t xml:space="preserve">. Se remitió la versión final del proyecto a la </w:t>
      </w:r>
      <w:r w:rsidR="006A2F34" w:rsidRPr="00565D2C">
        <w:rPr>
          <w:rFonts w:ascii="Times New Roman" w:hAnsi="Times New Roman" w:cs="Times New Roman"/>
        </w:rPr>
        <w:t>Secretaría de Asuntos Jurídicos y Legislativos (</w:t>
      </w:r>
      <w:r w:rsidRPr="00565D2C">
        <w:rPr>
          <w:rFonts w:ascii="Times New Roman" w:hAnsi="Times New Roman" w:cs="Times New Roman"/>
        </w:rPr>
        <w:t>SALJ</w:t>
      </w:r>
      <w:r w:rsidR="006A2F34" w:rsidRPr="00565D2C">
        <w:rPr>
          <w:rFonts w:ascii="Times New Roman" w:hAnsi="Times New Roman" w:cs="Times New Roman"/>
        </w:rPr>
        <w:t>)</w:t>
      </w:r>
      <w:r w:rsidRPr="00565D2C">
        <w:rPr>
          <w:rFonts w:ascii="Times New Roman" w:hAnsi="Times New Roman" w:cs="Times New Roman"/>
        </w:rPr>
        <w:t xml:space="preserve">, y se </w:t>
      </w:r>
      <w:r w:rsidR="00772E4F" w:rsidRPr="00565D2C">
        <w:rPr>
          <w:rFonts w:ascii="Times New Roman" w:hAnsi="Times New Roman" w:cs="Times New Roman"/>
        </w:rPr>
        <w:t>les</w:t>
      </w:r>
      <w:r w:rsidRPr="00565D2C">
        <w:rPr>
          <w:rFonts w:ascii="Times New Roman" w:hAnsi="Times New Roman" w:cs="Times New Roman"/>
        </w:rPr>
        <w:t xml:space="preserve"> dio respuesta a las observaciones emitidas por las personas encargadas.</w:t>
      </w:r>
      <w:r w:rsidR="0065007D" w:rsidRPr="00565D2C">
        <w:rPr>
          <w:rFonts w:ascii="Times New Roman" w:hAnsi="Times New Roman" w:cs="Times New Roman"/>
        </w:rPr>
        <w:t xml:space="preserve"> Luego de la remisión del documento final que se hizo en fecha 16 de marzo de 2018, no se ha recibido de parte de la Secretaria de Asuntos legislativos y Jurídicos (SALJ) de la Presidencia comentarios sobre el estado de su remisión al Señor Presidente de la República para su revisión y posterior iniciativa de Ley, por lo que en el mes de mayo se envió un correo de seguimiento a los técnicos de SALJ sin obtenerse respuesta alguna.</w:t>
      </w:r>
    </w:p>
    <w:p w:rsidR="00285E9F" w:rsidRPr="00565D2C" w:rsidRDefault="00285E9F" w:rsidP="00565D2C">
      <w:pPr>
        <w:pStyle w:val="Prrafodelista"/>
        <w:jc w:val="both"/>
        <w:rPr>
          <w:rFonts w:ascii="Times New Roman" w:hAnsi="Times New Roman" w:cs="Times New Roman"/>
          <w:sz w:val="24"/>
          <w:szCs w:val="24"/>
        </w:rPr>
      </w:pPr>
    </w:p>
    <w:p w:rsidR="00285E9F" w:rsidRPr="00565D2C" w:rsidRDefault="00285E9F" w:rsidP="00565D2C">
      <w:pPr>
        <w:pStyle w:val="Prrafodelista"/>
        <w:numPr>
          <w:ilvl w:val="0"/>
          <w:numId w:val="13"/>
        </w:numPr>
        <w:autoSpaceDE w:val="0"/>
        <w:autoSpaceDN w:val="0"/>
        <w:adjustRightInd w:val="0"/>
        <w:spacing w:after="0" w:line="240" w:lineRule="auto"/>
        <w:jc w:val="both"/>
        <w:rPr>
          <w:rFonts w:ascii="Times New Roman" w:hAnsi="Times New Roman" w:cs="Times New Roman"/>
          <w:color w:val="000000"/>
          <w:sz w:val="24"/>
          <w:szCs w:val="24"/>
          <w:lang w:val="es-ES"/>
        </w:rPr>
      </w:pPr>
      <w:r w:rsidRPr="00565D2C">
        <w:rPr>
          <w:rFonts w:ascii="Times New Roman" w:hAnsi="Times New Roman" w:cs="Times New Roman"/>
          <w:color w:val="000000"/>
          <w:sz w:val="24"/>
          <w:szCs w:val="24"/>
          <w:lang w:val="es-ES"/>
        </w:rPr>
        <w:t xml:space="preserve">En diciembre de 2017 se le entrego la propuesta técnica de actualización del reglamento al Superintendente para adecuarlo a las reformas que se encuentran en revisión en Casa Presidencial. </w:t>
      </w:r>
    </w:p>
    <w:p w:rsidR="00285E9F" w:rsidRPr="00565D2C" w:rsidRDefault="00285E9F" w:rsidP="00565D2C">
      <w:pPr>
        <w:pStyle w:val="Default"/>
        <w:ind w:left="709" w:hanging="709"/>
        <w:jc w:val="both"/>
        <w:rPr>
          <w:rFonts w:ascii="Times New Roman" w:hAnsi="Times New Roman" w:cs="Times New Roman"/>
        </w:rPr>
      </w:pPr>
      <w:r w:rsidRPr="00565D2C">
        <w:rPr>
          <w:rFonts w:ascii="Times New Roman" w:hAnsi="Times New Roman" w:cs="Times New Roman"/>
        </w:rPr>
        <w:t xml:space="preserve">            En vista de las ultimas mejoras a la propuesta de reformas a la LC, solicitadas por la    Secretaría de Asuntos Legislativos y Jurídicos de la Presidencia, y de la remisión de la versión final de dicho documento para su revisión por el Presidente en el mes de marzo de 2018, se ha optado por revisar la propuesta de actualización del reglamento durante el segundo semestre.</w:t>
      </w:r>
    </w:p>
    <w:p w:rsidR="00285E9F" w:rsidRPr="00565D2C" w:rsidRDefault="00285E9F" w:rsidP="00565D2C">
      <w:pPr>
        <w:pStyle w:val="Default"/>
        <w:ind w:left="720"/>
        <w:jc w:val="both"/>
        <w:rPr>
          <w:rFonts w:ascii="Times New Roman" w:hAnsi="Times New Roman" w:cs="Times New Roman"/>
        </w:rPr>
      </w:pPr>
    </w:p>
    <w:p w:rsidR="00772E4F" w:rsidRPr="00565D2C" w:rsidRDefault="00772E4F" w:rsidP="00565D2C">
      <w:pPr>
        <w:pStyle w:val="Prrafodelista"/>
        <w:numPr>
          <w:ilvl w:val="0"/>
          <w:numId w:val="1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Insumos para boletín N°. 8 </w:t>
      </w:r>
      <w:r w:rsidR="00646EB7" w:rsidRPr="00565D2C">
        <w:rPr>
          <w:rFonts w:ascii="Times New Roman" w:hAnsi="Times New Roman" w:cs="Times New Roman"/>
          <w:sz w:val="24"/>
          <w:szCs w:val="24"/>
        </w:rPr>
        <w:t xml:space="preserve">y N°. 9 </w:t>
      </w:r>
      <w:r w:rsidRPr="00565D2C">
        <w:rPr>
          <w:rFonts w:ascii="Times New Roman" w:hAnsi="Times New Roman" w:cs="Times New Roman"/>
          <w:sz w:val="24"/>
          <w:szCs w:val="24"/>
        </w:rPr>
        <w:t>del boletín “Competencia en Centroamérica”.</w:t>
      </w:r>
    </w:p>
    <w:p w:rsidR="002131D6" w:rsidRPr="00565D2C" w:rsidRDefault="002131D6" w:rsidP="00565D2C">
      <w:pPr>
        <w:pStyle w:val="Prrafodelista"/>
        <w:spacing w:after="0" w:line="240" w:lineRule="auto"/>
        <w:ind w:left="1080"/>
        <w:jc w:val="both"/>
        <w:rPr>
          <w:rFonts w:ascii="Times New Roman" w:hAnsi="Times New Roman" w:cs="Times New Roman"/>
          <w:sz w:val="24"/>
          <w:szCs w:val="24"/>
        </w:rPr>
      </w:pPr>
    </w:p>
    <w:p w:rsidR="00772E4F" w:rsidRPr="00565D2C" w:rsidRDefault="002131D6" w:rsidP="00565D2C">
      <w:pPr>
        <w:pStyle w:val="Default"/>
        <w:numPr>
          <w:ilvl w:val="0"/>
          <w:numId w:val="13"/>
        </w:numPr>
        <w:jc w:val="both"/>
        <w:rPr>
          <w:rFonts w:ascii="Times New Roman" w:hAnsi="Times New Roman" w:cs="Times New Roman"/>
          <w:color w:val="auto"/>
          <w:lang w:val="es-SV"/>
        </w:rPr>
      </w:pPr>
      <w:r w:rsidRPr="00565D2C">
        <w:rPr>
          <w:rFonts w:ascii="Times New Roman" w:hAnsi="Times New Roman" w:cs="Times New Roman"/>
        </w:rPr>
        <w:t xml:space="preserve">3 </w:t>
      </w:r>
      <w:r w:rsidR="00A339D6" w:rsidRPr="00565D2C">
        <w:rPr>
          <w:rFonts w:ascii="Times New Roman" w:hAnsi="Times New Roman" w:cs="Times New Roman"/>
        </w:rPr>
        <w:t xml:space="preserve">reuniones administrativas y 3 reuniones técnicas sobre los temas siguientes: </w:t>
      </w:r>
      <w:r w:rsidR="00A93A45" w:rsidRPr="00565D2C">
        <w:rPr>
          <w:rFonts w:ascii="Times New Roman" w:hAnsi="Times New Roman" w:cs="Times New Roman"/>
        </w:rPr>
        <w:t>aprobación de agenda, traspaso de la p</w:t>
      </w:r>
      <w:r w:rsidR="00C101BB" w:rsidRPr="00565D2C">
        <w:rPr>
          <w:rFonts w:ascii="Times New Roman" w:hAnsi="Times New Roman" w:cs="Times New Roman"/>
        </w:rPr>
        <w:t xml:space="preserve">residencia </w:t>
      </w:r>
      <w:r w:rsidR="00A93A45" w:rsidRPr="00565D2C">
        <w:rPr>
          <w:rFonts w:ascii="Times New Roman" w:hAnsi="Times New Roman" w:cs="Times New Roman"/>
        </w:rPr>
        <w:t>p</w:t>
      </w:r>
      <w:r w:rsidR="00C101BB" w:rsidRPr="00565D2C">
        <w:rPr>
          <w:rFonts w:ascii="Times New Roman" w:hAnsi="Times New Roman" w:cs="Times New Roman"/>
        </w:rPr>
        <w:t xml:space="preserve">ro </w:t>
      </w:r>
      <w:r w:rsidR="00A93A45" w:rsidRPr="00565D2C">
        <w:rPr>
          <w:rFonts w:ascii="Times New Roman" w:hAnsi="Times New Roman" w:cs="Times New Roman"/>
        </w:rPr>
        <w:t>t</w:t>
      </w:r>
      <w:r w:rsidR="00C101BB" w:rsidRPr="00565D2C">
        <w:rPr>
          <w:rFonts w:ascii="Times New Roman" w:hAnsi="Times New Roman" w:cs="Times New Roman"/>
        </w:rPr>
        <w:t>empore a Nicaragua, presentación del plan de trabajo (PPT) (1), discusión del plan de trabajo de la PPT</w:t>
      </w:r>
      <w:r w:rsidR="00AF14BB" w:rsidRPr="00565D2C">
        <w:rPr>
          <w:rFonts w:ascii="Times New Roman" w:hAnsi="Times New Roman" w:cs="Times New Roman"/>
          <w:color w:val="auto"/>
          <w:lang w:val="es-SV"/>
        </w:rPr>
        <w:t xml:space="preserve"> </w:t>
      </w:r>
      <w:r w:rsidR="00C101BB" w:rsidRPr="00565D2C">
        <w:rPr>
          <w:rFonts w:ascii="Times New Roman" w:hAnsi="Times New Roman" w:cs="Times New Roman"/>
          <w:color w:val="auto"/>
          <w:lang w:val="es-SV"/>
        </w:rPr>
        <w:t xml:space="preserve">(2), temas de interés para participar en la convocatoria de bienes públicos regionales del BID (3), teleconferencia sobre estudios sectores excluidos: Monopolio de Alcohol (4), teleconferencia sobre abuso de posición dominante en el servicio mayorista de terminación de llamadas telefónicas (5) y teleconferencia sobre “Práctica de monopolio. Notas sobre un cas investigado en Guatemala”. </w:t>
      </w:r>
    </w:p>
    <w:p w:rsidR="00AF3EEB" w:rsidRPr="00565D2C" w:rsidRDefault="00AF3EEB" w:rsidP="00565D2C">
      <w:pPr>
        <w:pStyle w:val="Default"/>
        <w:ind w:left="1080"/>
        <w:jc w:val="both"/>
        <w:rPr>
          <w:rFonts w:ascii="Times New Roman" w:hAnsi="Times New Roman" w:cs="Times New Roman"/>
          <w:color w:val="auto"/>
          <w:lang w:val="es-SV"/>
        </w:rPr>
      </w:pPr>
    </w:p>
    <w:p w:rsidR="00AF3EEB" w:rsidRPr="00565D2C" w:rsidRDefault="00AF3EEB" w:rsidP="00565D2C">
      <w:pPr>
        <w:pStyle w:val="Default"/>
        <w:numPr>
          <w:ilvl w:val="0"/>
          <w:numId w:val="13"/>
        </w:numPr>
        <w:jc w:val="both"/>
        <w:rPr>
          <w:rFonts w:ascii="Times New Roman" w:hAnsi="Times New Roman" w:cs="Times New Roman"/>
          <w:color w:val="auto"/>
          <w:lang w:val="es-SV"/>
        </w:rPr>
      </w:pPr>
      <w:r w:rsidRPr="00565D2C">
        <w:rPr>
          <w:rFonts w:ascii="Times New Roman" w:hAnsi="Times New Roman" w:cs="Times New Roman"/>
          <w:color w:val="auto"/>
          <w:lang w:val="es-SV"/>
        </w:rPr>
        <w:t>Solicitud</w:t>
      </w:r>
      <w:r w:rsidR="00F660CF" w:rsidRPr="00565D2C">
        <w:rPr>
          <w:rFonts w:ascii="Times New Roman" w:hAnsi="Times New Roman" w:cs="Times New Roman"/>
          <w:color w:val="auto"/>
          <w:lang w:val="es-SV"/>
        </w:rPr>
        <w:t>es</w:t>
      </w:r>
      <w:r w:rsidRPr="00565D2C">
        <w:rPr>
          <w:rFonts w:ascii="Times New Roman" w:hAnsi="Times New Roman" w:cs="Times New Roman"/>
          <w:color w:val="auto"/>
          <w:lang w:val="es-SV"/>
        </w:rPr>
        <w:t xml:space="preserve"> para actualización de información de El Salvador en el sitio web de la </w:t>
      </w:r>
      <w:r w:rsidR="006A2F34" w:rsidRPr="00565D2C">
        <w:rPr>
          <w:rFonts w:ascii="Times New Roman" w:hAnsi="Times New Roman" w:cs="Times New Roman"/>
          <w:color w:val="auto"/>
          <w:lang w:val="es-SV"/>
        </w:rPr>
        <w:t>Red Centroamericana de Autoridades Nacionales Encargadas del tema de competencia (</w:t>
      </w:r>
      <w:r w:rsidRPr="00565D2C">
        <w:rPr>
          <w:rFonts w:ascii="Times New Roman" w:hAnsi="Times New Roman" w:cs="Times New Roman"/>
          <w:color w:val="auto"/>
          <w:lang w:val="es-SV"/>
        </w:rPr>
        <w:t>RECAC</w:t>
      </w:r>
      <w:r w:rsidR="006A2F34" w:rsidRPr="00565D2C">
        <w:rPr>
          <w:rFonts w:ascii="Times New Roman" w:hAnsi="Times New Roman" w:cs="Times New Roman"/>
          <w:color w:val="auto"/>
          <w:lang w:val="es-SV"/>
        </w:rPr>
        <w:t>)</w:t>
      </w:r>
      <w:r w:rsidRPr="00565D2C">
        <w:rPr>
          <w:rFonts w:ascii="Times New Roman" w:hAnsi="Times New Roman" w:cs="Times New Roman"/>
          <w:color w:val="auto"/>
          <w:lang w:val="es-SV"/>
        </w:rPr>
        <w:t>.</w:t>
      </w:r>
    </w:p>
    <w:p w:rsidR="00BD4615" w:rsidRPr="00565D2C" w:rsidRDefault="00BD4615" w:rsidP="00565D2C">
      <w:pPr>
        <w:pStyle w:val="Default"/>
        <w:ind w:left="720"/>
        <w:jc w:val="both"/>
        <w:rPr>
          <w:rFonts w:ascii="Times New Roman" w:hAnsi="Times New Roman" w:cs="Times New Roman"/>
        </w:rPr>
      </w:pPr>
    </w:p>
    <w:p w:rsidR="002C1735" w:rsidRPr="00565D2C" w:rsidRDefault="00D37579" w:rsidP="0001555F">
      <w:pPr>
        <w:pStyle w:val="Default"/>
        <w:numPr>
          <w:ilvl w:val="0"/>
          <w:numId w:val="13"/>
        </w:numPr>
        <w:jc w:val="both"/>
        <w:rPr>
          <w:rFonts w:ascii="Times New Roman" w:hAnsi="Times New Roman" w:cs="Times New Roman"/>
        </w:rPr>
      </w:pPr>
      <w:r w:rsidRPr="00565D2C">
        <w:rPr>
          <w:rFonts w:ascii="Times New Roman" w:hAnsi="Times New Roman" w:cs="Times New Roman"/>
          <w:color w:val="auto"/>
          <w:lang w:val="es-SV"/>
        </w:rPr>
        <w:t xml:space="preserve">17 contribuciones en redes internacionales: </w:t>
      </w:r>
    </w:p>
    <w:p w:rsidR="00D37579" w:rsidRPr="00565D2C" w:rsidRDefault="00D37579" w:rsidP="00565D2C">
      <w:pPr>
        <w:numPr>
          <w:ilvl w:val="0"/>
          <w:numId w:val="1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Programa COMPAL- Encuesta de Evaluación de COMPAL III</w:t>
      </w:r>
    </w:p>
    <w:p w:rsidR="00D37579" w:rsidRPr="005C54E2" w:rsidRDefault="00D37579" w:rsidP="00565D2C">
      <w:pPr>
        <w:numPr>
          <w:ilvl w:val="0"/>
          <w:numId w:val="17"/>
        </w:numPr>
        <w:spacing w:after="0" w:line="240" w:lineRule="auto"/>
        <w:jc w:val="both"/>
        <w:rPr>
          <w:rFonts w:ascii="Times New Roman" w:hAnsi="Times New Roman" w:cs="Times New Roman"/>
          <w:sz w:val="24"/>
          <w:szCs w:val="24"/>
          <w:lang w:val="en-US"/>
        </w:rPr>
      </w:pPr>
      <w:r w:rsidRPr="005C54E2">
        <w:rPr>
          <w:rFonts w:ascii="Times New Roman" w:hAnsi="Times New Roman" w:cs="Times New Roman"/>
          <w:sz w:val="24"/>
          <w:szCs w:val="24"/>
          <w:lang w:val="en-US"/>
        </w:rPr>
        <w:t>ICN Cartel Working Group (CWG)- Cuestionario on Key elements of Efficient, effective leniency and private cartel enforcement</w:t>
      </w:r>
    </w:p>
    <w:p w:rsidR="00D37579" w:rsidRPr="00565D2C" w:rsidRDefault="00D37579" w:rsidP="00565D2C">
      <w:pPr>
        <w:numPr>
          <w:ilvl w:val="0"/>
          <w:numId w:val="1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OCDE- Encuesta sobre competencia</w:t>
      </w:r>
    </w:p>
    <w:p w:rsidR="00D37579" w:rsidRPr="00565D2C" w:rsidRDefault="00D37579" w:rsidP="00565D2C">
      <w:pPr>
        <w:numPr>
          <w:ilvl w:val="0"/>
          <w:numId w:val="1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UNCTAD- Respuesta sobre la imposibilidad de contestar cuestionario sobre Derechos audiovisual en eventos deportivos </w:t>
      </w:r>
    </w:p>
    <w:p w:rsidR="00D37579" w:rsidRPr="00565D2C" w:rsidRDefault="00D37579" w:rsidP="00565D2C">
      <w:pPr>
        <w:numPr>
          <w:ilvl w:val="0"/>
          <w:numId w:val="1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UNCTAD- Respuesta sobre Competition and Regulation Challenges faced by developing countries in the Maritime Transport Sector, sobre el analisis intra – interportuario y no sobre agentes del servicio de transporte marítimo portuario.</w:t>
      </w:r>
    </w:p>
    <w:p w:rsidR="00D37579" w:rsidRPr="00565D2C" w:rsidRDefault="00D37579" w:rsidP="00565D2C">
      <w:pPr>
        <w:numPr>
          <w:ilvl w:val="0"/>
          <w:numId w:val="1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ICN- SURVEY Vertical Mergers</w:t>
      </w:r>
    </w:p>
    <w:p w:rsidR="00D37579" w:rsidRPr="005C54E2" w:rsidRDefault="00D37579" w:rsidP="00565D2C">
      <w:pPr>
        <w:numPr>
          <w:ilvl w:val="0"/>
          <w:numId w:val="17"/>
        </w:numPr>
        <w:spacing w:after="0" w:line="240" w:lineRule="auto"/>
        <w:jc w:val="both"/>
        <w:rPr>
          <w:rFonts w:ascii="Times New Roman" w:hAnsi="Times New Roman" w:cs="Times New Roman"/>
          <w:sz w:val="24"/>
          <w:szCs w:val="24"/>
          <w:lang w:val="en-US"/>
        </w:rPr>
      </w:pPr>
      <w:r w:rsidRPr="005C54E2">
        <w:rPr>
          <w:rFonts w:ascii="Times New Roman" w:hAnsi="Times New Roman" w:cs="Times New Roman"/>
          <w:sz w:val="24"/>
          <w:szCs w:val="24"/>
          <w:lang w:val="en-US"/>
        </w:rPr>
        <w:t>UNCTAD- Questionnaire for the report on capacity building and technical assistance in competition and consumer policies</w:t>
      </w:r>
    </w:p>
    <w:p w:rsidR="00D37579" w:rsidRPr="00565D2C" w:rsidRDefault="00D37579" w:rsidP="00565D2C">
      <w:pPr>
        <w:numPr>
          <w:ilvl w:val="0"/>
          <w:numId w:val="1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UNCTAD- Minutas sobre la Segunda audioconferencia de UNCTAD sobre el Grupo de Trabajo de Cooperación Internacional</w:t>
      </w:r>
    </w:p>
    <w:p w:rsidR="00D37579" w:rsidRPr="00565D2C" w:rsidRDefault="00D37579" w:rsidP="00565D2C">
      <w:pPr>
        <w:numPr>
          <w:ilvl w:val="0"/>
          <w:numId w:val="1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GCR- Actualización del </w:t>
      </w:r>
      <w:r w:rsidR="00330CE1" w:rsidRPr="00565D2C">
        <w:rPr>
          <w:rFonts w:ascii="Times New Roman" w:hAnsi="Times New Roman" w:cs="Times New Roman"/>
          <w:sz w:val="24"/>
          <w:szCs w:val="24"/>
        </w:rPr>
        <w:t>Handbook of</w:t>
      </w:r>
      <w:r w:rsidRPr="00565D2C">
        <w:rPr>
          <w:rFonts w:ascii="Times New Roman" w:hAnsi="Times New Roman" w:cs="Times New Roman"/>
          <w:sz w:val="24"/>
          <w:szCs w:val="24"/>
        </w:rPr>
        <w:t xml:space="preserve"> Competition Enforcement Agencies.</w:t>
      </w:r>
    </w:p>
    <w:p w:rsidR="00D37579" w:rsidRPr="00565D2C" w:rsidRDefault="00D37579" w:rsidP="00565D2C">
      <w:pPr>
        <w:numPr>
          <w:ilvl w:val="0"/>
          <w:numId w:val="1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COFECE, México - Cuestionario sobre multas.</w:t>
      </w:r>
    </w:p>
    <w:p w:rsidR="00D37579" w:rsidRPr="00565D2C" w:rsidRDefault="00D37579" w:rsidP="00565D2C">
      <w:pPr>
        <w:numPr>
          <w:ilvl w:val="0"/>
          <w:numId w:val="1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SIC, Colombia- Contribución de información </w:t>
      </w:r>
      <w:r w:rsidR="00330CE1" w:rsidRPr="00565D2C">
        <w:rPr>
          <w:rFonts w:ascii="Times New Roman" w:hAnsi="Times New Roman" w:cs="Times New Roman"/>
          <w:sz w:val="24"/>
          <w:szCs w:val="24"/>
        </w:rPr>
        <w:t>sobre los</w:t>
      </w:r>
      <w:r w:rsidRPr="00565D2C">
        <w:rPr>
          <w:rFonts w:ascii="Times New Roman" w:hAnsi="Times New Roman" w:cs="Times New Roman"/>
          <w:sz w:val="24"/>
          <w:szCs w:val="24"/>
        </w:rPr>
        <w:t xml:space="preserve"> sectores de fertilizantes, semillas, pesticidas, fungicidas, insecticidas</w:t>
      </w:r>
    </w:p>
    <w:p w:rsidR="00D37579" w:rsidRPr="00565D2C" w:rsidRDefault="00D37579" w:rsidP="00565D2C">
      <w:pPr>
        <w:numPr>
          <w:ilvl w:val="0"/>
          <w:numId w:val="1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UNCTAD- Posición de El Salvador a la propuesta de “Toolkit” presentado por Autoridad Antimonopolio de Rusia y Contra propuesta de “Toolkit” presentada por la Comisión Federal de Competencia de México. (Ingles)</w:t>
      </w:r>
    </w:p>
    <w:p w:rsidR="00D37579" w:rsidRPr="00565D2C" w:rsidRDefault="00D37579" w:rsidP="00565D2C">
      <w:pPr>
        <w:numPr>
          <w:ilvl w:val="0"/>
          <w:numId w:val="1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Programa COMPAL - Casos destacados de prácticas anticompetitivas y caso de concentraciones económicas.</w:t>
      </w:r>
    </w:p>
    <w:p w:rsidR="00D37579" w:rsidRPr="00565D2C" w:rsidRDefault="00D37579" w:rsidP="00565D2C">
      <w:pPr>
        <w:numPr>
          <w:ilvl w:val="0"/>
          <w:numId w:val="1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Programa COMPAL – Formulario de EVALUACIÓN DEL DESEMPEÑO DE LAS AGENCIAS NACIONALES DE DEFENSA DE LA COMPETENCIA PARTICIPANTES EN EL PROGRAMA COMPAL EN TÉRMINOS DE IMPACTO EN LOS MERCADOS</w:t>
      </w:r>
    </w:p>
    <w:p w:rsidR="00D37579" w:rsidRPr="00565D2C" w:rsidRDefault="00D37579" w:rsidP="00565D2C">
      <w:pPr>
        <w:numPr>
          <w:ilvl w:val="0"/>
          <w:numId w:val="1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Programa COMPAL- Formulario de valoración de actividades del Programa COMPAL</w:t>
      </w:r>
    </w:p>
    <w:p w:rsidR="00D37579" w:rsidRPr="00565D2C" w:rsidRDefault="00D37579" w:rsidP="00565D2C">
      <w:pPr>
        <w:numPr>
          <w:ilvl w:val="0"/>
          <w:numId w:val="1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Programa COMPAL- Comentarios al informe de EVALUACIÓN DEL DESEMPEÑO DE LAS AGENCIAS NACIONALES DE DEFENSA DE LA COMPETENCIA PARTICIPANTES EN EL PROGRAMA COMPAL EN TÉRMINOS DE IMPACTO EN LOS MERCADOS</w:t>
      </w:r>
    </w:p>
    <w:p w:rsidR="00D37579" w:rsidRPr="00565D2C" w:rsidRDefault="00D37579" w:rsidP="00565D2C">
      <w:pPr>
        <w:numPr>
          <w:ilvl w:val="0"/>
          <w:numId w:val="1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Servicio Federal Antimonopolio- Comunicación a solicitud de “partnership” en el IGE sobre el Toolkit.</w:t>
      </w:r>
    </w:p>
    <w:p w:rsidR="00D37579" w:rsidRPr="00565D2C" w:rsidRDefault="00D37579" w:rsidP="00565D2C">
      <w:pPr>
        <w:pStyle w:val="Default"/>
        <w:ind w:left="720"/>
        <w:jc w:val="both"/>
        <w:rPr>
          <w:rFonts w:ascii="Times New Roman" w:hAnsi="Times New Roman" w:cs="Times New Roman"/>
          <w:color w:val="auto"/>
          <w:lang w:val="es-SV"/>
        </w:rPr>
      </w:pPr>
    </w:p>
    <w:p w:rsidR="008F5A6B" w:rsidRPr="00565D2C" w:rsidRDefault="00D37579" w:rsidP="0001555F">
      <w:pPr>
        <w:pStyle w:val="Default"/>
        <w:numPr>
          <w:ilvl w:val="0"/>
          <w:numId w:val="13"/>
        </w:numPr>
        <w:jc w:val="both"/>
        <w:rPr>
          <w:rFonts w:ascii="Times New Roman" w:hAnsi="Times New Roman" w:cs="Times New Roman"/>
        </w:rPr>
      </w:pPr>
      <w:r w:rsidRPr="00565D2C">
        <w:rPr>
          <w:rFonts w:ascii="Times New Roman" w:hAnsi="Times New Roman" w:cs="Times New Roman"/>
          <w:color w:val="auto"/>
          <w:lang w:val="es-SV"/>
        </w:rPr>
        <w:t>P</w:t>
      </w:r>
      <w:r w:rsidR="000531D2" w:rsidRPr="00565D2C">
        <w:rPr>
          <w:rFonts w:ascii="Times New Roman" w:hAnsi="Times New Roman" w:cs="Times New Roman"/>
          <w:color w:val="auto"/>
          <w:lang w:val="es-SV"/>
        </w:rPr>
        <w:t xml:space="preserve">articipación </w:t>
      </w:r>
      <w:r w:rsidR="002D538C" w:rsidRPr="00565D2C">
        <w:rPr>
          <w:rFonts w:ascii="Times New Roman" w:hAnsi="Times New Roman" w:cs="Times New Roman"/>
          <w:color w:val="auto"/>
          <w:lang w:val="es-SV"/>
        </w:rPr>
        <w:t xml:space="preserve">en </w:t>
      </w:r>
      <w:r w:rsidR="003810C0" w:rsidRPr="00565D2C">
        <w:rPr>
          <w:rFonts w:ascii="Times New Roman" w:hAnsi="Times New Roman" w:cs="Times New Roman"/>
          <w:color w:val="auto"/>
          <w:lang w:val="es-SV"/>
        </w:rPr>
        <w:t>7</w:t>
      </w:r>
      <w:r w:rsidR="002D538C" w:rsidRPr="00565D2C">
        <w:rPr>
          <w:rFonts w:ascii="Times New Roman" w:hAnsi="Times New Roman" w:cs="Times New Roman"/>
          <w:color w:val="auto"/>
          <w:lang w:val="es-SV"/>
        </w:rPr>
        <w:t xml:space="preserve"> eventos internacionales</w:t>
      </w:r>
      <w:r w:rsidR="003810C0" w:rsidRPr="00565D2C">
        <w:rPr>
          <w:rFonts w:ascii="Times New Roman" w:hAnsi="Times New Roman" w:cs="Times New Roman"/>
          <w:color w:val="auto"/>
          <w:lang w:val="es-SV"/>
        </w:rPr>
        <w:t>:</w:t>
      </w:r>
      <w:r w:rsidR="002D538C" w:rsidRPr="00565D2C">
        <w:rPr>
          <w:rFonts w:ascii="Times New Roman" w:hAnsi="Times New Roman" w:cs="Times New Roman"/>
          <w:color w:val="auto"/>
          <w:lang w:val="es-SV"/>
        </w:rPr>
        <w:t xml:space="preserve"> </w:t>
      </w:r>
      <w:r w:rsidR="000531D2" w:rsidRPr="00565D2C">
        <w:rPr>
          <w:rFonts w:ascii="Times New Roman" w:hAnsi="Times New Roman" w:cs="Times New Roman"/>
          <w:color w:val="auto"/>
          <w:lang w:val="es-SV"/>
        </w:rPr>
        <w:t xml:space="preserve">en </w:t>
      </w:r>
      <w:r w:rsidR="00CB098E" w:rsidRPr="00565D2C">
        <w:rPr>
          <w:rFonts w:ascii="Times New Roman" w:hAnsi="Times New Roman" w:cs="Times New Roman"/>
          <w:color w:val="auto"/>
          <w:lang w:val="es-SV"/>
        </w:rPr>
        <w:t>el curso de promoción de microempresas en la India</w:t>
      </w:r>
      <w:r w:rsidR="003810C0" w:rsidRPr="00565D2C">
        <w:rPr>
          <w:rFonts w:ascii="Times New Roman" w:hAnsi="Times New Roman" w:cs="Times New Roman"/>
          <w:color w:val="auto"/>
          <w:lang w:val="es-SV"/>
        </w:rPr>
        <w:t xml:space="preserve"> (1)</w:t>
      </w:r>
      <w:r w:rsidR="002D538C" w:rsidRPr="00565D2C">
        <w:rPr>
          <w:rFonts w:ascii="Times New Roman" w:hAnsi="Times New Roman" w:cs="Times New Roman"/>
          <w:color w:val="auto"/>
          <w:lang w:val="es-SV"/>
        </w:rPr>
        <w:t>, en el taller para economistas jefes ICN/OCDE/KPC</w:t>
      </w:r>
      <w:r w:rsidR="003810C0" w:rsidRPr="00565D2C">
        <w:rPr>
          <w:rFonts w:ascii="Times New Roman" w:hAnsi="Times New Roman" w:cs="Times New Roman"/>
          <w:color w:val="auto"/>
          <w:lang w:val="es-SV"/>
        </w:rPr>
        <w:t xml:space="preserve"> (2)</w:t>
      </w:r>
      <w:r w:rsidR="002D538C" w:rsidRPr="00565D2C">
        <w:rPr>
          <w:rFonts w:ascii="Times New Roman" w:hAnsi="Times New Roman" w:cs="Times New Roman"/>
          <w:color w:val="auto"/>
          <w:lang w:val="es-SV"/>
        </w:rPr>
        <w:t>, una visita técnica a la Comisión Nacional de Defensa de la Competencia de la República Dominicana</w:t>
      </w:r>
      <w:r w:rsidR="003810C0" w:rsidRPr="00565D2C">
        <w:rPr>
          <w:rFonts w:ascii="Times New Roman" w:hAnsi="Times New Roman" w:cs="Times New Roman"/>
          <w:color w:val="auto"/>
          <w:lang w:val="es-SV"/>
        </w:rPr>
        <w:t xml:space="preserve"> (3)</w:t>
      </w:r>
      <w:r w:rsidR="002D538C" w:rsidRPr="00565D2C">
        <w:rPr>
          <w:rFonts w:ascii="Times New Roman" w:hAnsi="Times New Roman" w:cs="Times New Roman"/>
          <w:color w:val="auto"/>
          <w:lang w:val="es-SV"/>
        </w:rPr>
        <w:t xml:space="preserve"> y participación en la IV conferencia anual del programa COMPAL III en Santo Domingo</w:t>
      </w:r>
      <w:r w:rsidR="003810C0" w:rsidRPr="00565D2C">
        <w:rPr>
          <w:rFonts w:ascii="Times New Roman" w:hAnsi="Times New Roman" w:cs="Times New Roman"/>
          <w:color w:val="auto"/>
          <w:lang w:val="es-SV"/>
        </w:rPr>
        <w:t xml:space="preserve"> (4)</w:t>
      </w:r>
      <w:r w:rsidR="002D538C" w:rsidRPr="00565D2C">
        <w:rPr>
          <w:rFonts w:ascii="Times New Roman" w:hAnsi="Times New Roman" w:cs="Times New Roman"/>
          <w:color w:val="auto"/>
          <w:lang w:val="es-SV"/>
        </w:rPr>
        <w:t>, participación en la XII sesión del grupo intergubernamental de expertos en Derecho y Política de Competencia</w:t>
      </w:r>
      <w:r w:rsidR="003810C0" w:rsidRPr="00565D2C">
        <w:rPr>
          <w:rFonts w:ascii="Times New Roman" w:hAnsi="Times New Roman" w:cs="Times New Roman"/>
          <w:color w:val="auto"/>
          <w:lang w:val="es-SV"/>
        </w:rPr>
        <w:t xml:space="preserve"> (5)</w:t>
      </w:r>
      <w:r w:rsidR="002D538C" w:rsidRPr="00565D2C">
        <w:rPr>
          <w:rFonts w:ascii="Times New Roman" w:hAnsi="Times New Roman" w:cs="Times New Roman"/>
          <w:color w:val="auto"/>
          <w:lang w:val="es-SV"/>
        </w:rPr>
        <w:t>, pasantía en la autoridad investigadora de la COFECE</w:t>
      </w:r>
      <w:r w:rsidR="003810C0" w:rsidRPr="00565D2C">
        <w:rPr>
          <w:rFonts w:ascii="Times New Roman" w:hAnsi="Times New Roman" w:cs="Times New Roman"/>
          <w:color w:val="auto"/>
          <w:lang w:val="es-SV"/>
        </w:rPr>
        <w:t xml:space="preserve"> (6)</w:t>
      </w:r>
      <w:r w:rsidR="002D538C" w:rsidRPr="00565D2C">
        <w:rPr>
          <w:rFonts w:ascii="Times New Roman" w:hAnsi="Times New Roman" w:cs="Times New Roman"/>
          <w:color w:val="auto"/>
          <w:lang w:val="es-SV"/>
        </w:rPr>
        <w:t>, taller de cárteles de la RED Internacional de Competencia y participación en taller de conducta unilateral</w:t>
      </w:r>
      <w:r w:rsidR="003810C0" w:rsidRPr="00565D2C">
        <w:rPr>
          <w:rFonts w:ascii="Times New Roman" w:hAnsi="Times New Roman" w:cs="Times New Roman"/>
          <w:color w:val="auto"/>
          <w:lang w:val="es-SV"/>
        </w:rPr>
        <w:t xml:space="preserve"> (7)</w:t>
      </w:r>
      <w:r w:rsidR="002D538C" w:rsidRPr="00565D2C">
        <w:rPr>
          <w:rFonts w:ascii="Times New Roman" w:hAnsi="Times New Roman" w:cs="Times New Roman"/>
          <w:color w:val="auto"/>
          <w:lang w:val="es-SV"/>
        </w:rPr>
        <w:t>.</w:t>
      </w:r>
    </w:p>
    <w:p w:rsidR="00565D2C" w:rsidRPr="00565D2C" w:rsidRDefault="00565D2C" w:rsidP="00565D2C">
      <w:pPr>
        <w:pStyle w:val="Default"/>
        <w:ind w:left="720"/>
        <w:jc w:val="both"/>
        <w:rPr>
          <w:rFonts w:ascii="Times New Roman" w:hAnsi="Times New Roman" w:cs="Times New Roman"/>
        </w:rPr>
      </w:pPr>
    </w:p>
    <w:p w:rsidR="008F5A6B" w:rsidRPr="00565D2C" w:rsidRDefault="008F5A6B" w:rsidP="0001555F">
      <w:pPr>
        <w:pStyle w:val="Default"/>
        <w:numPr>
          <w:ilvl w:val="0"/>
          <w:numId w:val="13"/>
        </w:numPr>
        <w:jc w:val="both"/>
        <w:rPr>
          <w:rFonts w:ascii="Times New Roman" w:hAnsi="Times New Roman" w:cs="Times New Roman"/>
        </w:rPr>
      </w:pPr>
      <w:r w:rsidRPr="00565D2C">
        <w:rPr>
          <w:rFonts w:ascii="Times New Roman" w:hAnsi="Times New Roman" w:cs="Times New Roman"/>
          <w:color w:val="auto"/>
          <w:lang w:val="es-SV"/>
        </w:rPr>
        <w:t xml:space="preserve">Se participó en </w:t>
      </w:r>
      <w:r w:rsidR="00E4492A" w:rsidRPr="00565D2C">
        <w:rPr>
          <w:rFonts w:ascii="Times New Roman" w:hAnsi="Times New Roman" w:cs="Times New Roman"/>
          <w:color w:val="auto"/>
          <w:lang w:val="es-SV"/>
        </w:rPr>
        <w:t>46</w:t>
      </w:r>
      <w:r w:rsidRPr="00565D2C">
        <w:rPr>
          <w:rFonts w:ascii="Times New Roman" w:hAnsi="Times New Roman" w:cs="Times New Roman"/>
          <w:color w:val="auto"/>
          <w:lang w:val="es-SV"/>
        </w:rPr>
        <w:t xml:space="preserve"> reuniones del </w:t>
      </w:r>
      <w:r w:rsidR="0071472B" w:rsidRPr="00565D2C">
        <w:rPr>
          <w:rFonts w:ascii="Times New Roman" w:hAnsi="Times New Roman" w:cs="Times New Roman"/>
          <w:color w:val="auto"/>
          <w:lang w:val="es-SV"/>
        </w:rPr>
        <w:t>Sistema Nacional de Protección al Consumidor (</w:t>
      </w:r>
      <w:r w:rsidRPr="00565D2C">
        <w:rPr>
          <w:rFonts w:ascii="Times New Roman" w:hAnsi="Times New Roman" w:cs="Times New Roman"/>
          <w:color w:val="auto"/>
          <w:lang w:val="es-SV"/>
        </w:rPr>
        <w:t>SNPC</w:t>
      </w:r>
      <w:r w:rsidR="0071472B" w:rsidRPr="00565D2C">
        <w:rPr>
          <w:rFonts w:ascii="Times New Roman" w:hAnsi="Times New Roman" w:cs="Times New Roman"/>
          <w:color w:val="auto"/>
          <w:lang w:val="es-SV"/>
        </w:rPr>
        <w:t>)</w:t>
      </w:r>
      <w:r w:rsidRPr="00565D2C">
        <w:rPr>
          <w:rFonts w:ascii="Times New Roman" w:hAnsi="Times New Roman" w:cs="Times New Roman"/>
          <w:color w:val="auto"/>
          <w:lang w:val="es-SV"/>
        </w:rPr>
        <w:t xml:space="preserve"> para </w:t>
      </w:r>
      <w:r w:rsidR="002A250A" w:rsidRPr="00565D2C">
        <w:rPr>
          <w:rFonts w:ascii="Times New Roman" w:hAnsi="Times New Roman" w:cs="Times New Roman"/>
          <w:color w:val="auto"/>
          <w:lang w:val="es-SV"/>
        </w:rPr>
        <w:t xml:space="preserve">analizar aspectos </w:t>
      </w:r>
      <w:r w:rsidRPr="00565D2C">
        <w:rPr>
          <w:rFonts w:ascii="Times New Roman" w:hAnsi="Times New Roman" w:cs="Times New Roman"/>
          <w:color w:val="auto"/>
          <w:lang w:val="es-SV"/>
        </w:rPr>
        <w:t xml:space="preserve">relacionados </w:t>
      </w:r>
      <w:r w:rsidR="002A250A" w:rsidRPr="00565D2C">
        <w:rPr>
          <w:rFonts w:ascii="Times New Roman" w:hAnsi="Times New Roman" w:cs="Times New Roman"/>
          <w:color w:val="auto"/>
          <w:lang w:val="es-SV"/>
        </w:rPr>
        <w:t>con</w:t>
      </w:r>
      <w:r w:rsidRPr="00565D2C">
        <w:rPr>
          <w:rFonts w:ascii="Times New Roman" w:hAnsi="Times New Roman" w:cs="Times New Roman"/>
          <w:color w:val="auto"/>
          <w:lang w:val="es-SV"/>
        </w:rPr>
        <w:t xml:space="preserve"> temas de alimentos, salud y medicamentos, telecomunicaciones y energía, servicios financieros, entre otros.</w:t>
      </w:r>
    </w:p>
    <w:p w:rsidR="00565D2C" w:rsidRDefault="00565D2C" w:rsidP="00565D2C">
      <w:pPr>
        <w:pStyle w:val="Prrafodelista"/>
        <w:rPr>
          <w:rFonts w:ascii="Times New Roman" w:hAnsi="Times New Roman" w:cs="Times New Roman"/>
        </w:rPr>
      </w:pPr>
    </w:p>
    <w:p w:rsidR="008F5A6B" w:rsidRPr="00565D2C" w:rsidRDefault="008F5A6B" w:rsidP="00565D2C">
      <w:pPr>
        <w:pStyle w:val="Default"/>
        <w:numPr>
          <w:ilvl w:val="0"/>
          <w:numId w:val="13"/>
        </w:numPr>
        <w:jc w:val="both"/>
        <w:rPr>
          <w:rFonts w:ascii="Times New Roman" w:hAnsi="Times New Roman" w:cs="Times New Roman"/>
          <w:color w:val="auto"/>
          <w:lang w:val="es-SV"/>
        </w:rPr>
      </w:pPr>
      <w:r w:rsidRPr="00565D2C">
        <w:rPr>
          <w:rFonts w:ascii="Times New Roman" w:hAnsi="Times New Roman" w:cs="Times New Roman"/>
          <w:color w:val="auto"/>
          <w:lang w:val="es-SV"/>
        </w:rPr>
        <w:t>Se presentó al Comité Sectorial de Telecomunicaciones y Energía del SNPC</w:t>
      </w:r>
      <w:r w:rsidR="000B1F43" w:rsidRPr="00565D2C">
        <w:rPr>
          <w:rFonts w:ascii="Times New Roman" w:hAnsi="Times New Roman" w:cs="Times New Roman"/>
          <w:color w:val="auto"/>
          <w:lang w:val="es-SV"/>
        </w:rPr>
        <w:t xml:space="preserve"> </w:t>
      </w:r>
      <w:r w:rsidRPr="00565D2C">
        <w:rPr>
          <w:rFonts w:ascii="Times New Roman" w:hAnsi="Times New Roman" w:cs="Times New Roman"/>
          <w:color w:val="auto"/>
          <w:lang w:val="es-SV"/>
        </w:rPr>
        <w:t xml:space="preserve">el estudio sobre </w:t>
      </w:r>
      <w:r w:rsidR="000B1F43" w:rsidRPr="00565D2C">
        <w:rPr>
          <w:rFonts w:ascii="Times New Roman" w:hAnsi="Times New Roman" w:cs="Times New Roman"/>
          <w:color w:val="auto"/>
          <w:lang w:val="es-SV"/>
        </w:rPr>
        <w:t>“C</w:t>
      </w:r>
      <w:r w:rsidRPr="00565D2C">
        <w:rPr>
          <w:rFonts w:ascii="Times New Roman" w:hAnsi="Times New Roman" w:cs="Times New Roman"/>
          <w:color w:val="auto"/>
          <w:lang w:val="es-SV"/>
        </w:rPr>
        <w:t>ondiciones de competencia y recomendaciones de política pública en la distribución y comercialización de energía eléctrica en El Salvador</w:t>
      </w:r>
      <w:r w:rsidR="000B1F43" w:rsidRPr="00565D2C">
        <w:rPr>
          <w:rFonts w:ascii="Times New Roman" w:hAnsi="Times New Roman" w:cs="Times New Roman"/>
          <w:color w:val="auto"/>
          <w:lang w:val="es-SV"/>
        </w:rPr>
        <w:t>”</w:t>
      </w:r>
      <w:r w:rsidRPr="00565D2C">
        <w:rPr>
          <w:rFonts w:ascii="Times New Roman" w:hAnsi="Times New Roman" w:cs="Times New Roman"/>
          <w:color w:val="auto"/>
          <w:lang w:val="es-SV"/>
        </w:rPr>
        <w:t xml:space="preserve"> </w:t>
      </w:r>
      <w:r w:rsidR="000B1F43" w:rsidRPr="00565D2C">
        <w:rPr>
          <w:rFonts w:ascii="Times New Roman" w:hAnsi="Times New Roman" w:cs="Times New Roman"/>
          <w:color w:val="auto"/>
          <w:lang w:val="es-SV"/>
        </w:rPr>
        <w:t xml:space="preserve">y el estudio sobre competencia del sector de TV abierta en El Salvador, </w:t>
      </w:r>
      <w:r w:rsidRPr="00565D2C">
        <w:rPr>
          <w:rFonts w:ascii="Times New Roman" w:hAnsi="Times New Roman" w:cs="Times New Roman"/>
          <w:color w:val="auto"/>
          <w:lang w:val="es-SV"/>
        </w:rPr>
        <w:t>con el fin de que se analice y determine su importancia y que las entidades involucradas adopten las recomendaciones emitidas</w:t>
      </w:r>
      <w:r w:rsidR="002A250A" w:rsidRPr="00565D2C">
        <w:rPr>
          <w:rFonts w:ascii="Times New Roman" w:hAnsi="Times New Roman" w:cs="Times New Roman"/>
          <w:color w:val="auto"/>
          <w:lang w:val="es-SV"/>
        </w:rPr>
        <w:t xml:space="preserve"> por la SC</w:t>
      </w:r>
      <w:r w:rsidR="000B1F43" w:rsidRPr="00565D2C">
        <w:rPr>
          <w:rFonts w:ascii="Times New Roman" w:hAnsi="Times New Roman" w:cs="Times New Roman"/>
          <w:color w:val="auto"/>
          <w:lang w:val="es-SV"/>
        </w:rPr>
        <w:t>; al comité sectorial de alimentos y al comité ejecutivo del SNPC el estudio sobre “Caracterización de la agroindustria de frijol rojo y sus condiciones de competencia en El Salvador”, al sector de servicios financieros se le presento el estudio sobre “Caracterización del mercado de prestación de servicios financieros a las MYPE”.</w:t>
      </w:r>
    </w:p>
    <w:p w:rsidR="00E426A3" w:rsidRPr="00565D2C" w:rsidRDefault="00E426A3" w:rsidP="00565D2C">
      <w:pPr>
        <w:pStyle w:val="Prrafodelista"/>
        <w:jc w:val="both"/>
        <w:rPr>
          <w:rFonts w:ascii="Times New Roman" w:hAnsi="Times New Roman" w:cs="Times New Roman"/>
          <w:sz w:val="24"/>
          <w:szCs w:val="24"/>
        </w:rPr>
      </w:pPr>
    </w:p>
    <w:p w:rsidR="00E426A3" w:rsidRPr="00565D2C" w:rsidRDefault="00E426A3" w:rsidP="00565D2C">
      <w:pPr>
        <w:pStyle w:val="Default"/>
        <w:numPr>
          <w:ilvl w:val="0"/>
          <w:numId w:val="13"/>
        </w:numPr>
        <w:jc w:val="both"/>
        <w:rPr>
          <w:rFonts w:ascii="Times New Roman" w:hAnsi="Times New Roman" w:cs="Times New Roman"/>
          <w:color w:val="auto"/>
          <w:lang w:val="es-SV"/>
        </w:rPr>
      </w:pPr>
      <w:r w:rsidRPr="00565D2C">
        <w:rPr>
          <w:rFonts w:ascii="Times New Roman" w:hAnsi="Times New Roman" w:cs="Times New Roman"/>
          <w:color w:val="auto"/>
          <w:lang w:val="es-SV"/>
        </w:rPr>
        <w:t xml:space="preserve"> </w:t>
      </w:r>
      <w:r w:rsidR="00683B06" w:rsidRPr="00565D2C">
        <w:rPr>
          <w:rFonts w:ascii="Times New Roman" w:hAnsi="Times New Roman" w:cs="Times New Roman"/>
          <w:color w:val="auto"/>
          <w:lang w:val="es-SV"/>
        </w:rPr>
        <w:t>Informe sobre auditorias de competencia en instituciones públicas. El informe contiene el análisis de la SC sobre las variaciones implementadas por el ISSS a los instrumentos de contratación, posterior a 2015, y que se encuentran vinculadas con las recomendaciones emitidas por la SC en los diferentes apartados del informe de resultados del proyecto “Profundización de la aplicación de los principios de competencia en las licitaciones públicas”.</w:t>
      </w:r>
    </w:p>
    <w:p w:rsidR="00683B06" w:rsidRPr="00565D2C" w:rsidRDefault="00683B06" w:rsidP="00565D2C">
      <w:pPr>
        <w:pStyle w:val="Prrafodelista"/>
        <w:jc w:val="both"/>
        <w:rPr>
          <w:rFonts w:ascii="Times New Roman" w:hAnsi="Times New Roman" w:cs="Times New Roman"/>
          <w:sz w:val="24"/>
          <w:szCs w:val="24"/>
        </w:rPr>
      </w:pPr>
    </w:p>
    <w:p w:rsidR="00683B06" w:rsidRPr="00565D2C" w:rsidRDefault="00683B06" w:rsidP="00565D2C">
      <w:pPr>
        <w:pStyle w:val="Default"/>
        <w:numPr>
          <w:ilvl w:val="0"/>
          <w:numId w:val="13"/>
        </w:numPr>
        <w:jc w:val="both"/>
        <w:rPr>
          <w:rFonts w:ascii="Times New Roman" w:hAnsi="Times New Roman" w:cs="Times New Roman"/>
          <w:color w:val="auto"/>
          <w:lang w:val="es-SV"/>
        </w:rPr>
      </w:pPr>
      <w:r w:rsidRPr="00565D2C">
        <w:rPr>
          <w:rFonts w:ascii="Times New Roman" w:hAnsi="Times New Roman" w:cs="Times New Roman"/>
          <w:color w:val="auto"/>
          <w:lang w:val="es-SV"/>
        </w:rPr>
        <w:t xml:space="preserve"> Se elaboraron 2 documentos didácticos: </w:t>
      </w:r>
      <w:r w:rsidR="001A024E" w:rsidRPr="00565D2C">
        <w:rPr>
          <w:rFonts w:ascii="Times New Roman" w:hAnsi="Times New Roman" w:cs="Times New Roman"/>
          <w:color w:val="auto"/>
          <w:lang w:val="es-SV"/>
        </w:rPr>
        <w:t>un dossier para empresa privada y fichas de estudios sectoriales.</w:t>
      </w:r>
    </w:p>
    <w:p w:rsidR="00E426A3" w:rsidRPr="00565D2C" w:rsidRDefault="00E426A3" w:rsidP="00565D2C">
      <w:pPr>
        <w:pStyle w:val="Prrafodelista"/>
        <w:jc w:val="both"/>
        <w:rPr>
          <w:rFonts w:ascii="Times New Roman" w:hAnsi="Times New Roman" w:cs="Times New Roman"/>
          <w:sz w:val="24"/>
          <w:szCs w:val="24"/>
        </w:rPr>
      </w:pPr>
    </w:p>
    <w:p w:rsidR="00E426A3" w:rsidRPr="00565D2C" w:rsidRDefault="00E426A3" w:rsidP="00565D2C">
      <w:pPr>
        <w:pStyle w:val="Default"/>
        <w:numPr>
          <w:ilvl w:val="0"/>
          <w:numId w:val="13"/>
        </w:numPr>
        <w:jc w:val="both"/>
        <w:rPr>
          <w:rFonts w:ascii="Times New Roman" w:hAnsi="Times New Roman" w:cs="Times New Roman"/>
          <w:color w:val="auto"/>
          <w:lang w:val="es-SV"/>
        </w:rPr>
      </w:pPr>
      <w:r w:rsidRPr="00565D2C">
        <w:rPr>
          <w:rFonts w:ascii="Times New Roman" w:hAnsi="Times New Roman" w:cs="Times New Roman"/>
          <w:color w:val="auto"/>
          <w:lang w:val="es-SV"/>
        </w:rPr>
        <w:t xml:space="preserve"> </w:t>
      </w:r>
      <w:r w:rsidR="00654719" w:rsidRPr="00565D2C">
        <w:rPr>
          <w:rFonts w:ascii="Times New Roman" w:hAnsi="Times New Roman" w:cs="Times New Roman"/>
          <w:color w:val="auto"/>
          <w:lang w:val="es-SV"/>
        </w:rPr>
        <w:t xml:space="preserve">Se realizaron </w:t>
      </w:r>
      <w:r w:rsidR="00683B06" w:rsidRPr="00565D2C">
        <w:rPr>
          <w:rFonts w:ascii="Times New Roman" w:hAnsi="Times New Roman" w:cs="Times New Roman"/>
          <w:color w:val="auto"/>
          <w:lang w:val="es-SV"/>
        </w:rPr>
        <w:t>28</w:t>
      </w:r>
      <w:r w:rsidR="00654719" w:rsidRPr="00565D2C">
        <w:rPr>
          <w:rFonts w:ascii="Times New Roman" w:hAnsi="Times New Roman" w:cs="Times New Roman"/>
          <w:color w:val="auto"/>
          <w:lang w:val="es-SV"/>
        </w:rPr>
        <w:t xml:space="preserve"> eventos en los cuales se hicieron presentaciones o la obra de títeres a escuelas y colegios; y capacitaciones a MYPE, CCR, colegio de químicos y farmacéuticos y a abogados.</w:t>
      </w:r>
    </w:p>
    <w:p w:rsidR="00E426A3" w:rsidRPr="00565D2C" w:rsidRDefault="00E426A3" w:rsidP="00565D2C">
      <w:pPr>
        <w:pStyle w:val="Prrafodelista"/>
        <w:jc w:val="both"/>
        <w:rPr>
          <w:rFonts w:ascii="Times New Roman" w:hAnsi="Times New Roman" w:cs="Times New Roman"/>
          <w:sz w:val="24"/>
          <w:szCs w:val="24"/>
        </w:rPr>
      </w:pPr>
    </w:p>
    <w:p w:rsidR="00E426A3" w:rsidRPr="00565D2C" w:rsidRDefault="002A1BFA" w:rsidP="00565D2C">
      <w:pPr>
        <w:pStyle w:val="Default"/>
        <w:numPr>
          <w:ilvl w:val="0"/>
          <w:numId w:val="13"/>
        </w:numPr>
        <w:jc w:val="both"/>
        <w:rPr>
          <w:rFonts w:ascii="Times New Roman" w:hAnsi="Times New Roman" w:cs="Times New Roman"/>
          <w:color w:val="auto"/>
          <w:lang w:val="es-SV"/>
        </w:rPr>
      </w:pPr>
      <w:r w:rsidRPr="00565D2C">
        <w:rPr>
          <w:rFonts w:ascii="Times New Roman" w:hAnsi="Times New Roman" w:cs="Times New Roman"/>
          <w:color w:val="auto"/>
          <w:lang w:val="es-SV"/>
        </w:rPr>
        <w:t xml:space="preserve"> Se atendieron </w:t>
      </w:r>
      <w:r w:rsidR="001A024E" w:rsidRPr="00565D2C">
        <w:rPr>
          <w:rFonts w:ascii="Times New Roman" w:hAnsi="Times New Roman" w:cs="Times New Roman"/>
          <w:color w:val="auto"/>
          <w:lang w:val="es-SV"/>
        </w:rPr>
        <w:t>26</w:t>
      </w:r>
      <w:r w:rsidRPr="00565D2C">
        <w:rPr>
          <w:rFonts w:ascii="Times New Roman" w:hAnsi="Times New Roman" w:cs="Times New Roman"/>
          <w:color w:val="auto"/>
          <w:lang w:val="es-SV"/>
        </w:rPr>
        <w:t xml:space="preserve"> consultas recibidas sobre competencia desleal, concentraciones, Ley de Competencia, administración SC y prácticas anticompetitivas, entre otros.</w:t>
      </w:r>
    </w:p>
    <w:p w:rsidR="001A024E" w:rsidRPr="00565D2C" w:rsidRDefault="001A024E" w:rsidP="00565D2C">
      <w:pPr>
        <w:pStyle w:val="Prrafodelista"/>
        <w:jc w:val="both"/>
        <w:rPr>
          <w:rFonts w:ascii="Times New Roman" w:hAnsi="Times New Roman" w:cs="Times New Roman"/>
          <w:sz w:val="24"/>
          <w:szCs w:val="24"/>
        </w:rPr>
      </w:pPr>
    </w:p>
    <w:p w:rsidR="001A024E" w:rsidRPr="00565D2C" w:rsidRDefault="001A024E" w:rsidP="00565D2C">
      <w:pPr>
        <w:pStyle w:val="Default"/>
        <w:numPr>
          <w:ilvl w:val="0"/>
          <w:numId w:val="13"/>
        </w:numPr>
        <w:jc w:val="both"/>
        <w:rPr>
          <w:rFonts w:ascii="Times New Roman" w:hAnsi="Times New Roman" w:cs="Times New Roman"/>
          <w:color w:val="auto"/>
          <w:lang w:val="es-SV"/>
        </w:rPr>
      </w:pPr>
      <w:r w:rsidRPr="00565D2C">
        <w:rPr>
          <w:rFonts w:ascii="Times New Roman" w:hAnsi="Times New Roman" w:cs="Times New Roman"/>
          <w:color w:val="auto"/>
          <w:lang w:val="es-SV"/>
        </w:rPr>
        <w:t>Documento con memoria de labores 2017.</w:t>
      </w:r>
    </w:p>
    <w:p w:rsidR="001A024E" w:rsidRPr="00565D2C" w:rsidRDefault="001A024E" w:rsidP="00565D2C">
      <w:pPr>
        <w:pStyle w:val="Prrafodelista"/>
        <w:jc w:val="both"/>
        <w:rPr>
          <w:rFonts w:ascii="Times New Roman" w:hAnsi="Times New Roman" w:cs="Times New Roman"/>
          <w:sz w:val="24"/>
          <w:szCs w:val="24"/>
        </w:rPr>
      </w:pPr>
    </w:p>
    <w:p w:rsidR="001A024E" w:rsidRPr="00565D2C" w:rsidRDefault="001A024E" w:rsidP="00565D2C">
      <w:pPr>
        <w:pStyle w:val="Default"/>
        <w:numPr>
          <w:ilvl w:val="0"/>
          <w:numId w:val="13"/>
        </w:numPr>
        <w:jc w:val="both"/>
        <w:rPr>
          <w:rFonts w:ascii="Times New Roman" w:hAnsi="Times New Roman" w:cs="Times New Roman"/>
          <w:color w:val="auto"/>
          <w:lang w:val="es-SV"/>
        </w:rPr>
      </w:pPr>
      <w:r w:rsidRPr="00565D2C">
        <w:rPr>
          <w:rFonts w:ascii="Times New Roman" w:hAnsi="Times New Roman" w:cs="Times New Roman"/>
          <w:color w:val="auto"/>
          <w:lang w:val="es-SV"/>
        </w:rPr>
        <w:t xml:space="preserve"> 2 documentos técnicos: Manual de estudios 2018 y Reporte de recomendaciones de opinión.</w:t>
      </w:r>
    </w:p>
    <w:p w:rsidR="001A024E" w:rsidRPr="00565D2C" w:rsidRDefault="001A024E" w:rsidP="00565D2C">
      <w:pPr>
        <w:pStyle w:val="Prrafodelista"/>
        <w:jc w:val="both"/>
        <w:rPr>
          <w:rFonts w:ascii="Times New Roman" w:hAnsi="Times New Roman" w:cs="Times New Roman"/>
          <w:sz w:val="24"/>
          <w:szCs w:val="24"/>
        </w:rPr>
      </w:pPr>
    </w:p>
    <w:p w:rsidR="001A024E" w:rsidRPr="00565D2C" w:rsidRDefault="001A024E" w:rsidP="00565D2C">
      <w:pPr>
        <w:pStyle w:val="Default"/>
        <w:numPr>
          <w:ilvl w:val="0"/>
          <w:numId w:val="13"/>
        </w:numPr>
        <w:jc w:val="both"/>
        <w:rPr>
          <w:rFonts w:ascii="Times New Roman" w:hAnsi="Times New Roman" w:cs="Times New Roman"/>
          <w:color w:val="auto"/>
          <w:lang w:val="es-SV"/>
        </w:rPr>
      </w:pPr>
      <w:r w:rsidRPr="00565D2C">
        <w:rPr>
          <w:rFonts w:ascii="Times New Roman" w:hAnsi="Times New Roman" w:cs="Times New Roman"/>
          <w:color w:val="auto"/>
          <w:lang w:val="es-SV"/>
        </w:rPr>
        <w:t xml:space="preserve"> 21 títulos nuevos en el CENDOC.</w:t>
      </w:r>
    </w:p>
    <w:p w:rsidR="002A1BFA" w:rsidRPr="00565D2C" w:rsidRDefault="002A1BFA" w:rsidP="00565D2C">
      <w:pPr>
        <w:pStyle w:val="Prrafodelista"/>
        <w:jc w:val="both"/>
        <w:rPr>
          <w:rFonts w:ascii="Times New Roman" w:hAnsi="Times New Roman" w:cs="Times New Roman"/>
          <w:sz w:val="24"/>
          <w:szCs w:val="24"/>
        </w:rPr>
      </w:pPr>
    </w:p>
    <w:p w:rsidR="002A1BFA" w:rsidRPr="00565D2C" w:rsidRDefault="002A1BFA" w:rsidP="00565D2C">
      <w:pPr>
        <w:pStyle w:val="Default"/>
        <w:numPr>
          <w:ilvl w:val="0"/>
          <w:numId w:val="13"/>
        </w:numPr>
        <w:jc w:val="both"/>
        <w:rPr>
          <w:rFonts w:ascii="Times New Roman" w:hAnsi="Times New Roman" w:cs="Times New Roman"/>
          <w:color w:val="auto"/>
          <w:lang w:val="es-SV"/>
        </w:rPr>
      </w:pPr>
      <w:r w:rsidRPr="00565D2C">
        <w:rPr>
          <w:rFonts w:ascii="Times New Roman" w:hAnsi="Times New Roman" w:cs="Times New Roman"/>
          <w:color w:val="auto"/>
          <w:lang w:val="es-SV"/>
        </w:rPr>
        <w:t xml:space="preserve"> </w:t>
      </w:r>
      <w:r w:rsidR="00E77971" w:rsidRPr="00565D2C">
        <w:rPr>
          <w:rFonts w:ascii="Times New Roman" w:hAnsi="Times New Roman" w:cs="Times New Roman"/>
          <w:color w:val="auto"/>
          <w:lang w:val="es-SV"/>
        </w:rPr>
        <w:t xml:space="preserve">66 </w:t>
      </w:r>
      <w:r w:rsidRPr="00565D2C">
        <w:rPr>
          <w:rFonts w:ascii="Times New Roman" w:hAnsi="Times New Roman" w:cs="Times New Roman"/>
          <w:color w:val="auto"/>
          <w:lang w:val="es-SV"/>
        </w:rPr>
        <w:t>personas consultaron el Centro de Documentación de la SC (4</w:t>
      </w:r>
      <w:r w:rsidR="00E77971" w:rsidRPr="00565D2C">
        <w:rPr>
          <w:rFonts w:ascii="Times New Roman" w:hAnsi="Times New Roman" w:cs="Times New Roman"/>
          <w:color w:val="auto"/>
          <w:lang w:val="es-SV"/>
        </w:rPr>
        <w:t>2 mujeres y 24</w:t>
      </w:r>
      <w:r w:rsidRPr="00565D2C">
        <w:rPr>
          <w:rFonts w:ascii="Times New Roman" w:hAnsi="Times New Roman" w:cs="Times New Roman"/>
          <w:color w:val="auto"/>
          <w:lang w:val="es-SV"/>
        </w:rPr>
        <w:t xml:space="preserve"> hombres).</w:t>
      </w:r>
    </w:p>
    <w:p w:rsidR="00AD3A31" w:rsidRPr="00565D2C" w:rsidRDefault="00AD3A31" w:rsidP="00565D2C">
      <w:pPr>
        <w:pStyle w:val="Prrafodelista"/>
        <w:jc w:val="both"/>
        <w:rPr>
          <w:rFonts w:ascii="Times New Roman" w:hAnsi="Times New Roman" w:cs="Times New Roman"/>
          <w:sz w:val="24"/>
          <w:szCs w:val="24"/>
        </w:rPr>
      </w:pPr>
    </w:p>
    <w:p w:rsidR="00AD3A31" w:rsidRPr="00565D2C" w:rsidRDefault="00AD3A31" w:rsidP="00565D2C">
      <w:pPr>
        <w:pStyle w:val="Default"/>
        <w:numPr>
          <w:ilvl w:val="0"/>
          <w:numId w:val="13"/>
        </w:numPr>
        <w:jc w:val="both"/>
        <w:rPr>
          <w:rFonts w:ascii="Times New Roman" w:hAnsi="Times New Roman" w:cs="Times New Roman"/>
          <w:color w:val="auto"/>
          <w:lang w:val="es-SV"/>
        </w:rPr>
      </w:pPr>
      <w:r w:rsidRPr="00565D2C">
        <w:rPr>
          <w:rFonts w:ascii="Times New Roman" w:hAnsi="Times New Roman" w:cs="Times New Roman"/>
          <w:color w:val="auto"/>
          <w:lang w:val="es-SV"/>
        </w:rPr>
        <w:t xml:space="preserve"> 11 pasantías gestionadas.</w:t>
      </w:r>
    </w:p>
    <w:p w:rsidR="00AD3A31" w:rsidRPr="00565D2C" w:rsidRDefault="00AD3A31" w:rsidP="00565D2C">
      <w:pPr>
        <w:pStyle w:val="Prrafodelista"/>
        <w:jc w:val="both"/>
        <w:rPr>
          <w:rFonts w:ascii="Times New Roman" w:hAnsi="Times New Roman" w:cs="Times New Roman"/>
          <w:sz w:val="24"/>
          <w:szCs w:val="24"/>
        </w:rPr>
      </w:pPr>
    </w:p>
    <w:p w:rsidR="00AD3A31" w:rsidRPr="00565D2C" w:rsidRDefault="00AD3A31" w:rsidP="00565D2C">
      <w:pPr>
        <w:pStyle w:val="Default"/>
        <w:numPr>
          <w:ilvl w:val="0"/>
          <w:numId w:val="13"/>
        </w:numPr>
        <w:jc w:val="both"/>
        <w:rPr>
          <w:rFonts w:ascii="Times New Roman" w:hAnsi="Times New Roman" w:cs="Times New Roman"/>
          <w:color w:val="auto"/>
          <w:lang w:val="es-SV"/>
        </w:rPr>
      </w:pPr>
      <w:r w:rsidRPr="00565D2C">
        <w:rPr>
          <w:rFonts w:ascii="Times New Roman" w:hAnsi="Times New Roman" w:cs="Times New Roman"/>
          <w:color w:val="auto"/>
          <w:lang w:val="es-SV"/>
        </w:rPr>
        <w:t xml:space="preserve"> Una medición de impacto en el sector cervecero.</w:t>
      </w:r>
    </w:p>
    <w:p w:rsidR="00AD3A31" w:rsidRPr="00565D2C" w:rsidRDefault="00AD3A31" w:rsidP="00565D2C">
      <w:pPr>
        <w:pStyle w:val="Prrafodelista"/>
        <w:jc w:val="both"/>
        <w:rPr>
          <w:rFonts w:ascii="Times New Roman" w:hAnsi="Times New Roman" w:cs="Times New Roman"/>
          <w:sz w:val="24"/>
          <w:szCs w:val="24"/>
        </w:rPr>
      </w:pPr>
    </w:p>
    <w:p w:rsidR="00AD3A31" w:rsidRPr="00565D2C" w:rsidRDefault="001C4C54" w:rsidP="00565D2C">
      <w:pPr>
        <w:pStyle w:val="Default"/>
        <w:numPr>
          <w:ilvl w:val="0"/>
          <w:numId w:val="13"/>
        </w:numPr>
        <w:jc w:val="both"/>
        <w:rPr>
          <w:rFonts w:ascii="Times New Roman" w:hAnsi="Times New Roman" w:cs="Times New Roman"/>
          <w:color w:val="auto"/>
          <w:lang w:val="es-SV"/>
        </w:rPr>
      </w:pPr>
      <w:r w:rsidRPr="00565D2C">
        <w:rPr>
          <w:rFonts w:ascii="Times New Roman" w:hAnsi="Times New Roman" w:cs="Times New Roman"/>
          <w:color w:val="auto"/>
          <w:lang w:val="es-SV"/>
        </w:rPr>
        <w:t xml:space="preserve"> Se ha logrado obtener US$49,720.00 de cooperación </w:t>
      </w:r>
      <w:r w:rsidR="009D2083">
        <w:rPr>
          <w:rFonts w:ascii="Times New Roman" w:hAnsi="Times New Roman" w:cs="Times New Roman"/>
          <w:color w:val="auto"/>
          <w:lang w:val="es-SV"/>
        </w:rPr>
        <w:t xml:space="preserve">técnica y </w:t>
      </w:r>
      <w:r w:rsidRPr="00565D2C">
        <w:rPr>
          <w:rFonts w:ascii="Times New Roman" w:hAnsi="Times New Roman" w:cs="Times New Roman"/>
          <w:color w:val="auto"/>
          <w:lang w:val="es-SV"/>
        </w:rPr>
        <w:t>financiera</w:t>
      </w:r>
      <w:r w:rsidR="000C18CB">
        <w:rPr>
          <w:rFonts w:ascii="Times New Roman" w:hAnsi="Times New Roman" w:cs="Times New Roman"/>
          <w:color w:val="auto"/>
          <w:lang w:val="es-SV"/>
        </w:rPr>
        <w:t xml:space="preserve"> (FTC, teleconferencias, homólogas)</w:t>
      </w:r>
      <w:r w:rsidRPr="00565D2C">
        <w:rPr>
          <w:rFonts w:ascii="Times New Roman" w:hAnsi="Times New Roman" w:cs="Times New Roman"/>
          <w:color w:val="auto"/>
          <w:lang w:val="es-SV"/>
        </w:rPr>
        <w:t xml:space="preserve"> es decir 1.94% del presupuesto anual.</w:t>
      </w:r>
    </w:p>
    <w:p w:rsidR="00E426A3" w:rsidRPr="00565D2C" w:rsidRDefault="00E426A3" w:rsidP="00565D2C">
      <w:pPr>
        <w:pStyle w:val="Prrafodelista"/>
        <w:jc w:val="both"/>
        <w:rPr>
          <w:rFonts w:ascii="Times New Roman" w:hAnsi="Times New Roman" w:cs="Times New Roman"/>
          <w:sz w:val="24"/>
          <w:szCs w:val="24"/>
        </w:rPr>
      </w:pPr>
    </w:p>
    <w:p w:rsidR="00BD4615" w:rsidRPr="00565D2C" w:rsidRDefault="00BD4615" w:rsidP="00565D2C">
      <w:pPr>
        <w:pStyle w:val="Prrafodelista"/>
        <w:jc w:val="both"/>
        <w:rPr>
          <w:rFonts w:ascii="Times New Roman" w:hAnsi="Times New Roman" w:cs="Times New Roman"/>
          <w:sz w:val="24"/>
          <w:szCs w:val="24"/>
        </w:rPr>
      </w:pPr>
    </w:p>
    <w:p w:rsidR="00BD4615" w:rsidRPr="00565D2C" w:rsidRDefault="00535C43"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noProof/>
          <w:sz w:val="24"/>
          <w:szCs w:val="24"/>
        </w:rPr>
        <w:drawing>
          <wp:anchor distT="0" distB="0" distL="114300" distR="114300" simplePos="0" relativeHeight="251795456" behindDoc="1" locked="0" layoutInCell="1" allowOverlap="1">
            <wp:simplePos x="0" y="0"/>
            <wp:positionH relativeFrom="column">
              <wp:posOffset>-70485</wp:posOffset>
            </wp:positionH>
            <wp:positionV relativeFrom="paragraph">
              <wp:posOffset>328295</wp:posOffset>
            </wp:positionV>
            <wp:extent cx="5657850" cy="833120"/>
            <wp:effectExtent l="0" t="0" r="9525" b="0"/>
            <wp:wrapTight wrapText="bothSides">
              <wp:wrapPolygon edited="0">
                <wp:start x="0" y="0"/>
                <wp:lineTo x="0" y="20854"/>
                <wp:lineTo x="21563" y="20854"/>
                <wp:lineTo x="2156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7850" cy="833120"/>
                    </a:xfrm>
                    <a:prstGeom prst="rect">
                      <a:avLst/>
                    </a:prstGeom>
                    <a:noFill/>
                  </pic:spPr>
                </pic:pic>
              </a:graphicData>
            </a:graphic>
            <wp14:sizeRelH relativeFrom="margin">
              <wp14:pctWidth>0</wp14:pctWidth>
            </wp14:sizeRelH>
            <wp14:sizeRelV relativeFrom="margin">
              <wp14:pctHeight>0</wp14:pctHeight>
            </wp14:sizeRelV>
          </wp:anchor>
        </w:drawing>
      </w:r>
      <w:r w:rsidR="00BD4615" w:rsidRPr="00565D2C">
        <w:rPr>
          <w:rFonts w:ascii="Times New Roman" w:hAnsi="Times New Roman" w:cs="Times New Roman"/>
          <w:sz w:val="24"/>
          <w:szCs w:val="24"/>
        </w:rPr>
        <w:t>Detalle de las actividades con ejecución media o baja</w:t>
      </w:r>
      <w:r w:rsidR="002C1735" w:rsidRPr="00565D2C">
        <w:rPr>
          <w:rFonts w:ascii="Times New Roman" w:hAnsi="Times New Roman" w:cs="Times New Roman"/>
          <w:sz w:val="24"/>
          <w:szCs w:val="24"/>
        </w:rPr>
        <w:t xml:space="preserve"> de la IAC</w:t>
      </w:r>
      <w:r w:rsidR="00BD4615" w:rsidRPr="00565D2C">
        <w:rPr>
          <w:rFonts w:ascii="Times New Roman" w:hAnsi="Times New Roman" w:cs="Times New Roman"/>
          <w:sz w:val="24"/>
          <w:szCs w:val="24"/>
        </w:rPr>
        <w:t>:</w:t>
      </w:r>
    </w:p>
    <w:p w:rsidR="00BD4615" w:rsidRPr="00565D2C" w:rsidRDefault="007534AE"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Es importante aclarar que en el primer trimestre la IAC le reporto a la unidad de Planificación un logro del 100% en la meta de esta actividad, pero fue un error. Razón por la cual se corrige en esta evaluación y se reporta con 0% de ejecución.</w:t>
      </w:r>
    </w:p>
    <w:p w:rsidR="00E32A78" w:rsidRPr="00565D2C" w:rsidRDefault="00E32A78" w:rsidP="00565D2C">
      <w:pPr>
        <w:pStyle w:val="Prrafodelista"/>
        <w:jc w:val="both"/>
        <w:rPr>
          <w:rFonts w:ascii="Times New Roman" w:hAnsi="Times New Roman" w:cs="Times New Roman"/>
          <w:sz w:val="24"/>
          <w:szCs w:val="24"/>
        </w:rPr>
      </w:pPr>
    </w:p>
    <w:p w:rsidR="00414DD1" w:rsidRPr="00565D2C" w:rsidRDefault="00B26991" w:rsidP="00565D2C">
      <w:pPr>
        <w:pStyle w:val="Ttulo2"/>
        <w:numPr>
          <w:ilvl w:val="0"/>
          <w:numId w:val="12"/>
        </w:numPr>
        <w:rPr>
          <w:rFonts w:ascii="Times New Roman" w:hAnsi="Times New Roman" w:cs="Times New Roman"/>
          <w:szCs w:val="24"/>
        </w:rPr>
      </w:pPr>
      <w:bookmarkStart w:id="4" w:name="_Toc523143298"/>
      <w:r w:rsidRPr="00565D2C">
        <w:rPr>
          <w:rFonts w:ascii="Times New Roman" w:hAnsi="Times New Roman" w:cs="Times New Roman"/>
          <w:szCs w:val="24"/>
        </w:rPr>
        <w:t>Intendencia Económica</w:t>
      </w:r>
      <w:r w:rsidR="002A250A" w:rsidRPr="00565D2C">
        <w:rPr>
          <w:rFonts w:ascii="Times New Roman" w:hAnsi="Times New Roman" w:cs="Times New Roman"/>
          <w:szCs w:val="24"/>
        </w:rPr>
        <w:t xml:space="preserve"> (IE)</w:t>
      </w:r>
      <w:bookmarkEnd w:id="4"/>
    </w:p>
    <w:p w:rsidR="00B26991" w:rsidRPr="00565D2C" w:rsidRDefault="008B5BEC" w:rsidP="00565D2C">
      <w:pPr>
        <w:spacing w:after="0" w:line="240" w:lineRule="auto"/>
        <w:jc w:val="both"/>
        <w:rPr>
          <w:rFonts w:ascii="Times New Roman" w:hAnsi="Times New Roman" w:cs="Times New Roman"/>
          <w:b/>
          <w:sz w:val="24"/>
          <w:szCs w:val="24"/>
        </w:rPr>
      </w:pPr>
      <w:r w:rsidRPr="00565D2C">
        <w:rPr>
          <w:rFonts w:ascii="Times New Roman" w:hAnsi="Times New Roman" w:cs="Times New Roman"/>
          <w:b/>
          <w:noProof/>
          <w:sz w:val="24"/>
          <w:szCs w:val="24"/>
        </w:rPr>
        <w:drawing>
          <wp:anchor distT="0" distB="0" distL="114300" distR="114300" simplePos="0" relativeHeight="251772928" behindDoc="1" locked="0" layoutInCell="1" allowOverlap="1">
            <wp:simplePos x="0" y="0"/>
            <wp:positionH relativeFrom="column">
              <wp:posOffset>2939415</wp:posOffset>
            </wp:positionH>
            <wp:positionV relativeFrom="paragraph">
              <wp:posOffset>132715</wp:posOffset>
            </wp:positionV>
            <wp:extent cx="2574925" cy="495300"/>
            <wp:effectExtent l="0" t="0" r="0" b="0"/>
            <wp:wrapTight wrapText="bothSides">
              <wp:wrapPolygon edited="0">
                <wp:start x="0" y="0"/>
                <wp:lineTo x="0" y="20769"/>
                <wp:lineTo x="21414" y="20769"/>
                <wp:lineTo x="21414"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4925" cy="495300"/>
                    </a:xfrm>
                    <a:prstGeom prst="rect">
                      <a:avLst/>
                    </a:prstGeom>
                    <a:noFill/>
                  </pic:spPr>
                </pic:pic>
              </a:graphicData>
            </a:graphic>
            <wp14:sizeRelH relativeFrom="margin">
              <wp14:pctWidth>0</wp14:pctWidth>
            </wp14:sizeRelH>
            <wp14:sizeRelV relativeFrom="margin">
              <wp14:pctHeight>0</wp14:pctHeight>
            </wp14:sizeRelV>
          </wp:anchor>
        </w:drawing>
      </w:r>
      <w:r w:rsidRPr="00565D2C">
        <w:rPr>
          <w:rFonts w:ascii="Times New Roman" w:hAnsi="Times New Roman" w:cs="Times New Roman"/>
          <w:b/>
          <w:noProof/>
          <w:sz w:val="24"/>
          <w:szCs w:val="24"/>
        </w:rPr>
        <w:drawing>
          <wp:anchor distT="0" distB="0" distL="114300" distR="114300" simplePos="0" relativeHeight="251771904" behindDoc="1" locked="0" layoutInCell="1" allowOverlap="1">
            <wp:simplePos x="0" y="0"/>
            <wp:positionH relativeFrom="column">
              <wp:posOffset>-4445</wp:posOffset>
            </wp:positionH>
            <wp:positionV relativeFrom="paragraph">
              <wp:posOffset>85090</wp:posOffset>
            </wp:positionV>
            <wp:extent cx="1969135" cy="609600"/>
            <wp:effectExtent l="0" t="0" r="0" b="0"/>
            <wp:wrapTight wrapText="bothSides">
              <wp:wrapPolygon edited="0">
                <wp:start x="0" y="0"/>
                <wp:lineTo x="0" y="20925"/>
                <wp:lineTo x="21314" y="20925"/>
                <wp:lineTo x="21314"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9135" cy="609600"/>
                    </a:xfrm>
                    <a:prstGeom prst="rect">
                      <a:avLst/>
                    </a:prstGeom>
                    <a:noFill/>
                  </pic:spPr>
                </pic:pic>
              </a:graphicData>
            </a:graphic>
            <wp14:sizeRelH relativeFrom="margin">
              <wp14:pctWidth>0</wp14:pctWidth>
            </wp14:sizeRelH>
            <wp14:sizeRelV relativeFrom="margin">
              <wp14:pctHeight>0</wp14:pctHeight>
            </wp14:sizeRelV>
          </wp:anchor>
        </w:drawing>
      </w:r>
    </w:p>
    <w:p w:rsidR="000F5BA2" w:rsidRPr="00565D2C" w:rsidRDefault="000F5BA2" w:rsidP="00565D2C">
      <w:pPr>
        <w:spacing w:after="0" w:line="240" w:lineRule="auto"/>
        <w:jc w:val="both"/>
        <w:rPr>
          <w:rFonts w:ascii="Times New Roman" w:hAnsi="Times New Roman" w:cs="Times New Roman"/>
          <w:b/>
          <w:sz w:val="24"/>
          <w:szCs w:val="24"/>
        </w:rPr>
      </w:pPr>
    </w:p>
    <w:p w:rsidR="00414DD1" w:rsidRPr="00565D2C" w:rsidRDefault="00414DD1" w:rsidP="00565D2C">
      <w:pPr>
        <w:spacing w:after="0" w:line="240" w:lineRule="auto"/>
        <w:jc w:val="both"/>
        <w:rPr>
          <w:rFonts w:ascii="Times New Roman" w:hAnsi="Times New Roman" w:cs="Times New Roman"/>
          <w:b/>
          <w:sz w:val="24"/>
          <w:szCs w:val="24"/>
        </w:rPr>
      </w:pPr>
    </w:p>
    <w:p w:rsidR="00D57DFB" w:rsidRPr="00565D2C" w:rsidRDefault="00D57DFB" w:rsidP="00565D2C">
      <w:pPr>
        <w:spacing w:after="0" w:line="240" w:lineRule="auto"/>
        <w:jc w:val="both"/>
        <w:rPr>
          <w:rFonts w:ascii="Times New Roman" w:hAnsi="Times New Roman" w:cs="Times New Roman"/>
          <w:sz w:val="24"/>
          <w:szCs w:val="24"/>
        </w:rPr>
      </w:pPr>
    </w:p>
    <w:p w:rsidR="00D57DFB" w:rsidRPr="00565D2C" w:rsidRDefault="00D57DFB" w:rsidP="00565D2C">
      <w:pPr>
        <w:spacing w:after="0" w:line="240" w:lineRule="auto"/>
        <w:jc w:val="both"/>
        <w:rPr>
          <w:rFonts w:ascii="Times New Roman" w:hAnsi="Times New Roman" w:cs="Times New Roman"/>
          <w:sz w:val="24"/>
          <w:szCs w:val="24"/>
        </w:rPr>
      </w:pPr>
    </w:p>
    <w:p w:rsidR="002A250A" w:rsidRPr="00565D2C" w:rsidRDefault="002A250A" w:rsidP="00565D2C">
      <w:pPr>
        <w:spacing w:after="0" w:line="240" w:lineRule="auto"/>
        <w:jc w:val="both"/>
        <w:rPr>
          <w:rFonts w:ascii="Times New Roman" w:hAnsi="Times New Roman" w:cs="Times New Roman"/>
          <w:sz w:val="24"/>
          <w:szCs w:val="24"/>
        </w:rPr>
      </w:pPr>
    </w:p>
    <w:p w:rsidR="00241BAF" w:rsidRPr="00565D2C" w:rsidRDefault="00241BAF"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La IE tuvo un logro del 96.15% en las actividades planificadas en el primer semestre.</w:t>
      </w:r>
    </w:p>
    <w:p w:rsidR="00241BAF" w:rsidRPr="00565D2C" w:rsidRDefault="00241BAF" w:rsidP="00565D2C">
      <w:pPr>
        <w:spacing w:after="0" w:line="240" w:lineRule="auto"/>
        <w:jc w:val="both"/>
        <w:rPr>
          <w:rFonts w:ascii="Times New Roman" w:hAnsi="Times New Roman" w:cs="Times New Roman"/>
          <w:sz w:val="24"/>
          <w:szCs w:val="24"/>
        </w:rPr>
      </w:pPr>
    </w:p>
    <w:p w:rsidR="00241BAF" w:rsidRPr="00565D2C" w:rsidRDefault="00241BAF"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Las actividades más relevantes ejecutadas exitosamente por la IE son las siguientes: </w:t>
      </w:r>
    </w:p>
    <w:p w:rsidR="00123B28" w:rsidRPr="00565D2C" w:rsidRDefault="00123B28"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p>
    <w:p w:rsidR="00F34171" w:rsidRPr="00565D2C" w:rsidRDefault="00F34171" w:rsidP="00565D2C">
      <w:pPr>
        <w:spacing w:after="0" w:line="240" w:lineRule="auto"/>
        <w:jc w:val="both"/>
        <w:rPr>
          <w:rFonts w:ascii="Times New Roman" w:hAnsi="Times New Roman" w:cs="Times New Roman"/>
          <w:sz w:val="24"/>
          <w:szCs w:val="24"/>
        </w:rPr>
      </w:pPr>
    </w:p>
    <w:p w:rsidR="00DD6ED9" w:rsidRDefault="00A14852" w:rsidP="00565D2C">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sidRPr="00565D2C">
        <w:rPr>
          <w:rFonts w:ascii="Times New Roman" w:hAnsi="Times New Roman" w:cs="Times New Roman"/>
          <w:sz w:val="24"/>
          <w:szCs w:val="24"/>
        </w:rPr>
        <w:t>Plan de trabajo del estudio de competencia en materiales de construcción: cemento, asfalto, y arrendamiento de maquinaria.</w:t>
      </w:r>
    </w:p>
    <w:p w:rsidR="00535C43" w:rsidRPr="00565D2C" w:rsidRDefault="00535C43" w:rsidP="00535C43">
      <w:pPr>
        <w:pStyle w:val="Prrafodelista"/>
        <w:tabs>
          <w:tab w:val="left" w:pos="567"/>
          <w:tab w:val="left" w:pos="851"/>
        </w:tabs>
        <w:ind w:left="567"/>
        <w:jc w:val="both"/>
        <w:rPr>
          <w:rFonts w:ascii="Times New Roman" w:hAnsi="Times New Roman" w:cs="Times New Roman"/>
          <w:sz w:val="24"/>
          <w:szCs w:val="24"/>
        </w:rPr>
      </w:pPr>
    </w:p>
    <w:p w:rsidR="00135E73" w:rsidRDefault="00135E73" w:rsidP="00565D2C">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sidRPr="00565D2C">
        <w:rPr>
          <w:rFonts w:ascii="Times New Roman" w:hAnsi="Times New Roman" w:cs="Times New Roman"/>
          <w:sz w:val="24"/>
          <w:szCs w:val="24"/>
        </w:rPr>
        <w:t>Plan de trabajo y metodología del estudio de competencia en la prestación de servicios financieros a las micro y pequeñas empresas (MYPES) en El Salvador.</w:t>
      </w:r>
    </w:p>
    <w:p w:rsidR="00535C43" w:rsidRPr="00535C43" w:rsidRDefault="00535C43" w:rsidP="00535C43">
      <w:pPr>
        <w:pStyle w:val="Prrafodelista"/>
        <w:rPr>
          <w:rFonts w:ascii="Times New Roman" w:hAnsi="Times New Roman" w:cs="Times New Roman"/>
          <w:sz w:val="24"/>
          <w:szCs w:val="24"/>
        </w:rPr>
      </w:pPr>
    </w:p>
    <w:p w:rsidR="00135E73" w:rsidRDefault="00135E73" w:rsidP="00565D2C">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sidRPr="00565D2C">
        <w:rPr>
          <w:rFonts w:ascii="Times New Roman" w:hAnsi="Times New Roman" w:cs="Times New Roman"/>
          <w:sz w:val="24"/>
          <w:szCs w:val="24"/>
        </w:rPr>
        <w:t>4 sesiones de divulgación: presentación sobre concentraciones económicas (1), Ideas principales seminario derecho de competencia y desarrollo económico (2), procedimiento de autorización de concentraciones económicas (3) y presentación de concentración Claro-Digicel.</w:t>
      </w:r>
    </w:p>
    <w:p w:rsidR="00535C43" w:rsidRPr="00565D2C" w:rsidRDefault="00535C43" w:rsidP="00535C43">
      <w:pPr>
        <w:pStyle w:val="Prrafodelista"/>
        <w:tabs>
          <w:tab w:val="left" w:pos="567"/>
          <w:tab w:val="left" w:pos="851"/>
        </w:tabs>
        <w:ind w:left="567"/>
        <w:jc w:val="both"/>
        <w:rPr>
          <w:rFonts w:ascii="Times New Roman" w:hAnsi="Times New Roman" w:cs="Times New Roman"/>
          <w:sz w:val="24"/>
          <w:szCs w:val="24"/>
        </w:rPr>
      </w:pPr>
    </w:p>
    <w:p w:rsidR="00135E73" w:rsidRDefault="00135E73" w:rsidP="00565D2C">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sidRPr="00565D2C">
        <w:rPr>
          <w:rFonts w:ascii="Times New Roman" w:hAnsi="Times New Roman" w:cs="Times New Roman"/>
          <w:sz w:val="24"/>
          <w:szCs w:val="24"/>
        </w:rPr>
        <w:t>Boletín “Resumen SC. Síntesis Técnica de la Superintendencia de Competencia”</w:t>
      </w:r>
      <w:r w:rsidR="00DD083B" w:rsidRPr="00565D2C">
        <w:rPr>
          <w:rFonts w:ascii="Times New Roman" w:hAnsi="Times New Roman" w:cs="Times New Roman"/>
          <w:sz w:val="24"/>
          <w:szCs w:val="24"/>
        </w:rPr>
        <w:t xml:space="preserve"> sobre PYMES y profundización de los principios de competencia en las licitaciones públicas.</w:t>
      </w:r>
    </w:p>
    <w:p w:rsidR="00535C43" w:rsidRPr="00565D2C" w:rsidRDefault="00535C43" w:rsidP="00535C43">
      <w:pPr>
        <w:pStyle w:val="Prrafodelista"/>
        <w:tabs>
          <w:tab w:val="left" w:pos="567"/>
          <w:tab w:val="left" w:pos="851"/>
        </w:tabs>
        <w:ind w:left="567"/>
        <w:jc w:val="both"/>
        <w:rPr>
          <w:rFonts w:ascii="Times New Roman" w:hAnsi="Times New Roman" w:cs="Times New Roman"/>
          <w:sz w:val="24"/>
          <w:szCs w:val="24"/>
        </w:rPr>
      </w:pPr>
    </w:p>
    <w:p w:rsidR="00097790" w:rsidRDefault="00097790" w:rsidP="00565D2C">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sidRPr="00565D2C">
        <w:rPr>
          <w:rFonts w:ascii="Times New Roman" w:hAnsi="Times New Roman" w:cs="Times New Roman"/>
          <w:sz w:val="24"/>
          <w:szCs w:val="24"/>
        </w:rPr>
        <w:t>4 artículos de difusión de contenido técnico elaborados sobre distribución de energía eléctrica, financiamiento MYPE, Uber o no Uber y reforma a Ley BOLPROS.</w:t>
      </w:r>
    </w:p>
    <w:p w:rsidR="00535C43" w:rsidRPr="00535C43" w:rsidRDefault="00535C43" w:rsidP="00535C43">
      <w:pPr>
        <w:pStyle w:val="Prrafodelista"/>
        <w:rPr>
          <w:rFonts w:ascii="Times New Roman" w:hAnsi="Times New Roman" w:cs="Times New Roman"/>
          <w:sz w:val="24"/>
          <w:szCs w:val="24"/>
        </w:rPr>
      </w:pPr>
    </w:p>
    <w:p w:rsidR="00097790" w:rsidRDefault="000D3507" w:rsidP="00565D2C">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sidRPr="00565D2C">
        <w:rPr>
          <w:rFonts w:ascii="Times New Roman" w:hAnsi="Times New Roman" w:cs="Times New Roman"/>
          <w:sz w:val="24"/>
          <w:szCs w:val="24"/>
        </w:rPr>
        <w:t xml:space="preserve">Participación en mesa interinstitucional para revisar 2 proyectos de normas a petición del Banco Central de Reserva: “Normas Técnicas para la Transparencia de la Información de los Servicios Financieros” (1) y “Normas Técnicas para el Sistema de tarjetas de </w:t>
      </w:r>
      <w:r w:rsidR="00CB39FA" w:rsidRPr="00565D2C">
        <w:rPr>
          <w:rFonts w:ascii="Times New Roman" w:hAnsi="Times New Roman" w:cs="Times New Roman"/>
          <w:sz w:val="24"/>
          <w:szCs w:val="24"/>
        </w:rPr>
        <w:t>Crédito</w:t>
      </w:r>
      <w:r w:rsidRPr="00565D2C">
        <w:rPr>
          <w:rFonts w:ascii="Times New Roman" w:hAnsi="Times New Roman" w:cs="Times New Roman"/>
          <w:sz w:val="24"/>
          <w:szCs w:val="24"/>
        </w:rPr>
        <w:t>”</w:t>
      </w:r>
      <w:r w:rsidR="00097790" w:rsidRPr="00565D2C">
        <w:rPr>
          <w:rFonts w:ascii="Times New Roman" w:hAnsi="Times New Roman" w:cs="Times New Roman"/>
          <w:sz w:val="24"/>
          <w:szCs w:val="24"/>
        </w:rPr>
        <w:t xml:space="preserve"> </w:t>
      </w:r>
      <w:r w:rsidRPr="00565D2C">
        <w:rPr>
          <w:rFonts w:ascii="Times New Roman" w:hAnsi="Times New Roman" w:cs="Times New Roman"/>
          <w:sz w:val="24"/>
          <w:szCs w:val="24"/>
        </w:rPr>
        <w:t>(2).</w:t>
      </w:r>
    </w:p>
    <w:p w:rsidR="00535C43" w:rsidRPr="00565D2C" w:rsidRDefault="00535C43" w:rsidP="00535C43">
      <w:pPr>
        <w:pStyle w:val="Prrafodelista"/>
        <w:tabs>
          <w:tab w:val="left" w:pos="567"/>
          <w:tab w:val="left" w:pos="851"/>
        </w:tabs>
        <w:ind w:left="567"/>
        <w:jc w:val="both"/>
        <w:rPr>
          <w:rFonts w:ascii="Times New Roman" w:hAnsi="Times New Roman" w:cs="Times New Roman"/>
          <w:sz w:val="24"/>
          <w:szCs w:val="24"/>
        </w:rPr>
      </w:pPr>
    </w:p>
    <w:p w:rsidR="005C54C9" w:rsidRDefault="005C54C9" w:rsidP="00565D2C">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sidRPr="00565D2C">
        <w:rPr>
          <w:rFonts w:ascii="Times New Roman" w:hAnsi="Times New Roman" w:cs="Times New Roman"/>
          <w:sz w:val="24"/>
          <w:szCs w:val="24"/>
        </w:rPr>
        <w:t>Boletín informativo con monitoreo de “Pollo y huevo”.</w:t>
      </w:r>
    </w:p>
    <w:p w:rsidR="00535C43" w:rsidRPr="00535C43" w:rsidRDefault="00535C43" w:rsidP="00535C43">
      <w:pPr>
        <w:pStyle w:val="Prrafodelista"/>
        <w:rPr>
          <w:rFonts w:ascii="Times New Roman" w:hAnsi="Times New Roman" w:cs="Times New Roman"/>
          <w:sz w:val="24"/>
          <w:szCs w:val="24"/>
        </w:rPr>
      </w:pPr>
    </w:p>
    <w:p w:rsidR="005C54C9" w:rsidRDefault="005C54C9" w:rsidP="00565D2C">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sidRPr="00565D2C">
        <w:rPr>
          <w:rFonts w:ascii="Times New Roman" w:hAnsi="Times New Roman" w:cs="Times New Roman"/>
          <w:sz w:val="24"/>
          <w:szCs w:val="24"/>
        </w:rPr>
        <w:t>Actualización del sitio web en casos, opiniones de normativa, estudios, concentraciones y términos de referencia.</w:t>
      </w:r>
    </w:p>
    <w:p w:rsidR="00535C43" w:rsidRPr="00535C43" w:rsidRDefault="00535C43" w:rsidP="00535C43">
      <w:pPr>
        <w:pStyle w:val="Prrafodelista"/>
        <w:rPr>
          <w:rFonts w:ascii="Times New Roman" w:hAnsi="Times New Roman" w:cs="Times New Roman"/>
          <w:sz w:val="24"/>
          <w:szCs w:val="24"/>
        </w:rPr>
      </w:pPr>
    </w:p>
    <w:p w:rsidR="005C54C9" w:rsidRDefault="003B32A4" w:rsidP="00565D2C">
      <w:pPr>
        <w:pStyle w:val="Prrafodelista"/>
        <w:numPr>
          <w:ilvl w:val="0"/>
          <w:numId w:val="15"/>
        </w:numPr>
        <w:tabs>
          <w:tab w:val="left" w:pos="567"/>
          <w:tab w:val="left" w:pos="851"/>
        </w:tabs>
        <w:ind w:left="567" w:firstLine="0"/>
        <w:jc w:val="both"/>
        <w:rPr>
          <w:rFonts w:ascii="Times New Roman" w:hAnsi="Times New Roman" w:cs="Times New Roman"/>
          <w:sz w:val="24"/>
          <w:szCs w:val="24"/>
        </w:rPr>
      </w:pPr>
      <w:r w:rsidRPr="00565D2C">
        <w:rPr>
          <w:rFonts w:ascii="Times New Roman" w:hAnsi="Times New Roman" w:cs="Times New Roman"/>
          <w:sz w:val="24"/>
          <w:szCs w:val="24"/>
        </w:rPr>
        <w:t>7 solicitudes de concentraciones resueltas:</w:t>
      </w:r>
      <w:r w:rsidR="008B20D1" w:rsidRPr="00565D2C">
        <w:rPr>
          <w:rFonts w:ascii="Times New Roman" w:hAnsi="Times New Roman" w:cs="Times New Roman"/>
          <w:sz w:val="24"/>
          <w:szCs w:val="24"/>
        </w:rPr>
        <w:t xml:space="preserve"> Inadmisible:</w:t>
      </w:r>
      <w:r w:rsidRPr="00565D2C">
        <w:rPr>
          <w:rFonts w:ascii="Times New Roman" w:hAnsi="Times New Roman" w:cs="Times New Roman"/>
          <w:sz w:val="24"/>
          <w:szCs w:val="24"/>
        </w:rPr>
        <w:t xml:space="preserve"> </w:t>
      </w:r>
      <w:r w:rsidR="008B20D1" w:rsidRPr="00565D2C">
        <w:rPr>
          <w:rFonts w:ascii="Times New Roman" w:hAnsi="Times New Roman" w:cs="Times New Roman"/>
          <w:sz w:val="24"/>
          <w:szCs w:val="24"/>
        </w:rPr>
        <w:t xml:space="preserve">Orazul Energy El Salvador, S. en C. de </w:t>
      </w:r>
      <w:r w:rsidR="00EA26CC" w:rsidRPr="00565D2C">
        <w:rPr>
          <w:rFonts w:ascii="Times New Roman" w:hAnsi="Times New Roman" w:cs="Times New Roman"/>
          <w:sz w:val="24"/>
          <w:szCs w:val="24"/>
        </w:rPr>
        <w:t>C.V.; Orazul</w:t>
      </w:r>
      <w:r w:rsidR="008B20D1" w:rsidRPr="00565D2C">
        <w:rPr>
          <w:rFonts w:ascii="Times New Roman" w:hAnsi="Times New Roman" w:cs="Times New Roman"/>
          <w:sz w:val="24"/>
          <w:szCs w:val="24"/>
        </w:rPr>
        <w:t xml:space="preserve"> Energy El Salvador Investments No. 1 y Cía, S. en C. de C.V.; Nautilius Inkia Holdings LLC, Nautilius Distribution Holdings LLC y Nautilius Isthmus Holdings LLC; Inkia Energy Ltd., IC Power Distribution Holdings, Ptd. Ltd. (1), autorizada: Bevco Limited Corp., AB InBev Southern Investments Limited y The Coca-Cola Company (2), autorización: Inversiones Financieras Atlántida, S.A., Davivienda Vida Seguros, S.A. (3), inadmisible: MITE, S.A. de C.V., RETRICER, S.A. de C.V. y TRANSAG, S.A. de C.V. (4), improcedente: Tecnoquímicas, S.A., Corporación Bonima, S.A (5), improcedente: Banco Davivienda INternacional (Panamá), S.A. e Inversiones Financieras Davivienda, S.A (6), improcedente: MITE, S.A. de C.V., RETRICER, S.A. de C.V. y TRANSAG, S.A. de C.V. (7).</w:t>
      </w:r>
    </w:p>
    <w:p w:rsidR="00535C43" w:rsidRPr="00535C43" w:rsidRDefault="00535C43" w:rsidP="00535C43">
      <w:pPr>
        <w:pStyle w:val="Prrafodelista"/>
        <w:rPr>
          <w:rFonts w:ascii="Times New Roman" w:hAnsi="Times New Roman" w:cs="Times New Roman"/>
          <w:sz w:val="24"/>
          <w:szCs w:val="24"/>
        </w:rPr>
      </w:pPr>
    </w:p>
    <w:p w:rsidR="008C0AB6" w:rsidRPr="00565D2C" w:rsidRDefault="008C0AB6" w:rsidP="00565D2C">
      <w:pPr>
        <w:pStyle w:val="Prrafodelista"/>
        <w:numPr>
          <w:ilvl w:val="0"/>
          <w:numId w:val="15"/>
        </w:numPr>
        <w:tabs>
          <w:tab w:val="left" w:pos="567"/>
          <w:tab w:val="left" w:pos="851"/>
          <w:tab w:val="left" w:pos="993"/>
        </w:tabs>
        <w:ind w:left="567" w:firstLine="0"/>
        <w:jc w:val="both"/>
        <w:rPr>
          <w:rFonts w:ascii="Times New Roman" w:hAnsi="Times New Roman" w:cs="Times New Roman"/>
          <w:sz w:val="24"/>
          <w:szCs w:val="24"/>
        </w:rPr>
      </w:pPr>
      <w:r w:rsidRPr="00565D2C">
        <w:rPr>
          <w:rFonts w:ascii="Times New Roman" w:hAnsi="Times New Roman" w:cs="Times New Roman"/>
          <w:sz w:val="24"/>
          <w:szCs w:val="24"/>
        </w:rPr>
        <w:t>Seguimiento a dos resoluciones: AB Inbev- SAAB Miller y Tigo-Caribeña.</w:t>
      </w:r>
    </w:p>
    <w:p w:rsidR="00535C43" w:rsidRDefault="00535C43" w:rsidP="00565D2C">
      <w:pPr>
        <w:tabs>
          <w:tab w:val="left" w:pos="567"/>
          <w:tab w:val="left" w:pos="851"/>
          <w:tab w:val="left" w:pos="993"/>
        </w:tabs>
        <w:ind w:left="567"/>
        <w:jc w:val="both"/>
        <w:rPr>
          <w:rFonts w:ascii="Times New Roman" w:hAnsi="Times New Roman" w:cs="Times New Roman"/>
          <w:sz w:val="24"/>
          <w:szCs w:val="24"/>
        </w:rPr>
      </w:pPr>
    </w:p>
    <w:p w:rsidR="008C0AB6" w:rsidRPr="00565D2C" w:rsidRDefault="00572958" w:rsidP="00565D2C">
      <w:pPr>
        <w:tabs>
          <w:tab w:val="left" w:pos="567"/>
          <w:tab w:val="left" w:pos="851"/>
          <w:tab w:val="left" w:pos="993"/>
        </w:tabs>
        <w:ind w:left="567"/>
        <w:jc w:val="both"/>
        <w:rPr>
          <w:rFonts w:ascii="Times New Roman" w:hAnsi="Times New Roman" w:cs="Times New Roman"/>
          <w:sz w:val="24"/>
          <w:szCs w:val="24"/>
        </w:rPr>
      </w:pPr>
      <w:r w:rsidRPr="00565D2C">
        <w:rPr>
          <w:rFonts w:ascii="Times New Roman" w:hAnsi="Times New Roman" w:cs="Times New Roman"/>
          <w:noProof/>
          <w:sz w:val="24"/>
          <w:szCs w:val="24"/>
        </w:rPr>
        <w:drawing>
          <wp:anchor distT="0" distB="0" distL="114300" distR="114300" simplePos="0" relativeHeight="251797504" behindDoc="1" locked="0" layoutInCell="1" allowOverlap="1" wp14:anchorId="0F401394" wp14:editId="283BC5D8">
            <wp:simplePos x="0" y="0"/>
            <wp:positionH relativeFrom="column">
              <wp:posOffset>295275</wp:posOffset>
            </wp:positionH>
            <wp:positionV relativeFrom="paragraph">
              <wp:posOffset>356235</wp:posOffset>
            </wp:positionV>
            <wp:extent cx="5346065" cy="768350"/>
            <wp:effectExtent l="0" t="0" r="6985" b="0"/>
            <wp:wrapTight wrapText="bothSides">
              <wp:wrapPolygon edited="0">
                <wp:start x="0" y="0"/>
                <wp:lineTo x="0" y="20886"/>
                <wp:lineTo x="21551" y="20886"/>
                <wp:lineTo x="21551"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6065" cy="768350"/>
                    </a:xfrm>
                    <a:prstGeom prst="rect">
                      <a:avLst/>
                    </a:prstGeom>
                    <a:noFill/>
                  </pic:spPr>
                </pic:pic>
              </a:graphicData>
            </a:graphic>
            <wp14:sizeRelH relativeFrom="margin">
              <wp14:pctWidth>0</wp14:pctWidth>
            </wp14:sizeRelH>
            <wp14:sizeRelV relativeFrom="margin">
              <wp14:pctHeight>0</wp14:pctHeight>
            </wp14:sizeRelV>
          </wp:anchor>
        </w:drawing>
      </w:r>
      <w:r w:rsidR="00FC1B88" w:rsidRPr="00565D2C">
        <w:rPr>
          <w:rFonts w:ascii="Times New Roman" w:hAnsi="Times New Roman" w:cs="Times New Roman"/>
          <w:sz w:val="24"/>
          <w:szCs w:val="24"/>
        </w:rPr>
        <w:t>Detalle de las actividades con ejecución media o baja de la IE:</w:t>
      </w:r>
    </w:p>
    <w:p w:rsidR="008B20D1" w:rsidRPr="00565D2C" w:rsidRDefault="00572958" w:rsidP="00565D2C">
      <w:pPr>
        <w:tabs>
          <w:tab w:val="left" w:pos="567"/>
          <w:tab w:val="left" w:pos="851"/>
        </w:tabs>
        <w:jc w:val="both"/>
        <w:rPr>
          <w:rFonts w:ascii="Times New Roman" w:hAnsi="Times New Roman" w:cs="Times New Roman"/>
          <w:sz w:val="24"/>
          <w:szCs w:val="24"/>
        </w:rPr>
      </w:pPr>
      <w:r w:rsidRPr="00565D2C">
        <w:rPr>
          <w:rFonts w:ascii="Times New Roman" w:hAnsi="Times New Roman" w:cs="Times New Roman"/>
          <w:sz w:val="24"/>
          <w:szCs w:val="24"/>
        </w:rPr>
        <w:t xml:space="preserve">En esta actividad la IE cumplió con el informe </w:t>
      </w:r>
      <w:r w:rsidR="009538A5" w:rsidRPr="00565D2C">
        <w:rPr>
          <w:rFonts w:ascii="Times New Roman" w:hAnsi="Times New Roman" w:cs="Times New Roman"/>
          <w:sz w:val="24"/>
          <w:szCs w:val="24"/>
        </w:rPr>
        <w:t>final,</w:t>
      </w:r>
      <w:r w:rsidRPr="00565D2C">
        <w:rPr>
          <w:rFonts w:ascii="Times New Roman" w:hAnsi="Times New Roman" w:cs="Times New Roman"/>
          <w:sz w:val="24"/>
          <w:szCs w:val="24"/>
        </w:rPr>
        <w:t xml:space="preserve"> pero en cuanto a la meta “Entrega de resolución de recomendaciones al Consejo Directivo (CD)” aún se tiene pendiente su aprobación de parte del CD, por lo que se reportó esta actividad con el 50% de avance.</w:t>
      </w:r>
    </w:p>
    <w:p w:rsidR="00182CB0" w:rsidRPr="00565D2C" w:rsidRDefault="00182CB0" w:rsidP="00565D2C">
      <w:pPr>
        <w:pStyle w:val="Prrafodelista"/>
        <w:spacing w:after="0" w:line="240" w:lineRule="auto"/>
        <w:jc w:val="both"/>
        <w:rPr>
          <w:rFonts w:ascii="Times New Roman" w:hAnsi="Times New Roman" w:cs="Times New Roman"/>
          <w:sz w:val="24"/>
          <w:szCs w:val="24"/>
        </w:rPr>
      </w:pPr>
    </w:p>
    <w:p w:rsidR="00414DD1" w:rsidRPr="00565D2C" w:rsidRDefault="004229B0" w:rsidP="00565D2C">
      <w:pPr>
        <w:pStyle w:val="Ttulo2"/>
        <w:numPr>
          <w:ilvl w:val="0"/>
          <w:numId w:val="12"/>
        </w:numPr>
        <w:rPr>
          <w:rFonts w:ascii="Times New Roman" w:hAnsi="Times New Roman" w:cs="Times New Roman"/>
          <w:szCs w:val="24"/>
        </w:rPr>
      </w:pPr>
      <w:bookmarkStart w:id="5" w:name="_Toc523143299"/>
      <w:r w:rsidRPr="00565D2C">
        <w:rPr>
          <w:rFonts w:ascii="Times New Roman" w:hAnsi="Times New Roman" w:cs="Times New Roman"/>
          <w:szCs w:val="24"/>
        </w:rPr>
        <w:t>Intendencia de Investigaciones</w:t>
      </w:r>
      <w:r w:rsidR="002A250A" w:rsidRPr="00565D2C">
        <w:rPr>
          <w:rFonts w:ascii="Times New Roman" w:hAnsi="Times New Roman" w:cs="Times New Roman"/>
          <w:szCs w:val="24"/>
        </w:rPr>
        <w:t xml:space="preserve"> (II)</w:t>
      </w:r>
      <w:bookmarkEnd w:id="5"/>
    </w:p>
    <w:p w:rsidR="004229B0" w:rsidRPr="00565D2C" w:rsidRDefault="006F10B0" w:rsidP="00565D2C">
      <w:pPr>
        <w:spacing w:after="0" w:line="240" w:lineRule="auto"/>
        <w:jc w:val="both"/>
        <w:rPr>
          <w:rFonts w:ascii="Times New Roman" w:hAnsi="Times New Roman" w:cs="Times New Roman"/>
          <w:b/>
          <w:sz w:val="24"/>
          <w:szCs w:val="24"/>
        </w:rPr>
      </w:pPr>
      <w:r w:rsidRPr="00565D2C">
        <w:rPr>
          <w:rFonts w:ascii="Times New Roman" w:hAnsi="Times New Roman" w:cs="Times New Roman"/>
          <w:b/>
          <w:noProof/>
          <w:sz w:val="24"/>
          <w:szCs w:val="24"/>
        </w:rPr>
        <w:drawing>
          <wp:anchor distT="0" distB="0" distL="114300" distR="114300" simplePos="0" relativeHeight="251776000" behindDoc="1" locked="0" layoutInCell="1" allowOverlap="1">
            <wp:simplePos x="0" y="0"/>
            <wp:positionH relativeFrom="column">
              <wp:posOffset>2952115</wp:posOffset>
            </wp:positionH>
            <wp:positionV relativeFrom="paragraph">
              <wp:posOffset>43815</wp:posOffset>
            </wp:positionV>
            <wp:extent cx="2799715" cy="541655"/>
            <wp:effectExtent l="0" t="0" r="635" b="0"/>
            <wp:wrapTight wrapText="bothSides">
              <wp:wrapPolygon edited="0">
                <wp:start x="0" y="0"/>
                <wp:lineTo x="0" y="20511"/>
                <wp:lineTo x="21458" y="20511"/>
                <wp:lineTo x="21458" y="0"/>
                <wp:lineTo x="0" y="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9715" cy="541655"/>
                    </a:xfrm>
                    <a:prstGeom prst="rect">
                      <a:avLst/>
                    </a:prstGeom>
                    <a:noFill/>
                  </pic:spPr>
                </pic:pic>
              </a:graphicData>
            </a:graphic>
            <wp14:sizeRelH relativeFrom="margin">
              <wp14:pctWidth>0</wp14:pctWidth>
            </wp14:sizeRelH>
            <wp14:sizeRelV relativeFrom="margin">
              <wp14:pctHeight>0</wp14:pctHeight>
            </wp14:sizeRelV>
          </wp:anchor>
        </w:drawing>
      </w:r>
      <w:r w:rsidRPr="00565D2C">
        <w:rPr>
          <w:rFonts w:ascii="Times New Roman" w:hAnsi="Times New Roman" w:cs="Times New Roman"/>
          <w:b/>
          <w:noProof/>
          <w:sz w:val="24"/>
          <w:szCs w:val="24"/>
        </w:rPr>
        <w:drawing>
          <wp:anchor distT="0" distB="0" distL="114300" distR="114300" simplePos="0" relativeHeight="251774976" behindDoc="1" locked="0" layoutInCell="1" allowOverlap="1">
            <wp:simplePos x="0" y="0"/>
            <wp:positionH relativeFrom="column">
              <wp:posOffset>366395</wp:posOffset>
            </wp:positionH>
            <wp:positionV relativeFrom="paragraph">
              <wp:posOffset>45085</wp:posOffset>
            </wp:positionV>
            <wp:extent cx="1867213" cy="577970"/>
            <wp:effectExtent l="0" t="0" r="0" b="0"/>
            <wp:wrapTight wrapText="bothSides">
              <wp:wrapPolygon edited="0">
                <wp:start x="0" y="0"/>
                <wp:lineTo x="0" y="20651"/>
                <wp:lineTo x="21380" y="20651"/>
                <wp:lineTo x="21380"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7213" cy="577970"/>
                    </a:xfrm>
                    <a:prstGeom prst="rect">
                      <a:avLst/>
                    </a:prstGeom>
                    <a:noFill/>
                  </pic:spPr>
                </pic:pic>
              </a:graphicData>
            </a:graphic>
          </wp:anchor>
        </w:drawing>
      </w:r>
      <w:r w:rsidR="005501EB" w:rsidRPr="00565D2C">
        <w:rPr>
          <w:rFonts w:ascii="Times New Roman" w:hAnsi="Times New Roman" w:cs="Times New Roman"/>
          <w:noProof/>
          <w:sz w:val="24"/>
          <w:szCs w:val="24"/>
        </w:rPr>
        <w:t xml:space="preserve"> </w:t>
      </w:r>
    </w:p>
    <w:p w:rsidR="00E52082" w:rsidRPr="00565D2C" w:rsidRDefault="00E52082" w:rsidP="00565D2C">
      <w:pPr>
        <w:spacing w:after="0" w:line="240" w:lineRule="auto"/>
        <w:jc w:val="both"/>
        <w:rPr>
          <w:rFonts w:ascii="Times New Roman" w:hAnsi="Times New Roman" w:cs="Times New Roman"/>
          <w:b/>
          <w:sz w:val="24"/>
          <w:szCs w:val="24"/>
        </w:rPr>
      </w:pPr>
    </w:p>
    <w:p w:rsidR="00842DB9" w:rsidRPr="00565D2C" w:rsidRDefault="00842DB9" w:rsidP="00565D2C">
      <w:pPr>
        <w:spacing w:after="0" w:line="240" w:lineRule="auto"/>
        <w:jc w:val="both"/>
        <w:rPr>
          <w:rFonts w:ascii="Times New Roman" w:hAnsi="Times New Roman" w:cs="Times New Roman"/>
          <w:sz w:val="24"/>
          <w:szCs w:val="24"/>
        </w:rPr>
      </w:pPr>
    </w:p>
    <w:p w:rsidR="00842DB9" w:rsidRPr="00565D2C" w:rsidRDefault="00842DB9" w:rsidP="00565D2C">
      <w:pPr>
        <w:spacing w:after="0" w:line="240" w:lineRule="auto"/>
        <w:jc w:val="both"/>
        <w:rPr>
          <w:rFonts w:ascii="Times New Roman" w:hAnsi="Times New Roman" w:cs="Times New Roman"/>
          <w:sz w:val="24"/>
          <w:szCs w:val="24"/>
        </w:rPr>
      </w:pPr>
    </w:p>
    <w:p w:rsidR="006F10B0" w:rsidRPr="00565D2C" w:rsidRDefault="006F10B0" w:rsidP="00565D2C">
      <w:pPr>
        <w:spacing w:after="0" w:line="240" w:lineRule="auto"/>
        <w:jc w:val="both"/>
        <w:rPr>
          <w:rFonts w:ascii="Times New Roman" w:hAnsi="Times New Roman" w:cs="Times New Roman"/>
          <w:sz w:val="24"/>
          <w:szCs w:val="24"/>
        </w:rPr>
      </w:pPr>
    </w:p>
    <w:p w:rsidR="009538A5" w:rsidRPr="00565D2C" w:rsidRDefault="009538A5"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La II tuvo un logro del 96.42% en las actividades planificadas en el primer semestre.</w:t>
      </w:r>
    </w:p>
    <w:p w:rsidR="009538A5" w:rsidRPr="00565D2C" w:rsidRDefault="009538A5" w:rsidP="00565D2C">
      <w:pPr>
        <w:spacing w:after="0" w:line="240" w:lineRule="auto"/>
        <w:jc w:val="both"/>
        <w:rPr>
          <w:rFonts w:ascii="Times New Roman" w:hAnsi="Times New Roman" w:cs="Times New Roman"/>
          <w:sz w:val="24"/>
          <w:szCs w:val="24"/>
        </w:rPr>
      </w:pPr>
    </w:p>
    <w:p w:rsidR="009538A5" w:rsidRPr="00565D2C" w:rsidRDefault="009538A5"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Las actividades más relevantes ejecutadas exitosamente por la II son las siguientes: </w:t>
      </w:r>
    </w:p>
    <w:p w:rsidR="005501EB" w:rsidRPr="00565D2C" w:rsidRDefault="005501EB"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p>
    <w:p w:rsidR="00311F2D" w:rsidRDefault="00311F2D" w:rsidP="00565D2C">
      <w:pPr>
        <w:pStyle w:val="Prrafodelista"/>
        <w:numPr>
          <w:ilvl w:val="0"/>
          <w:numId w:val="6"/>
        </w:numPr>
        <w:tabs>
          <w:tab w:val="left" w:pos="993"/>
        </w:tabs>
        <w:spacing w:after="0" w:line="240" w:lineRule="auto"/>
        <w:ind w:left="709" w:firstLine="11"/>
        <w:jc w:val="both"/>
        <w:rPr>
          <w:rFonts w:ascii="Times New Roman" w:hAnsi="Times New Roman" w:cs="Times New Roman"/>
          <w:sz w:val="24"/>
          <w:szCs w:val="24"/>
        </w:rPr>
      </w:pPr>
      <w:r w:rsidRPr="00565D2C">
        <w:rPr>
          <w:rFonts w:ascii="Times New Roman" w:hAnsi="Times New Roman" w:cs="Times New Roman"/>
          <w:sz w:val="24"/>
          <w:szCs w:val="24"/>
        </w:rPr>
        <w:t>Brindo insumos para la elaboración del boletín “Resumen SC. Síntesis Técnica de la Superintendencia de Competencia”.</w:t>
      </w:r>
    </w:p>
    <w:p w:rsidR="00535C43" w:rsidRPr="00565D2C" w:rsidRDefault="00535C43" w:rsidP="00535C43">
      <w:pPr>
        <w:pStyle w:val="Prrafodelista"/>
        <w:tabs>
          <w:tab w:val="left" w:pos="993"/>
        </w:tabs>
        <w:spacing w:after="0" w:line="240" w:lineRule="auto"/>
        <w:jc w:val="both"/>
        <w:rPr>
          <w:rFonts w:ascii="Times New Roman" w:hAnsi="Times New Roman" w:cs="Times New Roman"/>
          <w:sz w:val="24"/>
          <w:szCs w:val="24"/>
        </w:rPr>
      </w:pPr>
    </w:p>
    <w:p w:rsidR="00311F2D" w:rsidRDefault="00311F2D" w:rsidP="00565D2C">
      <w:pPr>
        <w:pStyle w:val="Prrafodelista"/>
        <w:numPr>
          <w:ilvl w:val="0"/>
          <w:numId w:val="6"/>
        </w:numPr>
        <w:tabs>
          <w:tab w:val="left" w:pos="993"/>
        </w:tabs>
        <w:spacing w:after="0" w:line="240" w:lineRule="auto"/>
        <w:ind w:left="709" w:firstLine="11"/>
        <w:jc w:val="both"/>
        <w:rPr>
          <w:rFonts w:ascii="Times New Roman" w:hAnsi="Times New Roman" w:cs="Times New Roman"/>
          <w:sz w:val="24"/>
          <w:szCs w:val="24"/>
        </w:rPr>
      </w:pPr>
      <w:r w:rsidRPr="00565D2C">
        <w:rPr>
          <w:rFonts w:ascii="Times New Roman" w:hAnsi="Times New Roman" w:cs="Times New Roman"/>
          <w:sz w:val="24"/>
          <w:szCs w:val="24"/>
        </w:rPr>
        <w:t>Participo en la mesa interinstitucional para revisar 2 proyectos de normas a petición del Banco Central de Reserva.</w:t>
      </w:r>
    </w:p>
    <w:p w:rsidR="00535C43" w:rsidRPr="00565D2C" w:rsidRDefault="00535C43" w:rsidP="00535C43">
      <w:pPr>
        <w:pStyle w:val="Prrafodelista"/>
        <w:tabs>
          <w:tab w:val="left" w:pos="993"/>
        </w:tabs>
        <w:spacing w:after="0" w:line="240" w:lineRule="auto"/>
        <w:jc w:val="both"/>
        <w:rPr>
          <w:rFonts w:ascii="Times New Roman" w:hAnsi="Times New Roman" w:cs="Times New Roman"/>
          <w:sz w:val="24"/>
          <w:szCs w:val="24"/>
        </w:rPr>
      </w:pPr>
    </w:p>
    <w:p w:rsidR="00311F2D" w:rsidRDefault="00CA7820" w:rsidP="00565D2C">
      <w:pPr>
        <w:pStyle w:val="Prrafodelista"/>
        <w:numPr>
          <w:ilvl w:val="0"/>
          <w:numId w:val="6"/>
        </w:numPr>
        <w:tabs>
          <w:tab w:val="left" w:pos="993"/>
        </w:tabs>
        <w:spacing w:after="0" w:line="240" w:lineRule="auto"/>
        <w:ind w:left="709" w:firstLine="11"/>
        <w:jc w:val="both"/>
        <w:rPr>
          <w:rFonts w:ascii="Times New Roman" w:hAnsi="Times New Roman" w:cs="Times New Roman"/>
          <w:sz w:val="24"/>
          <w:szCs w:val="24"/>
        </w:rPr>
      </w:pPr>
      <w:r w:rsidRPr="00565D2C">
        <w:rPr>
          <w:rFonts w:ascii="Times New Roman" w:hAnsi="Times New Roman" w:cs="Times New Roman"/>
          <w:sz w:val="24"/>
          <w:szCs w:val="24"/>
        </w:rPr>
        <w:t>Actualizo el sitio web institucional con 8 entradas.</w:t>
      </w:r>
    </w:p>
    <w:p w:rsidR="00535C43" w:rsidRPr="00565D2C" w:rsidRDefault="00535C43" w:rsidP="00535C43">
      <w:pPr>
        <w:pStyle w:val="Prrafodelista"/>
        <w:tabs>
          <w:tab w:val="left" w:pos="993"/>
        </w:tabs>
        <w:spacing w:after="0" w:line="240" w:lineRule="auto"/>
        <w:jc w:val="both"/>
        <w:rPr>
          <w:rFonts w:ascii="Times New Roman" w:hAnsi="Times New Roman" w:cs="Times New Roman"/>
          <w:sz w:val="24"/>
          <w:szCs w:val="24"/>
        </w:rPr>
      </w:pPr>
    </w:p>
    <w:p w:rsidR="00CA7820" w:rsidRDefault="00C076AD" w:rsidP="00565D2C">
      <w:pPr>
        <w:pStyle w:val="Prrafodelista"/>
        <w:numPr>
          <w:ilvl w:val="0"/>
          <w:numId w:val="6"/>
        </w:numPr>
        <w:tabs>
          <w:tab w:val="left" w:pos="993"/>
        </w:tabs>
        <w:spacing w:after="0" w:line="240" w:lineRule="auto"/>
        <w:ind w:left="709" w:firstLine="11"/>
        <w:jc w:val="both"/>
        <w:rPr>
          <w:rFonts w:ascii="Times New Roman" w:hAnsi="Times New Roman" w:cs="Times New Roman"/>
          <w:sz w:val="24"/>
          <w:szCs w:val="24"/>
        </w:rPr>
      </w:pPr>
      <w:r w:rsidRPr="00565D2C">
        <w:rPr>
          <w:rFonts w:ascii="Times New Roman" w:hAnsi="Times New Roman" w:cs="Times New Roman"/>
          <w:sz w:val="24"/>
          <w:szCs w:val="24"/>
        </w:rPr>
        <w:t>2</w:t>
      </w:r>
      <w:r w:rsidR="00CA7820" w:rsidRPr="00565D2C">
        <w:rPr>
          <w:rFonts w:ascii="Times New Roman" w:hAnsi="Times New Roman" w:cs="Times New Roman"/>
          <w:sz w:val="24"/>
          <w:szCs w:val="24"/>
        </w:rPr>
        <w:t xml:space="preserve"> actos procesales a fin de obtener una pronta y cumplida sentencia respecto a DIZUCAR (198-2012) y SISA VIDA (173-2015).</w:t>
      </w:r>
    </w:p>
    <w:p w:rsidR="00535C43" w:rsidRPr="00535C43" w:rsidRDefault="00535C43" w:rsidP="00535C43">
      <w:pPr>
        <w:pStyle w:val="Prrafodelista"/>
        <w:rPr>
          <w:rFonts w:ascii="Times New Roman" w:hAnsi="Times New Roman" w:cs="Times New Roman"/>
          <w:sz w:val="24"/>
          <w:szCs w:val="24"/>
        </w:rPr>
      </w:pPr>
    </w:p>
    <w:p w:rsidR="00B659F9" w:rsidRDefault="00B659F9" w:rsidP="00565D2C">
      <w:pPr>
        <w:pStyle w:val="Prrafodelista"/>
        <w:numPr>
          <w:ilvl w:val="0"/>
          <w:numId w:val="6"/>
        </w:numPr>
        <w:tabs>
          <w:tab w:val="left" w:pos="993"/>
        </w:tabs>
        <w:spacing w:after="0" w:line="240" w:lineRule="auto"/>
        <w:ind w:left="709" w:firstLine="11"/>
        <w:jc w:val="both"/>
        <w:rPr>
          <w:rFonts w:ascii="Times New Roman" w:hAnsi="Times New Roman" w:cs="Times New Roman"/>
          <w:sz w:val="24"/>
          <w:szCs w:val="24"/>
        </w:rPr>
      </w:pPr>
      <w:r w:rsidRPr="00565D2C">
        <w:rPr>
          <w:rFonts w:ascii="Times New Roman" w:hAnsi="Times New Roman" w:cs="Times New Roman"/>
          <w:sz w:val="24"/>
          <w:szCs w:val="24"/>
        </w:rPr>
        <w:t>Se</w:t>
      </w:r>
      <w:r w:rsidR="00C076AD" w:rsidRPr="00565D2C">
        <w:rPr>
          <w:rFonts w:ascii="Times New Roman" w:hAnsi="Times New Roman" w:cs="Times New Roman"/>
          <w:sz w:val="24"/>
          <w:szCs w:val="24"/>
        </w:rPr>
        <w:t xml:space="preserve">guimiento a 4 procesos judiciales </w:t>
      </w:r>
      <w:r w:rsidRPr="00565D2C">
        <w:rPr>
          <w:rFonts w:ascii="Times New Roman" w:hAnsi="Times New Roman" w:cs="Times New Roman"/>
          <w:sz w:val="24"/>
          <w:szCs w:val="24"/>
        </w:rPr>
        <w:t>en las salas de la CSJ respecto a Digicel (140-2016), CTE (167-2016), ODS (165-2014), e Ingenio el Ángel (487-2016).</w:t>
      </w:r>
    </w:p>
    <w:p w:rsidR="00535C43" w:rsidRPr="00535C43" w:rsidRDefault="00535C43" w:rsidP="00535C43">
      <w:pPr>
        <w:pStyle w:val="Prrafodelista"/>
        <w:rPr>
          <w:rFonts w:ascii="Times New Roman" w:hAnsi="Times New Roman" w:cs="Times New Roman"/>
          <w:sz w:val="24"/>
          <w:szCs w:val="24"/>
        </w:rPr>
      </w:pPr>
    </w:p>
    <w:p w:rsidR="00B659F9" w:rsidRPr="00565D2C" w:rsidRDefault="00B659F9" w:rsidP="00565D2C">
      <w:pPr>
        <w:pStyle w:val="Prrafodelista"/>
        <w:numPr>
          <w:ilvl w:val="0"/>
          <w:numId w:val="6"/>
        </w:numPr>
        <w:tabs>
          <w:tab w:val="left" w:pos="993"/>
        </w:tabs>
        <w:spacing w:after="0" w:line="240" w:lineRule="auto"/>
        <w:ind w:left="709" w:firstLine="11"/>
        <w:jc w:val="both"/>
        <w:rPr>
          <w:rFonts w:ascii="Times New Roman" w:hAnsi="Times New Roman" w:cs="Times New Roman"/>
          <w:sz w:val="24"/>
          <w:szCs w:val="24"/>
        </w:rPr>
      </w:pPr>
      <w:r w:rsidRPr="00565D2C">
        <w:rPr>
          <w:rFonts w:ascii="Times New Roman" w:hAnsi="Times New Roman" w:cs="Times New Roman"/>
          <w:sz w:val="24"/>
          <w:szCs w:val="24"/>
        </w:rPr>
        <w:t>Se evacuaron 5 escritos solicitados por la Sala de la Corte Suprema de Justicia en los tiempos estipulados: U TRAVEL (254-2009), Digicel (140-2016), Ingenio el Ángel (487-2016), Beneficios de arroz (265-2017) y TELEMOVIL (191-2016).</w:t>
      </w:r>
    </w:p>
    <w:p w:rsidR="00CA7820" w:rsidRPr="00565D2C" w:rsidRDefault="00B659F9" w:rsidP="00565D2C">
      <w:pPr>
        <w:pStyle w:val="Prrafodelista"/>
        <w:tabs>
          <w:tab w:val="left" w:pos="993"/>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p>
    <w:p w:rsidR="00746467" w:rsidRPr="00565D2C" w:rsidRDefault="00311F2D" w:rsidP="00565D2C">
      <w:pPr>
        <w:pStyle w:val="Prrafodelista"/>
        <w:tabs>
          <w:tab w:val="left" w:pos="993"/>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p>
    <w:p w:rsidR="007A4354" w:rsidRPr="00565D2C" w:rsidRDefault="007A4354" w:rsidP="00565D2C">
      <w:pPr>
        <w:pStyle w:val="Ttulo2"/>
        <w:numPr>
          <w:ilvl w:val="0"/>
          <w:numId w:val="12"/>
        </w:numPr>
        <w:rPr>
          <w:rFonts w:ascii="Times New Roman" w:hAnsi="Times New Roman" w:cs="Times New Roman"/>
          <w:szCs w:val="24"/>
        </w:rPr>
      </w:pPr>
      <w:bookmarkStart w:id="6" w:name="_Toc523143300"/>
      <w:r w:rsidRPr="00565D2C">
        <w:rPr>
          <w:rFonts w:ascii="Times New Roman" w:hAnsi="Times New Roman" w:cs="Times New Roman"/>
          <w:szCs w:val="24"/>
        </w:rPr>
        <w:t>Unidad de Comunicaciones</w:t>
      </w:r>
      <w:r w:rsidR="003146AE" w:rsidRPr="00565D2C">
        <w:rPr>
          <w:rFonts w:ascii="Times New Roman" w:hAnsi="Times New Roman" w:cs="Times New Roman"/>
          <w:szCs w:val="24"/>
        </w:rPr>
        <w:t xml:space="preserve"> (UC)</w:t>
      </w:r>
      <w:bookmarkEnd w:id="6"/>
    </w:p>
    <w:p w:rsidR="000A3DFD" w:rsidRPr="00565D2C" w:rsidRDefault="00535C43" w:rsidP="00565D2C">
      <w:pPr>
        <w:spacing w:after="0" w:line="240" w:lineRule="auto"/>
        <w:jc w:val="both"/>
        <w:rPr>
          <w:rFonts w:ascii="Times New Roman" w:hAnsi="Times New Roman" w:cs="Times New Roman"/>
          <w:b/>
          <w:sz w:val="24"/>
          <w:szCs w:val="24"/>
        </w:rPr>
      </w:pPr>
      <w:r w:rsidRPr="00565D2C">
        <w:rPr>
          <w:rFonts w:ascii="Times New Roman" w:hAnsi="Times New Roman" w:cs="Times New Roman"/>
          <w:noProof/>
          <w:sz w:val="24"/>
          <w:szCs w:val="24"/>
        </w:rPr>
        <w:drawing>
          <wp:anchor distT="0" distB="0" distL="114300" distR="114300" simplePos="0" relativeHeight="251777024" behindDoc="1" locked="0" layoutInCell="1" allowOverlap="1">
            <wp:simplePos x="0" y="0"/>
            <wp:positionH relativeFrom="column">
              <wp:posOffset>442595</wp:posOffset>
            </wp:positionH>
            <wp:positionV relativeFrom="paragraph">
              <wp:posOffset>135255</wp:posOffset>
            </wp:positionV>
            <wp:extent cx="2095090" cy="648506"/>
            <wp:effectExtent l="0" t="0" r="635" b="0"/>
            <wp:wrapTight wrapText="bothSides">
              <wp:wrapPolygon edited="0">
                <wp:start x="0" y="0"/>
                <wp:lineTo x="0" y="20944"/>
                <wp:lineTo x="21410" y="20944"/>
                <wp:lineTo x="21410" y="0"/>
                <wp:lineTo x="0"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090" cy="648506"/>
                    </a:xfrm>
                    <a:prstGeom prst="rect">
                      <a:avLst/>
                    </a:prstGeom>
                    <a:noFill/>
                  </pic:spPr>
                </pic:pic>
              </a:graphicData>
            </a:graphic>
          </wp:anchor>
        </w:drawing>
      </w:r>
    </w:p>
    <w:p w:rsidR="00E52082" w:rsidRPr="00565D2C" w:rsidRDefault="00535C43" w:rsidP="00565D2C">
      <w:pPr>
        <w:spacing w:after="0" w:line="240" w:lineRule="auto"/>
        <w:jc w:val="both"/>
        <w:rPr>
          <w:rFonts w:ascii="Times New Roman" w:hAnsi="Times New Roman" w:cs="Times New Roman"/>
          <w:b/>
          <w:sz w:val="24"/>
          <w:szCs w:val="24"/>
        </w:rPr>
      </w:pPr>
      <w:r w:rsidRPr="00565D2C">
        <w:rPr>
          <w:rFonts w:ascii="Times New Roman" w:hAnsi="Times New Roman" w:cs="Times New Roman"/>
          <w:noProof/>
          <w:sz w:val="24"/>
          <w:szCs w:val="24"/>
        </w:rPr>
        <w:drawing>
          <wp:anchor distT="0" distB="0" distL="114300" distR="114300" simplePos="0" relativeHeight="251778048" behindDoc="1" locked="0" layoutInCell="1" allowOverlap="1">
            <wp:simplePos x="0" y="0"/>
            <wp:positionH relativeFrom="column">
              <wp:posOffset>2891155</wp:posOffset>
            </wp:positionH>
            <wp:positionV relativeFrom="paragraph">
              <wp:posOffset>-46990</wp:posOffset>
            </wp:positionV>
            <wp:extent cx="2795270" cy="537210"/>
            <wp:effectExtent l="0" t="0" r="5080" b="0"/>
            <wp:wrapTight wrapText="bothSides">
              <wp:wrapPolygon edited="0">
                <wp:start x="0" y="0"/>
                <wp:lineTo x="0" y="20681"/>
                <wp:lineTo x="21492" y="20681"/>
                <wp:lineTo x="21492" y="0"/>
                <wp:lineTo x="0" y="0"/>
              </wp:wrapPolygon>
            </wp:wrapTight>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5270" cy="537210"/>
                    </a:xfrm>
                    <a:prstGeom prst="rect">
                      <a:avLst/>
                    </a:prstGeom>
                    <a:noFill/>
                  </pic:spPr>
                </pic:pic>
              </a:graphicData>
            </a:graphic>
            <wp14:sizeRelH relativeFrom="margin">
              <wp14:pctWidth>0</wp14:pctWidth>
            </wp14:sizeRelH>
            <wp14:sizeRelV relativeFrom="margin">
              <wp14:pctHeight>0</wp14:pctHeight>
            </wp14:sizeRelV>
          </wp:anchor>
        </w:drawing>
      </w:r>
    </w:p>
    <w:p w:rsidR="003146AE" w:rsidRPr="00565D2C" w:rsidRDefault="003146AE" w:rsidP="00565D2C">
      <w:pPr>
        <w:spacing w:after="0" w:line="240" w:lineRule="auto"/>
        <w:jc w:val="both"/>
        <w:rPr>
          <w:rFonts w:ascii="Times New Roman" w:hAnsi="Times New Roman" w:cs="Times New Roman"/>
          <w:sz w:val="24"/>
          <w:szCs w:val="24"/>
        </w:rPr>
      </w:pPr>
    </w:p>
    <w:p w:rsidR="003146AE" w:rsidRPr="00565D2C" w:rsidRDefault="003146AE" w:rsidP="00565D2C">
      <w:pPr>
        <w:spacing w:after="0" w:line="240" w:lineRule="auto"/>
        <w:jc w:val="both"/>
        <w:rPr>
          <w:rFonts w:ascii="Times New Roman" w:hAnsi="Times New Roman" w:cs="Times New Roman"/>
          <w:sz w:val="24"/>
          <w:szCs w:val="24"/>
        </w:rPr>
      </w:pPr>
    </w:p>
    <w:p w:rsidR="003146AE" w:rsidRPr="00565D2C" w:rsidRDefault="00535C43"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noProof/>
          <w:sz w:val="24"/>
          <w:szCs w:val="24"/>
        </w:rPr>
        <w:drawing>
          <wp:anchor distT="0" distB="0" distL="114300" distR="114300" simplePos="0" relativeHeight="251798528" behindDoc="1" locked="0" layoutInCell="1" allowOverlap="1">
            <wp:simplePos x="0" y="0"/>
            <wp:positionH relativeFrom="column">
              <wp:posOffset>443865</wp:posOffset>
            </wp:positionH>
            <wp:positionV relativeFrom="paragraph">
              <wp:posOffset>174625</wp:posOffset>
            </wp:positionV>
            <wp:extent cx="5244120" cy="1492040"/>
            <wp:effectExtent l="0" t="0" r="0" b="0"/>
            <wp:wrapTight wrapText="bothSides">
              <wp:wrapPolygon edited="0">
                <wp:start x="0" y="0"/>
                <wp:lineTo x="0" y="21241"/>
                <wp:lineTo x="21501" y="21241"/>
                <wp:lineTo x="21501" y="0"/>
                <wp:lineTo x="0" y="0"/>
              </wp:wrapPolygon>
            </wp:wrapTight>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4120" cy="1492040"/>
                    </a:xfrm>
                    <a:prstGeom prst="rect">
                      <a:avLst/>
                    </a:prstGeom>
                    <a:noFill/>
                  </pic:spPr>
                </pic:pic>
              </a:graphicData>
            </a:graphic>
          </wp:anchor>
        </w:drawing>
      </w:r>
    </w:p>
    <w:p w:rsidR="003146AE" w:rsidRPr="00565D2C" w:rsidRDefault="003146AE" w:rsidP="00565D2C">
      <w:pPr>
        <w:spacing w:after="0" w:line="240" w:lineRule="auto"/>
        <w:jc w:val="both"/>
        <w:rPr>
          <w:rFonts w:ascii="Times New Roman" w:hAnsi="Times New Roman" w:cs="Times New Roman"/>
          <w:sz w:val="24"/>
          <w:szCs w:val="24"/>
        </w:rPr>
      </w:pPr>
    </w:p>
    <w:p w:rsidR="003146AE" w:rsidRPr="00565D2C" w:rsidRDefault="003146AE" w:rsidP="00565D2C">
      <w:pPr>
        <w:spacing w:after="0" w:line="240" w:lineRule="auto"/>
        <w:jc w:val="both"/>
        <w:rPr>
          <w:rFonts w:ascii="Times New Roman" w:hAnsi="Times New Roman" w:cs="Times New Roman"/>
          <w:sz w:val="24"/>
          <w:szCs w:val="24"/>
        </w:rPr>
      </w:pPr>
    </w:p>
    <w:p w:rsidR="003146AE" w:rsidRPr="00565D2C" w:rsidRDefault="003146AE" w:rsidP="00565D2C">
      <w:pPr>
        <w:spacing w:after="0" w:line="240" w:lineRule="auto"/>
        <w:jc w:val="both"/>
        <w:rPr>
          <w:rFonts w:ascii="Times New Roman" w:hAnsi="Times New Roman" w:cs="Times New Roman"/>
          <w:sz w:val="24"/>
          <w:szCs w:val="24"/>
        </w:rPr>
      </w:pPr>
    </w:p>
    <w:p w:rsidR="00535C43" w:rsidRDefault="00535C43" w:rsidP="00565D2C">
      <w:pPr>
        <w:spacing w:after="0" w:line="240" w:lineRule="auto"/>
        <w:jc w:val="both"/>
        <w:rPr>
          <w:rFonts w:ascii="Times New Roman" w:hAnsi="Times New Roman" w:cs="Times New Roman"/>
          <w:sz w:val="24"/>
          <w:szCs w:val="24"/>
        </w:rPr>
      </w:pPr>
    </w:p>
    <w:p w:rsidR="00535C43" w:rsidRDefault="00535C43" w:rsidP="00565D2C">
      <w:pPr>
        <w:spacing w:after="0" w:line="240" w:lineRule="auto"/>
        <w:jc w:val="both"/>
        <w:rPr>
          <w:rFonts w:ascii="Times New Roman" w:hAnsi="Times New Roman" w:cs="Times New Roman"/>
          <w:sz w:val="24"/>
          <w:szCs w:val="24"/>
        </w:rPr>
      </w:pPr>
    </w:p>
    <w:p w:rsidR="00535C43" w:rsidRDefault="00535C43" w:rsidP="00565D2C">
      <w:pPr>
        <w:spacing w:after="0" w:line="240" w:lineRule="auto"/>
        <w:jc w:val="both"/>
        <w:rPr>
          <w:rFonts w:ascii="Times New Roman" w:hAnsi="Times New Roman" w:cs="Times New Roman"/>
          <w:sz w:val="24"/>
          <w:szCs w:val="24"/>
        </w:rPr>
      </w:pPr>
    </w:p>
    <w:p w:rsidR="00535C43" w:rsidRDefault="00535C43" w:rsidP="00565D2C">
      <w:pPr>
        <w:spacing w:after="0" w:line="240" w:lineRule="auto"/>
        <w:jc w:val="both"/>
        <w:rPr>
          <w:rFonts w:ascii="Times New Roman" w:hAnsi="Times New Roman" w:cs="Times New Roman"/>
          <w:sz w:val="24"/>
          <w:szCs w:val="24"/>
        </w:rPr>
      </w:pPr>
    </w:p>
    <w:p w:rsidR="00535C43" w:rsidRDefault="00535C43" w:rsidP="00565D2C">
      <w:pPr>
        <w:spacing w:after="0" w:line="240" w:lineRule="auto"/>
        <w:jc w:val="both"/>
        <w:rPr>
          <w:rFonts w:ascii="Times New Roman" w:hAnsi="Times New Roman" w:cs="Times New Roman"/>
          <w:sz w:val="24"/>
          <w:szCs w:val="24"/>
        </w:rPr>
      </w:pPr>
    </w:p>
    <w:p w:rsidR="00535C43" w:rsidRDefault="00535C43" w:rsidP="00565D2C">
      <w:pPr>
        <w:spacing w:after="0" w:line="240" w:lineRule="auto"/>
        <w:jc w:val="both"/>
        <w:rPr>
          <w:rFonts w:ascii="Times New Roman" w:hAnsi="Times New Roman" w:cs="Times New Roman"/>
          <w:sz w:val="24"/>
          <w:szCs w:val="24"/>
        </w:rPr>
      </w:pPr>
    </w:p>
    <w:p w:rsidR="00535C43" w:rsidRDefault="00535C43" w:rsidP="00565D2C">
      <w:pPr>
        <w:spacing w:after="0" w:line="240" w:lineRule="auto"/>
        <w:jc w:val="both"/>
        <w:rPr>
          <w:rFonts w:ascii="Times New Roman" w:hAnsi="Times New Roman" w:cs="Times New Roman"/>
          <w:sz w:val="24"/>
          <w:szCs w:val="24"/>
        </w:rPr>
      </w:pPr>
    </w:p>
    <w:p w:rsidR="00F56C78" w:rsidRPr="00565D2C" w:rsidRDefault="00F56C78"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La Unidad d</w:t>
      </w:r>
      <w:r w:rsidR="00CB39FA">
        <w:rPr>
          <w:rFonts w:ascii="Times New Roman" w:hAnsi="Times New Roman" w:cs="Times New Roman"/>
          <w:sz w:val="24"/>
          <w:szCs w:val="24"/>
        </w:rPr>
        <w:t>e Comunicaciones ejecutó en un 89</w:t>
      </w:r>
      <w:r w:rsidRPr="00565D2C">
        <w:rPr>
          <w:rFonts w:ascii="Times New Roman" w:hAnsi="Times New Roman" w:cs="Times New Roman"/>
          <w:sz w:val="24"/>
          <w:szCs w:val="24"/>
        </w:rPr>
        <w:t xml:space="preserve">.39% las actividades </w:t>
      </w:r>
      <w:r w:rsidR="00105668" w:rsidRPr="00565D2C">
        <w:rPr>
          <w:rFonts w:ascii="Times New Roman" w:hAnsi="Times New Roman" w:cs="Times New Roman"/>
          <w:sz w:val="24"/>
          <w:szCs w:val="24"/>
        </w:rPr>
        <w:t>que se programó</w:t>
      </w:r>
      <w:r w:rsidRPr="00565D2C">
        <w:rPr>
          <w:rFonts w:ascii="Times New Roman" w:hAnsi="Times New Roman" w:cs="Times New Roman"/>
          <w:sz w:val="24"/>
          <w:szCs w:val="24"/>
        </w:rPr>
        <w:t>.</w:t>
      </w:r>
    </w:p>
    <w:p w:rsidR="00F56C78" w:rsidRPr="00565D2C" w:rsidRDefault="00F56C78" w:rsidP="00565D2C">
      <w:pPr>
        <w:spacing w:after="0" w:line="240" w:lineRule="auto"/>
        <w:jc w:val="both"/>
        <w:rPr>
          <w:rFonts w:ascii="Times New Roman" w:hAnsi="Times New Roman" w:cs="Times New Roman"/>
          <w:sz w:val="24"/>
          <w:szCs w:val="24"/>
        </w:rPr>
      </w:pPr>
    </w:p>
    <w:p w:rsidR="00A66046" w:rsidRPr="00565D2C" w:rsidRDefault="00A66046"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Dentro de las actividades más relevantes ejecutadas exitosamente se cuenta con: </w:t>
      </w:r>
    </w:p>
    <w:p w:rsidR="00F34171" w:rsidRPr="00565D2C" w:rsidRDefault="00F34171" w:rsidP="00565D2C">
      <w:pPr>
        <w:spacing w:after="0" w:line="240" w:lineRule="auto"/>
        <w:jc w:val="both"/>
        <w:rPr>
          <w:rFonts w:ascii="Times New Roman" w:hAnsi="Times New Roman" w:cs="Times New Roman"/>
          <w:sz w:val="24"/>
          <w:szCs w:val="24"/>
        </w:rPr>
      </w:pPr>
    </w:p>
    <w:p w:rsidR="004F5B3C" w:rsidRPr="00565D2C" w:rsidRDefault="00F812EF" w:rsidP="00565D2C">
      <w:pPr>
        <w:pStyle w:val="Prrafodelista"/>
        <w:numPr>
          <w:ilvl w:val="0"/>
          <w:numId w:val="7"/>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Publicación digital del boletín sobre competencia en Centroamérica.</w:t>
      </w:r>
    </w:p>
    <w:p w:rsidR="00F812EF" w:rsidRPr="00565D2C" w:rsidRDefault="00F812EF" w:rsidP="00565D2C">
      <w:pPr>
        <w:spacing w:after="0" w:line="240" w:lineRule="auto"/>
        <w:jc w:val="both"/>
        <w:rPr>
          <w:rFonts w:ascii="Times New Roman" w:hAnsi="Times New Roman" w:cs="Times New Roman"/>
          <w:sz w:val="24"/>
          <w:szCs w:val="24"/>
        </w:rPr>
      </w:pPr>
    </w:p>
    <w:p w:rsidR="00535C43" w:rsidRPr="00532429" w:rsidRDefault="00F812EF" w:rsidP="0001555F">
      <w:pPr>
        <w:pStyle w:val="Default"/>
        <w:numPr>
          <w:ilvl w:val="0"/>
          <w:numId w:val="7"/>
        </w:numPr>
        <w:jc w:val="both"/>
        <w:rPr>
          <w:rFonts w:ascii="Times New Roman" w:hAnsi="Times New Roman" w:cs="Times New Roman"/>
        </w:rPr>
      </w:pPr>
      <w:r w:rsidRPr="00532429">
        <w:rPr>
          <w:rFonts w:ascii="Times New Roman" w:hAnsi="Times New Roman" w:cs="Times New Roman"/>
        </w:rPr>
        <w:t>6 comunicados de prensa</w:t>
      </w:r>
      <w:r w:rsidR="00A366C6" w:rsidRPr="00532429">
        <w:rPr>
          <w:rFonts w:ascii="Times New Roman" w:hAnsi="Times New Roman" w:cs="Times New Roman"/>
        </w:rPr>
        <w:t xml:space="preserve"> elaborados</w:t>
      </w:r>
      <w:r w:rsidRPr="00532429">
        <w:rPr>
          <w:rFonts w:ascii="Times New Roman" w:hAnsi="Times New Roman" w:cs="Times New Roman"/>
        </w:rPr>
        <w:t xml:space="preserve">: </w:t>
      </w:r>
    </w:p>
    <w:p w:rsidR="00535C43" w:rsidRDefault="00535C43" w:rsidP="00535C43">
      <w:pPr>
        <w:pStyle w:val="Default"/>
        <w:numPr>
          <w:ilvl w:val="0"/>
          <w:numId w:val="18"/>
        </w:numPr>
        <w:jc w:val="both"/>
        <w:rPr>
          <w:rFonts w:ascii="Times New Roman" w:hAnsi="Times New Roman" w:cs="Times New Roman"/>
        </w:rPr>
      </w:pPr>
      <w:r>
        <w:rPr>
          <w:rFonts w:ascii="Times New Roman" w:hAnsi="Times New Roman" w:cs="Times New Roman"/>
        </w:rPr>
        <w:t>Nuevos fallos a favor.</w:t>
      </w:r>
    </w:p>
    <w:p w:rsidR="00535C43" w:rsidRDefault="00F812EF" w:rsidP="00535C43">
      <w:pPr>
        <w:pStyle w:val="Default"/>
        <w:numPr>
          <w:ilvl w:val="0"/>
          <w:numId w:val="18"/>
        </w:numPr>
        <w:jc w:val="both"/>
        <w:rPr>
          <w:rFonts w:ascii="Times New Roman" w:hAnsi="Times New Roman" w:cs="Times New Roman"/>
        </w:rPr>
      </w:pPr>
      <w:r w:rsidRPr="00565D2C">
        <w:rPr>
          <w:rFonts w:ascii="Times New Roman" w:hAnsi="Times New Roman" w:cs="Times New Roman"/>
        </w:rPr>
        <w:t>SC espera fallo de 12 procesos contenciosos</w:t>
      </w:r>
      <w:r w:rsidR="00535C43">
        <w:rPr>
          <w:rFonts w:ascii="Times New Roman" w:hAnsi="Times New Roman" w:cs="Times New Roman"/>
        </w:rPr>
        <w:t>.</w:t>
      </w:r>
    </w:p>
    <w:p w:rsidR="00535C43" w:rsidRDefault="00F812EF" w:rsidP="00535C43">
      <w:pPr>
        <w:pStyle w:val="Default"/>
        <w:numPr>
          <w:ilvl w:val="0"/>
          <w:numId w:val="18"/>
        </w:numPr>
        <w:jc w:val="both"/>
        <w:rPr>
          <w:rFonts w:ascii="Times New Roman" w:hAnsi="Times New Roman" w:cs="Times New Roman"/>
        </w:rPr>
      </w:pPr>
      <w:r w:rsidRPr="00565D2C">
        <w:rPr>
          <w:rFonts w:ascii="Times New Roman" w:hAnsi="Times New Roman" w:cs="Times New Roman"/>
        </w:rPr>
        <w:t>SC expuso los beneficios de la sana competencia a las MYPE de la zona oriental</w:t>
      </w:r>
      <w:r w:rsidR="00535C43">
        <w:rPr>
          <w:rFonts w:ascii="Times New Roman" w:hAnsi="Times New Roman" w:cs="Times New Roman"/>
        </w:rPr>
        <w:t>.</w:t>
      </w:r>
    </w:p>
    <w:p w:rsidR="00535C43" w:rsidRDefault="00F812EF" w:rsidP="00535C43">
      <w:pPr>
        <w:pStyle w:val="Default"/>
        <w:numPr>
          <w:ilvl w:val="0"/>
          <w:numId w:val="18"/>
        </w:numPr>
        <w:jc w:val="both"/>
        <w:rPr>
          <w:rFonts w:ascii="Times New Roman" w:hAnsi="Times New Roman" w:cs="Times New Roman"/>
        </w:rPr>
      </w:pPr>
      <w:r w:rsidRPr="00565D2C">
        <w:rPr>
          <w:rFonts w:ascii="Times New Roman" w:hAnsi="Times New Roman" w:cs="Times New Roman"/>
        </w:rPr>
        <w:t>Presidente de la República juramento a nuevo director suplente del Consejo Directivo de la SC</w:t>
      </w:r>
      <w:r w:rsidR="00535C43">
        <w:rPr>
          <w:rFonts w:ascii="Times New Roman" w:hAnsi="Times New Roman" w:cs="Times New Roman"/>
        </w:rPr>
        <w:t>.</w:t>
      </w:r>
    </w:p>
    <w:p w:rsidR="00535C43" w:rsidRDefault="00F812EF" w:rsidP="00535C43">
      <w:pPr>
        <w:pStyle w:val="Default"/>
        <w:numPr>
          <w:ilvl w:val="0"/>
          <w:numId w:val="18"/>
        </w:numPr>
        <w:jc w:val="both"/>
        <w:rPr>
          <w:rFonts w:ascii="Times New Roman" w:hAnsi="Times New Roman" w:cs="Times New Roman"/>
        </w:rPr>
      </w:pPr>
      <w:r w:rsidRPr="00565D2C">
        <w:rPr>
          <w:rFonts w:ascii="Times New Roman" w:hAnsi="Times New Roman" w:cs="Times New Roman"/>
        </w:rPr>
        <w:t>Un caso curioso, singular y complejo</w:t>
      </w:r>
      <w:r w:rsidR="00535C43">
        <w:rPr>
          <w:rFonts w:ascii="Times New Roman" w:hAnsi="Times New Roman" w:cs="Times New Roman"/>
        </w:rPr>
        <w:t>.</w:t>
      </w:r>
    </w:p>
    <w:p w:rsidR="00F812EF" w:rsidRDefault="00A366C6" w:rsidP="00535C43">
      <w:pPr>
        <w:pStyle w:val="Default"/>
        <w:numPr>
          <w:ilvl w:val="0"/>
          <w:numId w:val="18"/>
        </w:numPr>
        <w:jc w:val="both"/>
        <w:rPr>
          <w:rFonts w:ascii="Times New Roman" w:hAnsi="Times New Roman" w:cs="Times New Roman"/>
        </w:rPr>
      </w:pPr>
      <w:r w:rsidRPr="00565D2C">
        <w:rPr>
          <w:rFonts w:ascii="Times New Roman" w:hAnsi="Times New Roman" w:cs="Times New Roman"/>
        </w:rPr>
        <w:t>SC y CCR continúan acciones para detectar manipulaciones en compras públicas.</w:t>
      </w:r>
    </w:p>
    <w:p w:rsidR="00532429" w:rsidRPr="00565D2C" w:rsidRDefault="00532429" w:rsidP="00532429">
      <w:pPr>
        <w:pStyle w:val="Default"/>
        <w:ind w:left="1080"/>
        <w:jc w:val="both"/>
        <w:rPr>
          <w:rFonts w:ascii="Times New Roman" w:hAnsi="Times New Roman" w:cs="Times New Roman"/>
        </w:rPr>
      </w:pPr>
    </w:p>
    <w:p w:rsidR="00535C43" w:rsidRDefault="00A366C6" w:rsidP="00565D2C">
      <w:pPr>
        <w:pStyle w:val="Default"/>
        <w:numPr>
          <w:ilvl w:val="0"/>
          <w:numId w:val="7"/>
        </w:numPr>
        <w:jc w:val="both"/>
        <w:rPr>
          <w:rFonts w:ascii="Times New Roman" w:hAnsi="Times New Roman" w:cs="Times New Roman"/>
        </w:rPr>
      </w:pPr>
      <w:r w:rsidRPr="00565D2C">
        <w:rPr>
          <w:rFonts w:ascii="Times New Roman" w:hAnsi="Times New Roman" w:cs="Times New Roman"/>
        </w:rPr>
        <w:t xml:space="preserve">3 convocatorias realizadas: </w:t>
      </w:r>
    </w:p>
    <w:p w:rsidR="00535C43" w:rsidRDefault="00A366C6" w:rsidP="00535C43">
      <w:pPr>
        <w:pStyle w:val="Default"/>
        <w:numPr>
          <w:ilvl w:val="0"/>
          <w:numId w:val="19"/>
        </w:numPr>
        <w:jc w:val="both"/>
        <w:rPr>
          <w:rFonts w:ascii="Times New Roman" w:hAnsi="Times New Roman" w:cs="Times New Roman"/>
        </w:rPr>
      </w:pPr>
      <w:r w:rsidRPr="00565D2C">
        <w:rPr>
          <w:rFonts w:ascii="Times New Roman" w:hAnsi="Times New Roman" w:cs="Times New Roman"/>
        </w:rPr>
        <w:t>capacitación en CDMYPE Ilobasco</w:t>
      </w:r>
      <w:r w:rsidR="00535C43">
        <w:rPr>
          <w:rFonts w:ascii="Times New Roman" w:hAnsi="Times New Roman" w:cs="Times New Roman"/>
        </w:rPr>
        <w:t>.</w:t>
      </w:r>
    </w:p>
    <w:p w:rsidR="00535C43" w:rsidRDefault="00A366C6" w:rsidP="00535C43">
      <w:pPr>
        <w:pStyle w:val="Default"/>
        <w:numPr>
          <w:ilvl w:val="0"/>
          <w:numId w:val="19"/>
        </w:numPr>
        <w:jc w:val="both"/>
        <w:rPr>
          <w:rFonts w:ascii="Times New Roman" w:hAnsi="Times New Roman" w:cs="Times New Roman"/>
        </w:rPr>
      </w:pPr>
      <w:r w:rsidRPr="00565D2C">
        <w:rPr>
          <w:rFonts w:ascii="Times New Roman" w:hAnsi="Times New Roman" w:cs="Times New Roman"/>
        </w:rPr>
        <w:t>capacitación en CDMYPE UNIVO- San Miguel</w:t>
      </w:r>
      <w:r w:rsidR="00535C43">
        <w:rPr>
          <w:rFonts w:ascii="Times New Roman" w:hAnsi="Times New Roman" w:cs="Times New Roman"/>
        </w:rPr>
        <w:t>.</w:t>
      </w:r>
    </w:p>
    <w:p w:rsidR="00A366C6" w:rsidRDefault="00A366C6" w:rsidP="00535C43">
      <w:pPr>
        <w:pStyle w:val="Default"/>
        <w:numPr>
          <w:ilvl w:val="0"/>
          <w:numId w:val="19"/>
        </w:numPr>
        <w:jc w:val="both"/>
        <w:rPr>
          <w:rFonts w:ascii="Times New Roman" w:hAnsi="Times New Roman" w:cs="Times New Roman"/>
        </w:rPr>
      </w:pPr>
      <w:r w:rsidRPr="00565D2C">
        <w:rPr>
          <w:rFonts w:ascii="Times New Roman" w:hAnsi="Times New Roman" w:cs="Times New Roman"/>
        </w:rPr>
        <w:t>jornada de formación en Corte de Cuentas.</w:t>
      </w:r>
    </w:p>
    <w:p w:rsidR="00532429" w:rsidRPr="00565D2C" w:rsidRDefault="00532429" w:rsidP="00532429">
      <w:pPr>
        <w:pStyle w:val="Default"/>
        <w:ind w:left="1080"/>
        <w:jc w:val="both"/>
        <w:rPr>
          <w:rFonts w:ascii="Times New Roman" w:hAnsi="Times New Roman" w:cs="Times New Roman"/>
        </w:rPr>
      </w:pPr>
    </w:p>
    <w:p w:rsidR="00535C43" w:rsidRPr="00535C43" w:rsidRDefault="00A366C6" w:rsidP="00565D2C">
      <w:pPr>
        <w:pStyle w:val="Default"/>
        <w:numPr>
          <w:ilvl w:val="0"/>
          <w:numId w:val="7"/>
        </w:numPr>
        <w:jc w:val="both"/>
        <w:rPr>
          <w:rFonts w:ascii="Times New Roman" w:hAnsi="Times New Roman" w:cs="Times New Roman"/>
        </w:rPr>
      </w:pPr>
      <w:r w:rsidRPr="00565D2C">
        <w:rPr>
          <w:rFonts w:ascii="Times New Roman" w:hAnsi="Times New Roman" w:cs="Times New Roman"/>
          <w:lang w:val="es-SV"/>
        </w:rPr>
        <w:t xml:space="preserve">9 publicaciones: </w:t>
      </w:r>
    </w:p>
    <w:p w:rsidR="00532429" w:rsidRDefault="00654719" w:rsidP="00532429">
      <w:pPr>
        <w:pStyle w:val="Default"/>
        <w:numPr>
          <w:ilvl w:val="0"/>
          <w:numId w:val="20"/>
        </w:numPr>
        <w:jc w:val="both"/>
        <w:rPr>
          <w:rFonts w:ascii="Times New Roman" w:hAnsi="Times New Roman" w:cs="Times New Roman"/>
          <w:lang w:val="es-SV"/>
        </w:rPr>
      </w:pPr>
      <w:r w:rsidRPr="00565D2C">
        <w:rPr>
          <w:rFonts w:ascii="Times New Roman" w:hAnsi="Times New Roman" w:cs="Times New Roman"/>
          <w:lang w:val="es-SV"/>
        </w:rPr>
        <w:t>en el diario El Mundo, “Competencia en el mundo” (6)</w:t>
      </w:r>
      <w:r w:rsidR="00532429">
        <w:rPr>
          <w:rFonts w:ascii="Times New Roman" w:hAnsi="Times New Roman" w:cs="Times New Roman"/>
          <w:lang w:val="es-SV"/>
        </w:rPr>
        <w:t>.</w:t>
      </w:r>
    </w:p>
    <w:p w:rsidR="00532429" w:rsidRDefault="00654719" w:rsidP="00532429">
      <w:pPr>
        <w:pStyle w:val="Default"/>
        <w:numPr>
          <w:ilvl w:val="0"/>
          <w:numId w:val="20"/>
        </w:numPr>
        <w:jc w:val="both"/>
        <w:rPr>
          <w:rFonts w:ascii="Times New Roman" w:hAnsi="Times New Roman" w:cs="Times New Roman"/>
          <w:lang w:val="es-SV"/>
        </w:rPr>
      </w:pPr>
      <w:r w:rsidRPr="00565D2C">
        <w:rPr>
          <w:rFonts w:ascii="Times New Roman" w:hAnsi="Times New Roman" w:cs="Times New Roman"/>
          <w:lang w:val="es-SV"/>
        </w:rPr>
        <w:t xml:space="preserve">en la revista El </w:t>
      </w:r>
      <w:r w:rsidR="00EF2635" w:rsidRPr="00565D2C">
        <w:rPr>
          <w:rFonts w:ascii="Times New Roman" w:hAnsi="Times New Roman" w:cs="Times New Roman"/>
          <w:lang w:val="es-SV"/>
        </w:rPr>
        <w:t>E</w:t>
      </w:r>
      <w:r w:rsidRPr="00565D2C">
        <w:rPr>
          <w:rFonts w:ascii="Times New Roman" w:hAnsi="Times New Roman" w:cs="Times New Roman"/>
          <w:lang w:val="es-SV"/>
        </w:rPr>
        <w:t>conomista, “El Salvador necesita MYPE dinámi</w:t>
      </w:r>
      <w:r w:rsidR="00532429">
        <w:rPr>
          <w:rFonts w:ascii="Times New Roman" w:hAnsi="Times New Roman" w:cs="Times New Roman"/>
          <w:lang w:val="es-SV"/>
        </w:rPr>
        <w:t>cas ¿pero ¿quién las financia?”.</w:t>
      </w:r>
    </w:p>
    <w:p w:rsidR="00532429" w:rsidRDefault="00654719" w:rsidP="00532429">
      <w:pPr>
        <w:pStyle w:val="Default"/>
        <w:numPr>
          <w:ilvl w:val="0"/>
          <w:numId w:val="20"/>
        </w:numPr>
        <w:jc w:val="both"/>
        <w:rPr>
          <w:rFonts w:ascii="Times New Roman" w:hAnsi="Times New Roman" w:cs="Times New Roman"/>
          <w:lang w:val="es-SV"/>
        </w:rPr>
      </w:pPr>
      <w:r w:rsidRPr="00565D2C">
        <w:rPr>
          <w:rFonts w:ascii="Times New Roman" w:hAnsi="Times New Roman" w:cs="Times New Roman"/>
          <w:lang w:val="es-SV"/>
        </w:rPr>
        <w:t>En la revista el Economista, “La competencia sí</w:t>
      </w:r>
      <w:r w:rsidR="00EF2635" w:rsidRPr="00565D2C">
        <w:rPr>
          <w:rFonts w:ascii="Times New Roman" w:hAnsi="Times New Roman" w:cs="Times New Roman"/>
          <w:lang w:val="es-SV"/>
        </w:rPr>
        <w:t>,</w:t>
      </w:r>
      <w:r w:rsidRPr="00565D2C">
        <w:rPr>
          <w:rFonts w:ascii="Times New Roman" w:hAnsi="Times New Roman" w:cs="Times New Roman"/>
          <w:lang w:val="es-SV"/>
        </w:rPr>
        <w:t xml:space="preserve"> pero </w:t>
      </w:r>
      <w:r w:rsidR="00EF2635" w:rsidRPr="00565D2C">
        <w:rPr>
          <w:rFonts w:ascii="Times New Roman" w:hAnsi="Times New Roman" w:cs="Times New Roman"/>
          <w:lang w:val="es-SV"/>
        </w:rPr>
        <w:t>¿cuándo</w:t>
      </w:r>
      <w:r w:rsidRPr="00565D2C">
        <w:rPr>
          <w:rFonts w:ascii="Times New Roman" w:hAnsi="Times New Roman" w:cs="Times New Roman"/>
          <w:lang w:val="es-SV"/>
        </w:rPr>
        <w:t>?</w:t>
      </w:r>
      <w:r w:rsidR="00EF2635" w:rsidRPr="00565D2C">
        <w:rPr>
          <w:rFonts w:ascii="Times New Roman" w:hAnsi="Times New Roman" w:cs="Times New Roman"/>
          <w:lang w:val="es-SV"/>
        </w:rPr>
        <w:t xml:space="preserve"> </w:t>
      </w:r>
    </w:p>
    <w:p w:rsidR="00654719" w:rsidRPr="00532429" w:rsidRDefault="00EF2635" w:rsidP="0001555F">
      <w:pPr>
        <w:pStyle w:val="Default"/>
        <w:numPr>
          <w:ilvl w:val="0"/>
          <w:numId w:val="20"/>
        </w:numPr>
        <w:jc w:val="both"/>
        <w:rPr>
          <w:rFonts w:ascii="Times New Roman" w:hAnsi="Times New Roman" w:cs="Times New Roman"/>
        </w:rPr>
      </w:pPr>
      <w:r w:rsidRPr="00532429">
        <w:rPr>
          <w:rFonts w:ascii="Times New Roman" w:hAnsi="Times New Roman" w:cs="Times New Roman"/>
          <w:lang w:val="es-SV"/>
        </w:rPr>
        <w:t>en la revista Derecho y Negocios, “Las actuaciones previas y los derechos de audiencia, defensa y presunción de inocencia”.</w:t>
      </w:r>
    </w:p>
    <w:p w:rsidR="00532429" w:rsidRPr="00532429" w:rsidRDefault="00532429" w:rsidP="00532429">
      <w:pPr>
        <w:pStyle w:val="Default"/>
        <w:ind w:left="1080"/>
        <w:jc w:val="both"/>
        <w:rPr>
          <w:rFonts w:ascii="Times New Roman" w:hAnsi="Times New Roman" w:cs="Times New Roman"/>
        </w:rPr>
      </w:pPr>
    </w:p>
    <w:p w:rsidR="00E61DF7" w:rsidRDefault="00E61DF7" w:rsidP="0001555F">
      <w:pPr>
        <w:pStyle w:val="Default"/>
        <w:numPr>
          <w:ilvl w:val="0"/>
          <w:numId w:val="7"/>
        </w:numPr>
        <w:jc w:val="both"/>
        <w:rPr>
          <w:rFonts w:ascii="Times New Roman" w:hAnsi="Times New Roman" w:cs="Times New Roman"/>
        </w:rPr>
      </w:pPr>
      <w:r w:rsidRPr="00532429">
        <w:rPr>
          <w:rFonts w:ascii="Times New Roman" w:hAnsi="Times New Roman" w:cs="Times New Roman"/>
        </w:rPr>
        <w:t>Presencia en medios de comunicación positiva, dado que el 100% (US$ 526,845.00) del espacio obtenido en medios de comunicación de acuerdo a la influencia del medio en la opinión pública (PR Value) es alimentado por notas positivas.</w:t>
      </w:r>
    </w:p>
    <w:p w:rsidR="00532429" w:rsidRPr="00532429" w:rsidRDefault="00532429" w:rsidP="00532429">
      <w:pPr>
        <w:pStyle w:val="Default"/>
        <w:ind w:left="720"/>
        <w:jc w:val="both"/>
        <w:rPr>
          <w:rFonts w:ascii="Times New Roman" w:hAnsi="Times New Roman" w:cs="Times New Roman"/>
        </w:rPr>
      </w:pPr>
    </w:p>
    <w:p w:rsidR="00532429" w:rsidRDefault="00E61DF7" w:rsidP="00565D2C">
      <w:pPr>
        <w:pStyle w:val="Default"/>
        <w:numPr>
          <w:ilvl w:val="0"/>
          <w:numId w:val="7"/>
        </w:numPr>
        <w:jc w:val="both"/>
        <w:rPr>
          <w:rFonts w:ascii="Times New Roman" w:hAnsi="Times New Roman" w:cs="Times New Roman"/>
        </w:rPr>
      </w:pPr>
      <w:r w:rsidRPr="00565D2C">
        <w:rPr>
          <w:rFonts w:ascii="Times New Roman" w:hAnsi="Times New Roman" w:cs="Times New Roman"/>
        </w:rPr>
        <w:t xml:space="preserve">4 diseños y producción de campañas orgánicas: </w:t>
      </w:r>
    </w:p>
    <w:p w:rsidR="00532429" w:rsidRDefault="00532429" w:rsidP="00532429">
      <w:pPr>
        <w:pStyle w:val="Default"/>
        <w:numPr>
          <w:ilvl w:val="0"/>
          <w:numId w:val="22"/>
        </w:numPr>
        <w:jc w:val="both"/>
        <w:rPr>
          <w:rFonts w:ascii="Times New Roman" w:hAnsi="Times New Roman" w:cs="Times New Roman"/>
        </w:rPr>
      </w:pPr>
      <w:r>
        <w:rPr>
          <w:rFonts w:ascii="Times New Roman" w:hAnsi="Times New Roman" w:cs="Times New Roman"/>
        </w:rPr>
        <w:t xml:space="preserve">campaña de cárteles en América. </w:t>
      </w:r>
    </w:p>
    <w:p w:rsidR="00532429" w:rsidRDefault="00E61DF7" w:rsidP="00532429">
      <w:pPr>
        <w:pStyle w:val="Default"/>
        <w:numPr>
          <w:ilvl w:val="0"/>
          <w:numId w:val="22"/>
        </w:numPr>
        <w:jc w:val="both"/>
        <w:rPr>
          <w:rFonts w:ascii="Times New Roman" w:hAnsi="Times New Roman" w:cs="Times New Roman"/>
        </w:rPr>
      </w:pPr>
      <w:r w:rsidRPr="00565D2C">
        <w:rPr>
          <w:rFonts w:ascii="Times New Roman" w:hAnsi="Times New Roman" w:cs="Times New Roman"/>
        </w:rPr>
        <w:t>campaña de testimonial 2017</w:t>
      </w:r>
      <w:r w:rsidR="00532429">
        <w:rPr>
          <w:rFonts w:ascii="Times New Roman" w:hAnsi="Times New Roman" w:cs="Times New Roman"/>
        </w:rPr>
        <w:t>.</w:t>
      </w:r>
    </w:p>
    <w:p w:rsidR="00532429" w:rsidRDefault="00E61DF7" w:rsidP="00532429">
      <w:pPr>
        <w:pStyle w:val="Default"/>
        <w:numPr>
          <w:ilvl w:val="0"/>
          <w:numId w:val="22"/>
        </w:numPr>
        <w:jc w:val="both"/>
        <w:rPr>
          <w:rFonts w:ascii="Times New Roman" w:hAnsi="Times New Roman" w:cs="Times New Roman"/>
        </w:rPr>
      </w:pPr>
      <w:r w:rsidRPr="00565D2C">
        <w:rPr>
          <w:rFonts w:ascii="Times New Roman" w:hAnsi="Times New Roman" w:cs="Times New Roman"/>
        </w:rPr>
        <w:t>campaña de día laborado</w:t>
      </w:r>
      <w:r w:rsidR="00532429">
        <w:rPr>
          <w:rFonts w:ascii="Times New Roman" w:hAnsi="Times New Roman" w:cs="Times New Roman"/>
        </w:rPr>
        <w:t>.</w:t>
      </w:r>
    </w:p>
    <w:p w:rsidR="00532429" w:rsidRDefault="00E61DF7" w:rsidP="00532429">
      <w:pPr>
        <w:pStyle w:val="Default"/>
        <w:numPr>
          <w:ilvl w:val="0"/>
          <w:numId w:val="22"/>
        </w:numPr>
        <w:jc w:val="both"/>
        <w:rPr>
          <w:rFonts w:ascii="Times New Roman" w:hAnsi="Times New Roman" w:cs="Times New Roman"/>
        </w:rPr>
      </w:pPr>
      <w:r w:rsidRPr="00565D2C">
        <w:rPr>
          <w:rFonts w:ascii="Times New Roman" w:hAnsi="Times New Roman" w:cs="Times New Roman"/>
        </w:rPr>
        <w:t>campaña de resumen 2017</w:t>
      </w:r>
      <w:r w:rsidR="00532429">
        <w:rPr>
          <w:rFonts w:ascii="Times New Roman" w:hAnsi="Times New Roman" w:cs="Times New Roman"/>
        </w:rPr>
        <w:t>.</w:t>
      </w:r>
    </w:p>
    <w:p w:rsidR="00E61DF7" w:rsidRPr="00565D2C" w:rsidRDefault="00E61DF7" w:rsidP="00532429">
      <w:pPr>
        <w:pStyle w:val="Default"/>
        <w:numPr>
          <w:ilvl w:val="0"/>
          <w:numId w:val="22"/>
        </w:numPr>
        <w:jc w:val="both"/>
        <w:rPr>
          <w:rFonts w:ascii="Times New Roman" w:hAnsi="Times New Roman" w:cs="Times New Roman"/>
        </w:rPr>
      </w:pPr>
      <w:r w:rsidRPr="00565D2C">
        <w:rPr>
          <w:rFonts w:ascii="Times New Roman" w:hAnsi="Times New Roman" w:cs="Times New Roman"/>
        </w:rPr>
        <w:t>ganadores super Tappy</w:t>
      </w:r>
      <w:r w:rsidR="006F01F0" w:rsidRPr="00565D2C">
        <w:rPr>
          <w:rFonts w:ascii="Times New Roman" w:hAnsi="Times New Roman" w:cs="Times New Roman"/>
        </w:rPr>
        <w:t>.</w:t>
      </w:r>
      <w:r w:rsidRPr="00565D2C">
        <w:rPr>
          <w:rFonts w:ascii="Times New Roman" w:hAnsi="Times New Roman" w:cs="Times New Roman"/>
        </w:rPr>
        <w:t xml:space="preserve"> </w:t>
      </w:r>
    </w:p>
    <w:p w:rsidR="00E61DF7" w:rsidRPr="00565D2C" w:rsidRDefault="00E61DF7" w:rsidP="00565D2C">
      <w:pPr>
        <w:spacing w:after="0" w:line="240" w:lineRule="auto"/>
        <w:jc w:val="both"/>
        <w:rPr>
          <w:rFonts w:ascii="Times New Roman" w:hAnsi="Times New Roman" w:cs="Times New Roman"/>
          <w:sz w:val="24"/>
          <w:szCs w:val="24"/>
        </w:rPr>
      </w:pPr>
    </w:p>
    <w:p w:rsidR="00793129" w:rsidRPr="00565D2C" w:rsidRDefault="00793129" w:rsidP="00565D2C">
      <w:pPr>
        <w:spacing w:after="0" w:line="240" w:lineRule="auto"/>
        <w:jc w:val="both"/>
        <w:rPr>
          <w:rFonts w:ascii="Times New Roman" w:hAnsi="Times New Roman" w:cs="Times New Roman"/>
          <w:sz w:val="24"/>
          <w:szCs w:val="24"/>
        </w:rPr>
      </w:pPr>
    </w:p>
    <w:p w:rsidR="00D94084" w:rsidRPr="00565D2C" w:rsidRDefault="00D94084" w:rsidP="00565D2C">
      <w:pPr>
        <w:pStyle w:val="Ttulo2"/>
        <w:numPr>
          <w:ilvl w:val="0"/>
          <w:numId w:val="12"/>
        </w:numPr>
        <w:rPr>
          <w:rFonts w:ascii="Times New Roman" w:hAnsi="Times New Roman" w:cs="Times New Roman"/>
          <w:szCs w:val="24"/>
        </w:rPr>
      </w:pPr>
      <w:bookmarkStart w:id="7" w:name="_Toc523143301"/>
      <w:r w:rsidRPr="00565D2C">
        <w:rPr>
          <w:rFonts w:ascii="Times New Roman" w:hAnsi="Times New Roman" w:cs="Times New Roman"/>
          <w:szCs w:val="24"/>
        </w:rPr>
        <w:t>Unidad de Informática</w:t>
      </w:r>
      <w:r w:rsidR="003146AE" w:rsidRPr="00565D2C">
        <w:rPr>
          <w:rFonts w:ascii="Times New Roman" w:hAnsi="Times New Roman" w:cs="Times New Roman"/>
          <w:szCs w:val="24"/>
        </w:rPr>
        <w:t xml:space="preserve"> (UI)</w:t>
      </w:r>
      <w:bookmarkEnd w:id="7"/>
    </w:p>
    <w:p w:rsidR="004229B0" w:rsidRPr="00565D2C" w:rsidRDefault="00300BB1" w:rsidP="00565D2C">
      <w:pPr>
        <w:spacing w:after="0" w:line="240" w:lineRule="auto"/>
        <w:jc w:val="both"/>
        <w:rPr>
          <w:rFonts w:ascii="Times New Roman" w:hAnsi="Times New Roman" w:cs="Times New Roman"/>
          <w:b/>
          <w:sz w:val="24"/>
          <w:szCs w:val="24"/>
        </w:rPr>
      </w:pPr>
      <w:r w:rsidRPr="00565D2C">
        <w:rPr>
          <w:rFonts w:ascii="Times New Roman" w:hAnsi="Times New Roman" w:cs="Times New Roman"/>
          <w:noProof/>
          <w:sz w:val="24"/>
          <w:szCs w:val="24"/>
        </w:rPr>
        <w:t xml:space="preserve"> </w:t>
      </w:r>
      <w:r w:rsidR="00CF2D04" w:rsidRPr="00565D2C">
        <w:rPr>
          <w:rFonts w:ascii="Times New Roman" w:hAnsi="Times New Roman" w:cs="Times New Roman"/>
          <w:noProof/>
          <w:sz w:val="24"/>
          <w:szCs w:val="24"/>
        </w:rPr>
        <w:t xml:space="preserve"> </w:t>
      </w:r>
    </w:p>
    <w:p w:rsidR="00A66046" w:rsidRPr="00565D2C" w:rsidRDefault="00620107" w:rsidP="00565D2C">
      <w:pPr>
        <w:spacing w:after="0" w:line="240" w:lineRule="auto"/>
        <w:jc w:val="both"/>
        <w:rPr>
          <w:rFonts w:ascii="Times New Roman" w:hAnsi="Times New Roman" w:cs="Times New Roman"/>
          <w:b/>
          <w:sz w:val="24"/>
          <w:szCs w:val="24"/>
        </w:rPr>
      </w:pPr>
      <w:r w:rsidRPr="00565D2C">
        <w:rPr>
          <w:rFonts w:ascii="Times New Roman" w:hAnsi="Times New Roman" w:cs="Times New Roman"/>
          <w:noProof/>
          <w:sz w:val="24"/>
          <w:szCs w:val="24"/>
        </w:rPr>
        <w:drawing>
          <wp:anchor distT="0" distB="0" distL="114300" distR="114300" simplePos="0" relativeHeight="251780096" behindDoc="1" locked="0" layoutInCell="1" allowOverlap="1">
            <wp:simplePos x="0" y="0"/>
            <wp:positionH relativeFrom="column">
              <wp:posOffset>3138170</wp:posOffset>
            </wp:positionH>
            <wp:positionV relativeFrom="paragraph">
              <wp:posOffset>27305</wp:posOffset>
            </wp:positionV>
            <wp:extent cx="2556510" cy="505460"/>
            <wp:effectExtent l="0" t="0" r="0" b="8890"/>
            <wp:wrapTight wrapText="bothSides">
              <wp:wrapPolygon edited="0">
                <wp:start x="0" y="0"/>
                <wp:lineTo x="0" y="21166"/>
                <wp:lineTo x="21407" y="21166"/>
                <wp:lineTo x="21407" y="0"/>
                <wp:lineTo x="0" y="0"/>
              </wp:wrapPolygon>
            </wp:wrapTight>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6510" cy="505460"/>
                    </a:xfrm>
                    <a:prstGeom prst="rect">
                      <a:avLst/>
                    </a:prstGeom>
                    <a:noFill/>
                  </pic:spPr>
                </pic:pic>
              </a:graphicData>
            </a:graphic>
          </wp:anchor>
        </w:drawing>
      </w:r>
      <w:r w:rsidRPr="00565D2C">
        <w:rPr>
          <w:rFonts w:ascii="Times New Roman" w:hAnsi="Times New Roman" w:cs="Times New Roman"/>
          <w:noProof/>
          <w:sz w:val="24"/>
          <w:szCs w:val="24"/>
        </w:rPr>
        <w:drawing>
          <wp:anchor distT="0" distB="0" distL="114300" distR="114300" simplePos="0" relativeHeight="251779072" behindDoc="1" locked="0" layoutInCell="1" allowOverlap="1">
            <wp:simplePos x="0" y="0"/>
            <wp:positionH relativeFrom="column">
              <wp:posOffset>121285</wp:posOffset>
            </wp:positionH>
            <wp:positionV relativeFrom="paragraph">
              <wp:posOffset>29210</wp:posOffset>
            </wp:positionV>
            <wp:extent cx="2117090" cy="655320"/>
            <wp:effectExtent l="0" t="0" r="0" b="0"/>
            <wp:wrapTight wrapText="bothSides">
              <wp:wrapPolygon edited="0">
                <wp:start x="0" y="0"/>
                <wp:lineTo x="0" y="20721"/>
                <wp:lineTo x="21380" y="20721"/>
                <wp:lineTo x="21380" y="0"/>
                <wp:lineTo x="0" y="0"/>
              </wp:wrapPolygon>
            </wp:wrapTight>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17090" cy="655320"/>
                    </a:xfrm>
                    <a:prstGeom prst="rect">
                      <a:avLst/>
                    </a:prstGeom>
                    <a:noFill/>
                  </pic:spPr>
                </pic:pic>
              </a:graphicData>
            </a:graphic>
          </wp:anchor>
        </w:drawing>
      </w:r>
    </w:p>
    <w:p w:rsidR="00686377" w:rsidRPr="00565D2C" w:rsidRDefault="00686377" w:rsidP="00565D2C">
      <w:pPr>
        <w:spacing w:after="0" w:line="240" w:lineRule="auto"/>
        <w:jc w:val="both"/>
        <w:rPr>
          <w:rFonts w:ascii="Times New Roman" w:hAnsi="Times New Roman" w:cs="Times New Roman"/>
          <w:sz w:val="24"/>
          <w:szCs w:val="24"/>
        </w:rPr>
      </w:pPr>
    </w:p>
    <w:p w:rsidR="00686377" w:rsidRPr="00565D2C" w:rsidRDefault="00686377" w:rsidP="00565D2C">
      <w:pPr>
        <w:spacing w:after="0" w:line="240" w:lineRule="auto"/>
        <w:jc w:val="both"/>
        <w:rPr>
          <w:rFonts w:ascii="Times New Roman" w:hAnsi="Times New Roman" w:cs="Times New Roman"/>
          <w:sz w:val="24"/>
          <w:szCs w:val="24"/>
        </w:rPr>
      </w:pPr>
    </w:p>
    <w:p w:rsidR="00793129" w:rsidRPr="00565D2C" w:rsidRDefault="00793129" w:rsidP="00565D2C">
      <w:pPr>
        <w:spacing w:after="0" w:line="240" w:lineRule="auto"/>
        <w:jc w:val="both"/>
        <w:rPr>
          <w:rFonts w:ascii="Times New Roman" w:hAnsi="Times New Roman" w:cs="Times New Roman"/>
          <w:sz w:val="24"/>
          <w:szCs w:val="24"/>
        </w:rPr>
      </w:pPr>
    </w:p>
    <w:p w:rsidR="00793129" w:rsidRPr="00565D2C" w:rsidRDefault="00793129" w:rsidP="00565D2C">
      <w:pPr>
        <w:spacing w:after="0" w:line="240" w:lineRule="auto"/>
        <w:jc w:val="both"/>
        <w:rPr>
          <w:rFonts w:ascii="Times New Roman" w:hAnsi="Times New Roman" w:cs="Times New Roman"/>
          <w:sz w:val="24"/>
          <w:szCs w:val="24"/>
        </w:rPr>
      </w:pPr>
    </w:p>
    <w:p w:rsidR="00793129" w:rsidRPr="00565D2C" w:rsidRDefault="00793129" w:rsidP="00565D2C">
      <w:pPr>
        <w:spacing w:after="0" w:line="240" w:lineRule="auto"/>
        <w:jc w:val="both"/>
        <w:rPr>
          <w:rFonts w:ascii="Times New Roman" w:hAnsi="Times New Roman" w:cs="Times New Roman"/>
          <w:sz w:val="24"/>
          <w:szCs w:val="24"/>
        </w:rPr>
      </w:pPr>
    </w:p>
    <w:p w:rsidR="00A66046" w:rsidRPr="00565D2C" w:rsidRDefault="00CF2D04"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La unidad de informática cumpli</w:t>
      </w:r>
      <w:r w:rsidR="00300BB1" w:rsidRPr="00565D2C">
        <w:rPr>
          <w:rFonts w:ascii="Times New Roman" w:hAnsi="Times New Roman" w:cs="Times New Roman"/>
          <w:sz w:val="24"/>
          <w:szCs w:val="24"/>
        </w:rPr>
        <w:t>ó</w:t>
      </w:r>
      <w:r w:rsidR="00CA455D" w:rsidRPr="00565D2C">
        <w:rPr>
          <w:rFonts w:ascii="Times New Roman" w:hAnsi="Times New Roman" w:cs="Times New Roman"/>
          <w:sz w:val="24"/>
          <w:szCs w:val="24"/>
        </w:rPr>
        <w:t xml:space="preserve"> satisfactoriamente con </w:t>
      </w:r>
      <w:r w:rsidR="00B90E7F" w:rsidRPr="00565D2C">
        <w:rPr>
          <w:rFonts w:ascii="Times New Roman" w:hAnsi="Times New Roman" w:cs="Times New Roman"/>
          <w:sz w:val="24"/>
          <w:szCs w:val="24"/>
        </w:rPr>
        <w:t xml:space="preserve">un </w:t>
      </w:r>
      <w:r w:rsidR="006B2CE1" w:rsidRPr="00565D2C">
        <w:rPr>
          <w:rFonts w:ascii="Times New Roman" w:hAnsi="Times New Roman" w:cs="Times New Roman"/>
          <w:sz w:val="24"/>
          <w:szCs w:val="24"/>
        </w:rPr>
        <w:t>97.72</w:t>
      </w:r>
      <w:r w:rsidR="00B90E7F" w:rsidRPr="00565D2C">
        <w:rPr>
          <w:rFonts w:ascii="Times New Roman" w:hAnsi="Times New Roman" w:cs="Times New Roman"/>
          <w:sz w:val="24"/>
          <w:szCs w:val="24"/>
        </w:rPr>
        <w:t xml:space="preserve">% </w:t>
      </w:r>
      <w:r w:rsidR="00CA455D" w:rsidRPr="00565D2C">
        <w:rPr>
          <w:rFonts w:ascii="Times New Roman" w:hAnsi="Times New Roman" w:cs="Times New Roman"/>
          <w:sz w:val="24"/>
          <w:szCs w:val="24"/>
        </w:rPr>
        <w:t xml:space="preserve">sus </w:t>
      </w:r>
      <w:r w:rsidR="00B90E7F" w:rsidRPr="00565D2C">
        <w:rPr>
          <w:rFonts w:ascii="Times New Roman" w:hAnsi="Times New Roman" w:cs="Times New Roman"/>
          <w:sz w:val="24"/>
          <w:szCs w:val="24"/>
        </w:rPr>
        <w:t>11</w:t>
      </w:r>
      <w:r w:rsidRPr="00565D2C">
        <w:rPr>
          <w:rFonts w:ascii="Times New Roman" w:hAnsi="Times New Roman" w:cs="Times New Roman"/>
          <w:sz w:val="24"/>
          <w:szCs w:val="24"/>
        </w:rPr>
        <w:t xml:space="preserve"> actividades programadas, las más relevantes siend</w:t>
      </w:r>
      <w:r w:rsidR="002D3BBA" w:rsidRPr="00565D2C">
        <w:rPr>
          <w:rFonts w:ascii="Times New Roman" w:hAnsi="Times New Roman" w:cs="Times New Roman"/>
          <w:sz w:val="24"/>
          <w:szCs w:val="24"/>
        </w:rPr>
        <w:t>o las enumeradas a continuación:</w:t>
      </w:r>
    </w:p>
    <w:p w:rsidR="002D3BBA" w:rsidRPr="00565D2C" w:rsidRDefault="002D3BBA" w:rsidP="00565D2C">
      <w:pPr>
        <w:spacing w:after="0" w:line="240" w:lineRule="auto"/>
        <w:jc w:val="both"/>
        <w:rPr>
          <w:rFonts w:ascii="Times New Roman" w:hAnsi="Times New Roman" w:cs="Times New Roman"/>
          <w:sz w:val="24"/>
          <w:szCs w:val="24"/>
        </w:rPr>
      </w:pPr>
    </w:p>
    <w:p w:rsidR="00985D48" w:rsidRPr="00565D2C" w:rsidRDefault="00B11B12" w:rsidP="00565D2C">
      <w:pPr>
        <w:pStyle w:val="Prrafodelista"/>
        <w:numPr>
          <w:ilvl w:val="0"/>
          <w:numId w:val="16"/>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Respecto a</w:t>
      </w:r>
      <w:r w:rsidR="00985D48" w:rsidRPr="00565D2C">
        <w:rPr>
          <w:rFonts w:ascii="Times New Roman" w:hAnsi="Times New Roman" w:cs="Times New Roman"/>
          <w:sz w:val="24"/>
          <w:szCs w:val="24"/>
        </w:rPr>
        <w:t xml:space="preserve"> infraestructura</w:t>
      </w:r>
      <w:r w:rsidRPr="00565D2C">
        <w:rPr>
          <w:rFonts w:ascii="Times New Roman" w:hAnsi="Times New Roman" w:cs="Times New Roman"/>
          <w:sz w:val="24"/>
          <w:szCs w:val="24"/>
        </w:rPr>
        <w:t>, se i</w:t>
      </w:r>
      <w:r w:rsidR="00985D48" w:rsidRPr="00565D2C">
        <w:rPr>
          <w:rFonts w:ascii="Times New Roman" w:hAnsi="Times New Roman" w:cs="Times New Roman"/>
          <w:sz w:val="24"/>
          <w:szCs w:val="24"/>
        </w:rPr>
        <w:t>mplement</w:t>
      </w:r>
      <w:r w:rsidRPr="00565D2C">
        <w:rPr>
          <w:rFonts w:ascii="Times New Roman" w:hAnsi="Times New Roman" w:cs="Times New Roman"/>
          <w:sz w:val="24"/>
          <w:szCs w:val="24"/>
        </w:rPr>
        <w:t>ó</w:t>
      </w:r>
      <w:r w:rsidR="00985D48" w:rsidRPr="00565D2C">
        <w:rPr>
          <w:rFonts w:ascii="Times New Roman" w:hAnsi="Times New Roman" w:cs="Times New Roman"/>
          <w:sz w:val="24"/>
          <w:szCs w:val="24"/>
        </w:rPr>
        <w:t xml:space="preserve"> un nuevo servidor para alojar el sitio web institucional.</w:t>
      </w:r>
    </w:p>
    <w:p w:rsidR="00B11B12" w:rsidRPr="00565D2C" w:rsidRDefault="00B11B12" w:rsidP="00565D2C">
      <w:pPr>
        <w:spacing w:after="0" w:line="240" w:lineRule="auto"/>
        <w:ind w:left="567"/>
        <w:jc w:val="both"/>
        <w:rPr>
          <w:rFonts w:ascii="Times New Roman" w:hAnsi="Times New Roman" w:cs="Times New Roman"/>
          <w:sz w:val="24"/>
          <w:szCs w:val="24"/>
        </w:rPr>
      </w:pPr>
    </w:p>
    <w:p w:rsidR="00985D48" w:rsidRPr="00565D2C" w:rsidRDefault="00985D48" w:rsidP="00565D2C">
      <w:pPr>
        <w:pStyle w:val="Prrafodelista"/>
        <w:numPr>
          <w:ilvl w:val="0"/>
          <w:numId w:val="16"/>
        </w:numPr>
        <w:tabs>
          <w:tab w:val="left" w:pos="142"/>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En recursos informáticos</w:t>
      </w:r>
      <w:r w:rsidR="00B11B12" w:rsidRPr="00565D2C">
        <w:rPr>
          <w:rFonts w:ascii="Times New Roman" w:hAnsi="Times New Roman" w:cs="Times New Roman"/>
          <w:sz w:val="24"/>
          <w:szCs w:val="24"/>
        </w:rPr>
        <w:t xml:space="preserve">, se </w:t>
      </w:r>
      <w:r w:rsidRPr="00565D2C">
        <w:rPr>
          <w:rFonts w:ascii="Times New Roman" w:hAnsi="Times New Roman" w:cs="Times New Roman"/>
          <w:sz w:val="24"/>
          <w:szCs w:val="24"/>
        </w:rPr>
        <w:t>realizó la actualización de los sistemas operativos de computadoras.</w:t>
      </w:r>
    </w:p>
    <w:p w:rsidR="00B11B12" w:rsidRPr="00565D2C" w:rsidRDefault="00B11B12" w:rsidP="00565D2C">
      <w:pPr>
        <w:pStyle w:val="Prrafodelista"/>
        <w:jc w:val="both"/>
        <w:rPr>
          <w:rFonts w:ascii="Times New Roman" w:hAnsi="Times New Roman" w:cs="Times New Roman"/>
          <w:sz w:val="24"/>
          <w:szCs w:val="24"/>
        </w:rPr>
      </w:pPr>
    </w:p>
    <w:p w:rsidR="00985D48" w:rsidRPr="00565D2C" w:rsidRDefault="00B11B12" w:rsidP="00565D2C">
      <w:pPr>
        <w:pStyle w:val="Prrafodelista"/>
        <w:numPr>
          <w:ilvl w:val="0"/>
          <w:numId w:val="16"/>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En Seguridad, s</w:t>
      </w:r>
      <w:r w:rsidR="00985D48" w:rsidRPr="00565D2C">
        <w:rPr>
          <w:rFonts w:ascii="Times New Roman" w:hAnsi="Times New Roman" w:cs="Times New Roman"/>
          <w:sz w:val="24"/>
          <w:szCs w:val="24"/>
        </w:rPr>
        <w:t>e implementó la última versión disponible del EndPoint Security en servidor y estaciones de trabajo.</w:t>
      </w:r>
    </w:p>
    <w:p w:rsidR="00B11B12" w:rsidRPr="00565D2C" w:rsidRDefault="00B11B12" w:rsidP="00565D2C">
      <w:pPr>
        <w:pStyle w:val="Prrafodelista"/>
        <w:jc w:val="both"/>
        <w:rPr>
          <w:rFonts w:ascii="Times New Roman" w:hAnsi="Times New Roman" w:cs="Times New Roman"/>
          <w:sz w:val="24"/>
          <w:szCs w:val="24"/>
        </w:rPr>
      </w:pPr>
    </w:p>
    <w:p w:rsidR="00B11B12" w:rsidRPr="00565D2C" w:rsidRDefault="001D2608" w:rsidP="00565D2C">
      <w:pPr>
        <w:pStyle w:val="Prrafodelista"/>
        <w:numPr>
          <w:ilvl w:val="0"/>
          <w:numId w:val="16"/>
        </w:numPr>
        <w:tabs>
          <w:tab w:val="left" w:pos="142"/>
          <w:tab w:val="left" w:pos="567"/>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r w:rsidR="00B11B12" w:rsidRPr="00565D2C">
        <w:rPr>
          <w:rFonts w:ascii="Times New Roman" w:hAnsi="Times New Roman" w:cs="Times New Roman"/>
          <w:sz w:val="24"/>
          <w:szCs w:val="24"/>
        </w:rPr>
        <w:t xml:space="preserve">Monitoreo diario de </w:t>
      </w:r>
      <w:r w:rsidR="00920C6F" w:rsidRPr="00565D2C">
        <w:rPr>
          <w:rFonts w:ascii="Times New Roman" w:hAnsi="Times New Roman" w:cs="Times New Roman"/>
          <w:sz w:val="24"/>
          <w:szCs w:val="24"/>
        </w:rPr>
        <w:t>las redes internas</w:t>
      </w:r>
      <w:r w:rsidR="00B11B12" w:rsidRPr="00565D2C">
        <w:rPr>
          <w:rFonts w:ascii="Times New Roman" w:hAnsi="Times New Roman" w:cs="Times New Roman"/>
          <w:sz w:val="24"/>
          <w:szCs w:val="24"/>
        </w:rPr>
        <w:t xml:space="preserve"> (alámbrica e inalámbrica), enlace de internet, 2 enlaces de datos y enlace telefónico. Verificación del ancho de banda de enlaces y atención de incidencias.</w:t>
      </w:r>
    </w:p>
    <w:p w:rsidR="00B11B12" w:rsidRPr="00565D2C" w:rsidRDefault="00B11B12" w:rsidP="00565D2C">
      <w:pPr>
        <w:pStyle w:val="Prrafodelista"/>
        <w:jc w:val="both"/>
        <w:rPr>
          <w:rFonts w:ascii="Times New Roman" w:hAnsi="Times New Roman" w:cs="Times New Roman"/>
          <w:sz w:val="24"/>
          <w:szCs w:val="24"/>
        </w:rPr>
      </w:pPr>
    </w:p>
    <w:p w:rsidR="00B11B12" w:rsidRPr="00565D2C" w:rsidRDefault="001D2608" w:rsidP="00565D2C">
      <w:pPr>
        <w:pStyle w:val="Prrafodelista"/>
        <w:numPr>
          <w:ilvl w:val="0"/>
          <w:numId w:val="16"/>
        </w:numPr>
        <w:tabs>
          <w:tab w:val="left" w:pos="142"/>
          <w:tab w:val="left" w:pos="567"/>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r w:rsidR="00B11B12" w:rsidRPr="00565D2C">
        <w:rPr>
          <w:rFonts w:ascii="Times New Roman" w:hAnsi="Times New Roman" w:cs="Times New Roman"/>
          <w:sz w:val="24"/>
          <w:szCs w:val="24"/>
        </w:rPr>
        <w:t xml:space="preserve">Gestión periódica de servidores locales y servidores externos; verificación de </w:t>
      </w:r>
      <w:r w:rsidR="00920C6F" w:rsidRPr="00565D2C">
        <w:rPr>
          <w:rFonts w:ascii="Times New Roman" w:hAnsi="Times New Roman" w:cs="Times New Roman"/>
          <w:sz w:val="24"/>
          <w:szCs w:val="24"/>
        </w:rPr>
        <w:t>bitácoras</w:t>
      </w:r>
      <w:r w:rsidR="00B11B12" w:rsidRPr="00565D2C">
        <w:rPr>
          <w:rFonts w:ascii="Times New Roman" w:hAnsi="Times New Roman" w:cs="Times New Roman"/>
          <w:sz w:val="24"/>
          <w:szCs w:val="24"/>
        </w:rPr>
        <w:t>, actualización de servicios; control de dispositivos de almacenamiento masivo; verificación y administración de planta telefónica. Atención de solicitudes e incidentes sobre servidores.</w:t>
      </w:r>
    </w:p>
    <w:p w:rsidR="00B11B12" w:rsidRPr="00565D2C" w:rsidRDefault="00B11B12" w:rsidP="00565D2C">
      <w:pPr>
        <w:pStyle w:val="Prrafodelista"/>
        <w:jc w:val="both"/>
        <w:rPr>
          <w:rFonts w:ascii="Times New Roman" w:hAnsi="Times New Roman" w:cs="Times New Roman"/>
          <w:sz w:val="24"/>
          <w:szCs w:val="24"/>
        </w:rPr>
      </w:pPr>
    </w:p>
    <w:p w:rsidR="00B11B12" w:rsidRPr="00565D2C" w:rsidRDefault="001D2608" w:rsidP="00565D2C">
      <w:pPr>
        <w:pStyle w:val="Prrafodelista"/>
        <w:numPr>
          <w:ilvl w:val="0"/>
          <w:numId w:val="16"/>
        </w:numPr>
        <w:tabs>
          <w:tab w:val="left" w:pos="142"/>
          <w:tab w:val="left" w:pos="567"/>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r w:rsidR="00B11B12" w:rsidRPr="00565D2C">
        <w:rPr>
          <w:rFonts w:ascii="Times New Roman" w:hAnsi="Times New Roman" w:cs="Times New Roman"/>
          <w:sz w:val="24"/>
          <w:szCs w:val="24"/>
        </w:rPr>
        <w:t>Traslados y reasignación de equipos informáticos y telefónicos, configuración de estaciones de trabajo de pasantes, provisión de equipos para capacitaciones y eventos. Atención de solicitudes sobre equipo informático.</w:t>
      </w:r>
    </w:p>
    <w:p w:rsidR="00B11B12" w:rsidRPr="00565D2C" w:rsidRDefault="00B11B12" w:rsidP="00565D2C">
      <w:pPr>
        <w:pStyle w:val="Prrafodelista"/>
        <w:jc w:val="both"/>
        <w:rPr>
          <w:rFonts w:ascii="Times New Roman" w:hAnsi="Times New Roman" w:cs="Times New Roman"/>
          <w:sz w:val="24"/>
          <w:szCs w:val="24"/>
        </w:rPr>
      </w:pPr>
    </w:p>
    <w:p w:rsidR="00B11B12" w:rsidRPr="00565D2C" w:rsidRDefault="001D2608" w:rsidP="00565D2C">
      <w:pPr>
        <w:pStyle w:val="Prrafodelista"/>
        <w:numPr>
          <w:ilvl w:val="0"/>
          <w:numId w:val="16"/>
        </w:numPr>
        <w:tabs>
          <w:tab w:val="left" w:pos="142"/>
          <w:tab w:val="left" w:pos="567"/>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r w:rsidR="00B11B12" w:rsidRPr="00565D2C">
        <w:rPr>
          <w:rFonts w:ascii="Times New Roman" w:hAnsi="Times New Roman" w:cs="Times New Roman"/>
          <w:sz w:val="24"/>
          <w:szCs w:val="24"/>
        </w:rPr>
        <w:t>Monitoreo de la capacidad de almacenamiento del servidor de archivos y servidor de correos con base a cuotas establecidas. Verificación del servicio de asignación dinámica para conexión de equipos a la red. Monitoreo del estado de impresores. Atención de incidencias.</w:t>
      </w:r>
    </w:p>
    <w:p w:rsidR="00B11B12" w:rsidRPr="00565D2C" w:rsidRDefault="00B11B12" w:rsidP="00565D2C">
      <w:pPr>
        <w:pStyle w:val="Prrafodelista"/>
        <w:jc w:val="both"/>
        <w:rPr>
          <w:rFonts w:ascii="Times New Roman" w:hAnsi="Times New Roman" w:cs="Times New Roman"/>
          <w:sz w:val="24"/>
          <w:szCs w:val="24"/>
        </w:rPr>
      </w:pPr>
    </w:p>
    <w:p w:rsidR="00B11B12" w:rsidRPr="00565D2C" w:rsidRDefault="001D2608" w:rsidP="00565D2C">
      <w:pPr>
        <w:pStyle w:val="Prrafodelista"/>
        <w:numPr>
          <w:ilvl w:val="0"/>
          <w:numId w:val="16"/>
        </w:numPr>
        <w:tabs>
          <w:tab w:val="left" w:pos="142"/>
          <w:tab w:val="left" w:pos="567"/>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r w:rsidR="00B11B12" w:rsidRPr="00565D2C">
        <w:rPr>
          <w:rFonts w:ascii="Times New Roman" w:hAnsi="Times New Roman" w:cs="Times New Roman"/>
          <w:sz w:val="24"/>
          <w:szCs w:val="24"/>
        </w:rPr>
        <w:t>Verificación de descargas de actualizaciones de seguridad para equipos y actualizaciones de antivirus, monitoreo de eventos sobre seguridad registradas en el firewall, verificación de equipos para determinar conectividad con el servidor de monitoreo de amenazas y actualización de base de datos. Retroalimentación sobre nuevas amenazas en la red. Evaluación y activación de sitios web. Atención de incidentes.</w:t>
      </w:r>
    </w:p>
    <w:p w:rsidR="00B11B12" w:rsidRPr="00565D2C" w:rsidRDefault="00B11B12" w:rsidP="00565D2C">
      <w:pPr>
        <w:pStyle w:val="Prrafodelista"/>
        <w:jc w:val="both"/>
        <w:rPr>
          <w:rFonts w:ascii="Times New Roman" w:hAnsi="Times New Roman" w:cs="Times New Roman"/>
          <w:sz w:val="24"/>
          <w:szCs w:val="24"/>
        </w:rPr>
      </w:pPr>
    </w:p>
    <w:p w:rsidR="00B11B12" w:rsidRPr="00565D2C" w:rsidRDefault="001D2608" w:rsidP="00565D2C">
      <w:pPr>
        <w:pStyle w:val="Prrafodelista"/>
        <w:numPr>
          <w:ilvl w:val="0"/>
          <w:numId w:val="16"/>
        </w:numPr>
        <w:tabs>
          <w:tab w:val="left" w:pos="142"/>
          <w:tab w:val="left" w:pos="567"/>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r w:rsidR="00B11B12" w:rsidRPr="00565D2C">
        <w:rPr>
          <w:rFonts w:ascii="Times New Roman" w:hAnsi="Times New Roman" w:cs="Times New Roman"/>
          <w:sz w:val="24"/>
          <w:szCs w:val="24"/>
        </w:rPr>
        <w:t>Apoyo técnico en la actualización del Sistema de Gestión del CENDOC-SC; Modificación del proceso de carga de marcaciones y verificación de casos especiales de marcación en Sistema de Control de Asistencias (SCA).</w:t>
      </w:r>
    </w:p>
    <w:p w:rsidR="00B11B12" w:rsidRPr="00565D2C" w:rsidRDefault="00B11B12" w:rsidP="00565D2C">
      <w:pPr>
        <w:pStyle w:val="Prrafodelista"/>
        <w:jc w:val="both"/>
        <w:rPr>
          <w:rFonts w:ascii="Times New Roman" w:hAnsi="Times New Roman" w:cs="Times New Roman"/>
          <w:sz w:val="24"/>
          <w:szCs w:val="24"/>
        </w:rPr>
      </w:pPr>
    </w:p>
    <w:p w:rsidR="00B11B12" w:rsidRPr="00565D2C" w:rsidRDefault="00B11B12" w:rsidP="00565D2C">
      <w:pPr>
        <w:pStyle w:val="Prrafodelista"/>
        <w:numPr>
          <w:ilvl w:val="0"/>
          <w:numId w:val="16"/>
        </w:numPr>
        <w:tabs>
          <w:tab w:val="left" w:pos="142"/>
          <w:tab w:val="left" w:pos="567"/>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Atender solicitudes de soporte técnico (llamadas telefónicas, correos electrónicos y presenciales) sobre soporte técnico relacionado a equipos, impresores y software de oficina; Resolver incidentes relacionados al hardware y software de computadoras y demás equipo institucional.</w:t>
      </w:r>
    </w:p>
    <w:p w:rsidR="00B11B12" w:rsidRPr="00565D2C" w:rsidRDefault="00B11B12" w:rsidP="00565D2C">
      <w:pPr>
        <w:pStyle w:val="Prrafodelista"/>
        <w:jc w:val="both"/>
        <w:rPr>
          <w:rFonts w:ascii="Times New Roman" w:hAnsi="Times New Roman" w:cs="Times New Roman"/>
          <w:sz w:val="24"/>
          <w:szCs w:val="24"/>
        </w:rPr>
      </w:pPr>
    </w:p>
    <w:p w:rsidR="00B11B12" w:rsidRPr="00565D2C" w:rsidRDefault="00B11B12" w:rsidP="00565D2C">
      <w:pPr>
        <w:pStyle w:val="Prrafodelista"/>
        <w:numPr>
          <w:ilvl w:val="0"/>
          <w:numId w:val="16"/>
        </w:numPr>
        <w:tabs>
          <w:tab w:val="left" w:pos="142"/>
          <w:tab w:val="left" w:pos="567"/>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Atención de solicitudes de soporte técnico sobre sistemas informáticos (llamadas telefónicas, correos electrónicos y presenciales) relacionadas al SCA, SIGDI, SIGCI, SIRH, COMPRASAL, SAFI; y herramientas semi</w:t>
      </w:r>
      <w:r w:rsidR="00920C6F" w:rsidRPr="00565D2C">
        <w:rPr>
          <w:rFonts w:ascii="Times New Roman" w:hAnsi="Times New Roman" w:cs="Times New Roman"/>
          <w:sz w:val="24"/>
          <w:szCs w:val="24"/>
        </w:rPr>
        <w:t>-</w:t>
      </w:r>
      <w:r w:rsidRPr="00565D2C">
        <w:rPr>
          <w:rFonts w:ascii="Times New Roman" w:hAnsi="Times New Roman" w:cs="Times New Roman"/>
          <w:sz w:val="24"/>
          <w:szCs w:val="24"/>
        </w:rPr>
        <w:t>automatizadas para control de almacén y fondo circulante.</w:t>
      </w:r>
    </w:p>
    <w:p w:rsidR="00B11B12" w:rsidRPr="00565D2C" w:rsidRDefault="00B11B12" w:rsidP="00565D2C">
      <w:pPr>
        <w:pStyle w:val="Prrafodelista"/>
        <w:jc w:val="both"/>
        <w:rPr>
          <w:rFonts w:ascii="Times New Roman" w:hAnsi="Times New Roman" w:cs="Times New Roman"/>
          <w:sz w:val="24"/>
          <w:szCs w:val="24"/>
        </w:rPr>
      </w:pPr>
    </w:p>
    <w:p w:rsidR="00B11B12" w:rsidRPr="00565D2C" w:rsidRDefault="00B11B12" w:rsidP="00565D2C">
      <w:pPr>
        <w:pStyle w:val="Prrafodelista"/>
        <w:numPr>
          <w:ilvl w:val="0"/>
          <w:numId w:val="16"/>
        </w:numPr>
        <w:tabs>
          <w:tab w:val="left" w:pos="142"/>
          <w:tab w:val="left" w:pos="567"/>
        </w:tabs>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Asistencia técnica informática en eventos y actividades de la SC. Publicación de contenido en sitio web institucional. Apoyo técnico sobre proyecto sitio informativo relativo </w:t>
      </w:r>
      <w:r w:rsidR="001D2608" w:rsidRPr="00565D2C">
        <w:rPr>
          <w:rFonts w:ascii="Times New Roman" w:hAnsi="Times New Roman" w:cs="Times New Roman"/>
          <w:sz w:val="24"/>
          <w:szCs w:val="24"/>
        </w:rPr>
        <w:t>a Compras</w:t>
      </w:r>
      <w:r w:rsidRPr="00565D2C">
        <w:rPr>
          <w:rFonts w:ascii="Times New Roman" w:hAnsi="Times New Roman" w:cs="Times New Roman"/>
          <w:sz w:val="24"/>
          <w:szCs w:val="24"/>
        </w:rPr>
        <w:t xml:space="preserve"> y PYMES. Acompañamiento técnico en la implementación final del sitio web institucional. Apoyo técnico en la grabación de declaraciones de testigos relacionados a procedimientos sancionadores. Asi</w:t>
      </w:r>
      <w:r w:rsidR="001D2608" w:rsidRPr="00565D2C">
        <w:rPr>
          <w:rFonts w:ascii="Times New Roman" w:hAnsi="Times New Roman" w:cs="Times New Roman"/>
          <w:sz w:val="24"/>
          <w:szCs w:val="24"/>
        </w:rPr>
        <w:t>s</w:t>
      </w:r>
      <w:r w:rsidRPr="00565D2C">
        <w:rPr>
          <w:rFonts w:ascii="Times New Roman" w:hAnsi="Times New Roman" w:cs="Times New Roman"/>
          <w:sz w:val="24"/>
          <w:szCs w:val="24"/>
        </w:rPr>
        <w:t>tencia técnica a la Intendencia de Investigaciones en relación al respaldo información institucional en el marco de la generación de lineamientos relacionados a la eliminación de información confidencial.</w:t>
      </w:r>
    </w:p>
    <w:p w:rsidR="00920C6F" w:rsidRPr="00565D2C" w:rsidRDefault="00920C6F" w:rsidP="00565D2C">
      <w:pPr>
        <w:pStyle w:val="Prrafodelista"/>
        <w:jc w:val="both"/>
        <w:rPr>
          <w:rFonts w:ascii="Times New Roman" w:hAnsi="Times New Roman" w:cs="Times New Roman"/>
          <w:sz w:val="24"/>
          <w:szCs w:val="24"/>
        </w:rPr>
      </w:pPr>
    </w:p>
    <w:p w:rsidR="00A66046" w:rsidRPr="00565D2C" w:rsidRDefault="005B191A" w:rsidP="00565D2C">
      <w:pPr>
        <w:pStyle w:val="Ttulo2"/>
        <w:numPr>
          <w:ilvl w:val="0"/>
          <w:numId w:val="12"/>
        </w:numPr>
        <w:rPr>
          <w:rFonts w:ascii="Times New Roman" w:hAnsi="Times New Roman" w:cs="Times New Roman"/>
          <w:szCs w:val="24"/>
        </w:rPr>
      </w:pPr>
      <w:bookmarkStart w:id="8" w:name="_Toc523143302"/>
      <w:r w:rsidRPr="00565D2C">
        <w:rPr>
          <w:rFonts w:ascii="Times New Roman" w:hAnsi="Times New Roman" w:cs="Times New Roman"/>
          <w:szCs w:val="24"/>
        </w:rPr>
        <w:t>Unidad de Administración y Recursos Humanos</w:t>
      </w:r>
      <w:bookmarkEnd w:id="8"/>
    </w:p>
    <w:p w:rsidR="00A66046" w:rsidRPr="00565D2C" w:rsidRDefault="00C90FD9" w:rsidP="00565D2C">
      <w:pPr>
        <w:spacing w:after="0" w:line="240" w:lineRule="auto"/>
        <w:jc w:val="both"/>
        <w:rPr>
          <w:rFonts w:ascii="Times New Roman" w:hAnsi="Times New Roman" w:cs="Times New Roman"/>
          <w:b/>
          <w:sz w:val="24"/>
          <w:szCs w:val="24"/>
        </w:rPr>
      </w:pPr>
      <w:r w:rsidRPr="00565D2C">
        <w:rPr>
          <w:rFonts w:ascii="Times New Roman" w:hAnsi="Times New Roman" w:cs="Times New Roman"/>
          <w:noProof/>
          <w:sz w:val="24"/>
          <w:szCs w:val="24"/>
        </w:rPr>
        <w:drawing>
          <wp:anchor distT="0" distB="0" distL="114300" distR="114300" simplePos="0" relativeHeight="251782144" behindDoc="1" locked="0" layoutInCell="1" allowOverlap="1">
            <wp:simplePos x="0" y="0"/>
            <wp:positionH relativeFrom="column">
              <wp:posOffset>3116144</wp:posOffset>
            </wp:positionH>
            <wp:positionV relativeFrom="paragraph">
              <wp:posOffset>73830</wp:posOffset>
            </wp:positionV>
            <wp:extent cx="2359660" cy="532765"/>
            <wp:effectExtent l="0" t="0" r="2540" b="635"/>
            <wp:wrapTight wrapText="bothSides">
              <wp:wrapPolygon edited="0">
                <wp:start x="0" y="0"/>
                <wp:lineTo x="0" y="20853"/>
                <wp:lineTo x="21449" y="20853"/>
                <wp:lineTo x="21449" y="0"/>
                <wp:lineTo x="0" y="0"/>
              </wp:wrapPolygon>
            </wp:wrapTight>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59660" cy="532765"/>
                    </a:xfrm>
                    <a:prstGeom prst="rect">
                      <a:avLst/>
                    </a:prstGeom>
                    <a:noFill/>
                  </pic:spPr>
                </pic:pic>
              </a:graphicData>
            </a:graphic>
            <wp14:sizeRelH relativeFrom="margin">
              <wp14:pctWidth>0</wp14:pctWidth>
            </wp14:sizeRelH>
            <wp14:sizeRelV relativeFrom="margin">
              <wp14:pctHeight>0</wp14:pctHeight>
            </wp14:sizeRelV>
          </wp:anchor>
        </w:drawing>
      </w:r>
      <w:r w:rsidRPr="00565D2C">
        <w:rPr>
          <w:rFonts w:ascii="Times New Roman" w:hAnsi="Times New Roman" w:cs="Times New Roman"/>
          <w:noProof/>
          <w:sz w:val="24"/>
          <w:szCs w:val="24"/>
        </w:rPr>
        <w:drawing>
          <wp:anchor distT="0" distB="0" distL="114300" distR="114300" simplePos="0" relativeHeight="251781120" behindDoc="1" locked="0" layoutInCell="1" allowOverlap="1">
            <wp:simplePos x="0" y="0"/>
            <wp:positionH relativeFrom="column">
              <wp:posOffset>386820</wp:posOffset>
            </wp:positionH>
            <wp:positionV relativeFrom="paragraph">
              <wp:posOffset>71808</wp:posOffset>
            </wp:positionV>
            <wp:extent cx="1852588" cy="573443"/>
            <wp:effectExtent l="0" t="0" r="0" b="0"/>
            <wp:wrapTight wrapText="bothSides">
              <wp:wrapPolygon edited="0">
                <wp:start x="0" y="0"/>
                <wp:lineTo x="0" y="20811"/>
                <wp:lineTo x="21326" y="20811"/>
                <wp:lineTo x="21326" y="0"/>
                <wp:lineTo x="0" y="0"/>
              </wp:wrapPolygon>
            </wp:wrapTight>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2588" cy="573443"/>
                    </a:xfrm>
                    <a:prstGeom prst="rect">
                      <a:avLst/>
                    </a:prstGeom>
                    <a:noFill/>
                  </pic:spPr>
                </pic:pic>
              </a:graphicData>
            </a:graphic>
          </wp:anchor>
        </w:drawing>
      </w:r>
      <w:r w:rsidR="00CE22D3" w:rsidRPr="00565D2C">
        <w:rPr>
          <w:rFonts w:ascii="Times New Roman" w:hAnsi="Times New Roman" w:cs="Times New Roman"/>
          <w:noProof/>
          <w:sz w:val="24"/>
          <w:szCs w:val="24"/>
        </w:rPr>
        <w:t xml:space="preserve"> </w:t>
      </w:r>
    </w:p>
    <w:p w:rsidR="000318A4" w:rsidRPr="00565D2C" w:rsidRDefault="000318A4" w:rsidP="00565D2C">
      <w:pPr>
        <w:spacing w:after="0" w:line="240" w:lineRule="auto"/>
        <w:jc w:val="both"/>
        <w:rPr>
          <w:rFonts w:ascii="Times New Roman" w:hAnsi="Times New Roman" w:cs="Times New Roman"/>
          <w:sz w:val="24"/>
          <w:szCs w:val="24"/>
        </w:rPr>
      </w:pPr>
    </w:p>
    <w:p w:rsidR="000318A4" w:rsidRPr="00565D2C" w:rsidRDefault="000318A4" w:rsidP="00565D2C">
      <w:pPr>
        <w:spacing w:after="0" w:line="240" w:lineRule="auto"/>
        <w:jc w:val="both"/>
        <w:rPr>
          <w:rFonts w:ascii="Times New Roman" w:hAnsi="Times New Roman" w:cs="Times New Roman"/>
          <w:sz w:val="24"/>
          <w:szCs w:val="24"/>
        </w:rPr>
      </w:pPr>
    </w:p>
    <w:p w:rsidR="000318A4" w:rsidRPr="00565D2C" w:rsidRDefault="000318A4" w:rsidP="00565D2C">
      <w:pPr>
        <w:spacing w:after="0" w:line="240" w:lineRule="auto"/>
        <w:jc w:val="both"/>
        <w:rPr>
          <w:rFonts w:ascii="Times New Roman" w:hAnsi="Times New Roman" w:cs="Times New Roman"/>
          <w:sz w:val="24"/>
          <w:szCs w:val="24"/>
        </w:rPr>
      </w:pPr>
    </w:p>
    <w:p w:rsidR="00A20467" w:rsidRPr="00565D2C" w:rsidRDefault="00A20467" w:rsidP="00565D2C">
      <w:pPr>
        <w:spacing w:after="0" w:line="240" w:lineRule="auto"/>
        <w:jc w:val="both"/>
        <w:rPr>
          <w:rFonts w:ascii="Times New Roman" w:hAnsi="Times New Roman" w:cs="Times New Roman"/>
          <w:sz w:val="24"/>
          <w:szCs w:val="24"/>
        </w:rPr>
      </w:pPr>
    </w:p>
    <w:p w:rsidR="00C0007B" w:rsidRPr="00565D2C" w:rsidRDefault="002A250A"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L</w:t>
      </w:r>
      <w:r w:rsidR="00C0007B" w:rsidRPr="00565D2C">
        <w:rPr>
          <w:rFonts w:ascii="Times New Roman" w:hAnsi="Times New Roman" w:cs="Times New Roman"/>
          <w:sz w:val="24"/>
          <w:szCs w:val="24"/>
        </w:rPr>
        <w:t xml:space="preserve">a Unidad de Administración y Recursos Humanos cumplió en un </w:t>
      </w:r>
      <w:r w:rsidR="005C54E2">
        <w:rPr>
          <w:rFonts w:ascii="Times New Roman" w:hAnsi="Times New Roman" w:cs="Times New Roman"/>
          <w:sz w:val="24"/>
          <w:szCs w:val="24"/>
        </w:rPr>
        <w:t>100</w:t>
      </w:r>
      <w:r w:rsidR="00C0007B" w:rsidRPr="00565D2C">
        <w:rPr>
          <w:rFonts w:ascii="Times New Roman" w:hAnsi="Times New Roman" w:cs="Times New Roman"/>
          <w:sz w:val="24"/>
          <w:szCs w:val="24"/>
        </w:rPr>
        <w:t xml:space="preserve">% las </w:t>
      </w:r>
      <w:r w:rsidR="00787DB8">
        <w:rPr>
          <w:rFonts w:ascii="Times New Roman" w:hAnsi="Times New Roman" w:cs="Times New Roman"/>
          <w:sz w:val="24"/>
          <w:szCs w:val="24"/>
        </w:rPr>
        <w:t>9</w:t>
      </w:r>
      <w:r w:rsidR="00C0007B" w:rsidRPr="00565D2C">
        <w:rPr>
          <w:rFonts w:ascii="Times New Roman" w:hAnsi="Times New Roman" w:cs="Times New Roman"/>
          <w:sz w:val="24"/>
          <w:szCs w:val="24"/>
        </w:rPr>
        <w:t xml:space="preserve"> actividades programadas en el primer </w:t>
      </w:r>
      <w:r w:rsidR="00787DB8">
        <w:rPr>
          <w:rFonts w:ascii="Times New Roman" w:hAnsi="Times New Roman" w:cs="Times New Roman"/>
          <w:sz w:val="24"/>
          <w:szCs w:val="24"/>
        </w:rPr>
        <w:t>semestre</w:t>
      </w:r>
      <w:r w:rsidR="00C0007B" w:rsidRPr="00565D2C">
        <w:rPr>
          <w:rFonts w:ascii="Times New Roman" w:hAnsi="Times New Roman" w:cs="Times New Roman"/>
          <w:sz w:val="24"/>
          <w:szCs w:val="24"/>
        </w:rPr>
        <w:t>.</w:t>
      </w:r>
    </w:p>
    <w:p w:rsidR="00C0007B" w:rsidRPr="00565D2C" w:rsidRDefault="00C0007B" w:rsidP="00565D2C">
      <w:pPr>
        <w:spacing w:after="0" w:line="240" w:lineRule="auto"/>
        <w:jc w:val="both"/>
        <w:rPr>
          <w:rFonts w:ascii="Times New Roman" w:hAnsi="Times New Roman" w:cs="Times New Roman"/>
          <w:sz w:val="24"/>
          <w:szCs w:val="24"/>
        </w:rPr>
      </w:pPr>
    </w:p>
    <w:p w:rsidR="00CE22D3" w:rsidRPr="00565D2C" w:rsidRDefault="00CE22D3"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Dentro de las actividades más relevantes ejecutadas exitosamente se cuenta con: </w:t>
      </w:r>
    </w:p>
    <w:p w:rsidR="00A20467" w:rsidRPr="00565D2C" w:rsidRDefault="00A20467" w:rsidP="00565D2C">
      <w:pPr>
        <w:spacing w:after="0" w:line="240" w:lineRule="auto"/>
        <w:jc w:val="both"/>
        <w:rPr>
          <w:rFonts w:ascii="Times New Roman" w:hAnsi="Times New Roman" w:cs="Times New Roman"/>
          <w:sz w:val="24"/>
          <w:szCs w:val="24"/>
        </w:rPr>
      </w:pPr>
    </w:p>
    <w:p w:rsidR="00A66046" w:rsidRDefault="005D407A" w:rsidP="00565D2C">
      <w:pPr>
        <w:pStyle w:val="Prrafodelista"/>
        <w:numPr>
          <w:ilvl w:val="0"/>
          <w:numId w:val="2"/>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Durante el período se han gestionado un total de 154 reclamos médicos, presentados a través de rembolso. </w:t>
      </w:r>
    </w:p>
    <w:p w:rsidR="00787DB8" w:rsidRPr="00565D2C" w:rsidRDefault="00787DB8" w:rsidP="00787DB8">
      <w:pPr>
        <w:pStyle w:val="Prrafodelista"/>
        <w:spacing w:after="0" w:line="240" w:lineRule="auto"/>
        <w:jc w:val="both"/>
        <w:rPr>
          <w:rFonts w:ascii="Times New Roman" w:hAnsi="Times New Roman" w:cs="Times New Roman"/>
          <w:sz w:val="24"/>
          <w:szCs w:val="24"/>
        </w:rPr>
      </w:pPr>
    </w:p>
    <w:p w:rsidR="000705BE" w:rsidRPr="00565D2C" w:rsidRDefault="000705BE" w:rsidP="00565D2C">
      <w:pPr>
        <w:pStyle w:val="Prrafodelista"/>
        <w:numPr>
          <w:ilvl w:val="0"/>
          <w:numId w:val="2"/>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En los costos para la compra de recursos administrativos en el semestre se tuvo:</w:t>
      </w:r>
    </w:p>
    <w:p w:rsidR="000705BE" w:rsidRPr="00565D2C" w:rsidRDefault="00C64F46" w:rsidP="00565D2C">
      <w:pPr>
        <w:pStyle w:val="Prrafodelista"/>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w:t>
      </w:r>
      <w:r w:rsidR="000705BE" w:rsidRPr="00565D2C">
        <w:rPr>
          <w:rFonts w:ascii="Times New Roman" w:hAnsi="Times New Roman" w:cs="Times New Roman"/>
          <w:sz w:val="24"/>
          <w:szCs w:val="24"/>
        </w:rPr>
        <w:t xml:space="preserve">Gasolina: $1,538.89 un promedio mensual de $256.48 </w:t>
      </w:r>
    </w:p>
    <w:p w:rsidR="000705BE" w:rsidRPr="00565D2C" w:rsidRDefault="00C64F46" w:rsidP="00565D2C">
      <w:pPr>
        <w:pStyle w:val="Prrafodelista"/>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w:t>
      </w:r>
      <w:r w:rsidR="000705BE" w:rsidRPr="00565D2C">
        <w:rPr>
          <w:rFonts w:ascii="Times New Roman" w:hAnsi="Times New Roman" w:cs="Times New Roman"/>
          <w:sz w:val="24"/>
          <w:szCs w:val="24"/>
        </w:rPr>
        <w:t>Flota vehicular institucional: $2,405.04 en mantenimientos preventivos y correctivos</w:t>
      </w:r>
    </w:p>
    <w:p w:rsidR="00CE22D3" w:rsidRDefault="00C64F46" w:rsidP="00565D2C">
      <w:pPr>
        <w:pStyle w:val="Prrafodelista"/>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-Almacén</w:t>
      </w:r>
      <w:r w:rsidR="000705BE" w:rsidRPr="00565D2C">
        <w:rPr>
          <w:rFonts w:ascii="Times New Roman" w:hAnsi="Times New Roman" w:cs="Times New Roman"/>
          <w:sz w:val="24"/>
          <w:szCs w:val="24"/>
        </w:rPr>
        <w:t xml:space="preserve">: $3,932.30 en compra de materiales de oficina y </w:t>
      </w:r>
      <w:r w:rsidRPr="00565D2C">
        <w:rPr>
          <w:rFonts w:ascii="Times New Roman" w:hAnsi="Times New Roman" w:cs="Times New Roman"/>
          <w:sz w:val="24"/>
          <w:szCs w:val="24"/>
        </w:rPr>
        <w:t>papelería.</w:t>
      </w:r>
    </w:p>
    <w:p w:rsidR="00787DB8" w:rsidRPr="00565D2C" w:rsidRDefault="00787DB8" w:rsidP="00565D2C">
      <w:pPr>
        <w:pStyle w:val="Prrafodelista"/>
        <w:spacing w:after="0" w:line="240" w:lineRule="auto"/>
        <w:jc w:val="both"/>
        <w:rPr>
          <w:rFonts w:ascii="Times New Roman" w:hAnsi="Times New Roman" w:cs="Times New Roman"/>
          <w:sz w:val="24"/>
          <w:szCs w:val="24"/>
        </w:rPr>
      </w:pPr>
    </w:p>
    <w:p w:rsidR="00CE22D3" w:rsidRDefault="00BC0EB2" w:rsidP="00565D2C">
      <w:pPr>
        <w:pStyle w:val="Prrafodelista"/>
        <w:numPr>
          <w:ilvl w:val="0"/>
          <w:numId w:val="2"/>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1</w:t>
      </w:r>
      <w:r w:rsidR="00A865FE" w:rsidRPr="00565D2C">
        <w:rPr>
          <w:rFonts w:ascii="Times New Roman" w:hAnsi="Times New Roman" w:cs="Times New Roman"/>
          <w:sz w:val="24"/>
          <w:szCs w:val="24"/>
        </w:rPr>
        <w:t>3 planillas</w:t>
      </w:r>
      <w:r w:rsidRPr="00565D2C">
        <w:rPr>
          <w:rFonts w:ascii="Times New Roman" w:hAnsi="Times New Roman" w:cs="Times New Roman"/>
          <w:sz w:val="24"/>
          <w:szCs w:val="24"/>
        </w:rPr>
        <w:t xml:space="preserve"> elaboradas</w:t>
      </w:r>
      <w:r w:rsidR="00A865FE" w:rsidRPr="00565D2C">
        <w:rPr>
          <w:rFonts w:ascii="Times New Roman" w:hAnsi="Times New Roman" w:cs="Times New Roman"/>
          <w:sz w:val="24"/>
          <w:szCs w:val="24"/>
        </w:rPr>
        <w:t>: 6 de salarios, 6 de vacaciones y 1 de bonificación.</w:t>
      </w:r>
      <w:r w:rsidR="002A250A" w:rsidRPr="00565D2C">
        <w:rPr>
          <w:rFonts w:ascii="Times New Roman" w:hAnsi="Times New Roman" w:cs="Times New Roman"/>
          <w:noProof/>
          <w:sz w:val="24"/>
          <w:szCs w:val="24"/>
        </w:rPr>
        <w:t xml:space="preserve"> </w:t>
      </w:r>
    </w:p>
    <w:p w:rsidR="00787DB8" w:rsidRPr="00565D2C" w:rsidRDefault="00787DB8" w:rsidP="00787DB8">
      <w:pPr>
        <w:pStyle w:val="Prrafodelista"/>
        <w:spacing w:after="0" w:line="240" w:lineRule="auto"/>
        <w:jc w:val="both"/>
        <w:rPr>
          <w:rFonts w:ascii="Times New Roman" w:hAnsi="Times New Roman" w:cs="Times New Roman"/>
          <w:sz w:val="24"/>
          <w:szCs w:val="24"/>
        </w:rPr>
      </w:pPr>
    </w:p>
    <w:p w:rsidR="00CE22D3" w:rsidRDefault="00BC0EB2" w:rsidP="00565D2C">
      <w:pPr>
        <w:pStyle w:val="Prrafodelista"/>
        <w:numPr>
          <w:ilvl w:val="0"/>
          <w:numId w:val="2"/>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Se implementó el Sistema de Control de Asistencia, que nos permite un mejor control de las licencias del personal. El promedio de asistencia puntual del personal que marca es del 91%.</w:t>
      </w:r>
    </w:p>
    <w:p w:rsidR="00787DB8" w:rsidRPr="00787DB8" w:rsidRDefault="00787DB8" w:rsidP="00787DB8">
      <w:pPr>
        <w:pStyle w:val="Prrafodelista"/>
        <w:rPr>
          <w:rFonts w:ascii="Times New Roman" w:hAnsi="Times New Roman" w:cs="Times New Roman"/>
          <w:sz w:val="24"/>
          <w:szCs w:val="24"/>
        </w:rPr>
      </w:pPr>
    </w:p>
    <w:p w:rsidR="00CE22D3" w:rsidRDefault="00BC0EB2" w:rsidP="00565D2C">
      <w:pPr>
        <w:pStyle w:val="Prrafodelista"/>
        <w:numPr>
          <w:ilvl w:val="0"/>
          <w:numId w:val="2"/>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Se tuvo la renuncia de Miguel Armando Paniagua, quien se desempeñaba como Coordinador de Monitoreo de Mercados de la Intendencia Económica a partir del 1 de abril del corriente año. </w:t>
      </w:r>
    </w:p>
    <w:p w:rsidR="00787DB8" w:rsidRPr="00787DB8" w:rsidRDefault="00787DB8" w:rsidP="00787DB8">
      <w:pPr>
        <w:pStyle w:val="Prrafodelista"/>
        <w:rPr>
          <w:rFonts w:ascii="Times New Roman" w:hAnsi="Times New Roman" w:cs="Times New Roman"/>
          <w:sz w:val="24"/>
          <w:szCs w:val="24"/>
        </w:rPr>
      </w:pPr>
    </w:p>
    <w:p w:rsidR="00BC0EB2" w:rsidRPr="00565D2C" w:rsidRDefault="00BC0EB2" w:rsidP="00565D2C">
      <w:pPr>
        <w:pStyle w:val="Prrafodelista"/>
        <w:numPr>
          <w:ilvl w:val="0"/>
          <w:numId w:val="2"/>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Se formuló el Plan de Capacitación en base a las necesidades y tomando en cuenta las limitaciones presupuestarias, se han ejecutado 21 cursos beneficiando a 27 empleados de las diferentes Unidades de la SC.</w:t>
      </w:r>
    </w:p>
    <w:p w:rsidR="00920C6F" w:rsidRDefault="00920C6F" w:rsidP="00565D2C">
      <w:pPr>
        <w:spacing w:after="0" w:line="240" w:lineRule="auto"/>
        <w:jc w:val="both"/>
        <w:rPr>
          <w:rFonts w:ascii="Times New Roman" w:hAnsi="Times New Roman" w:cs="Times New Roman"/>
          <w:sz w:val="24"/>
          <w:szCs w:val="24"/>
        </w:rPr>
      </w:pPr>
    </w:p>
    <w:p w:rsidR="00114B4B" w:rsidRDefault="00114B4B" w:rsidP="00565D2C">
      <w:pPr>
        <w:spacing w:after="0" w:line="240" w:lineRule="auto"/>
        <w:jc w:val="both"/>
        <w:rPr>
          <w:rFonts w:ascii="Times New Roman" w:hAnsi="Times New Roman" w:cs="Times New Roman"/>
          <w:sz w:val="24"/>
          <w:szCs w:val="24"/>
        </w:rPr>
      </w:pPr>
    </w:p>
    <w:p w:rsidR="00114B4B" w:rsidRDefault="00114B4B" w:rsidP="00565D2C">
      <w:pPr>
        <w:spacing w:after="0" w:line="240" w:lineRule="auto"/>
        <w:jc w:val="both"/>
        <w:rPr>
          <w:rFonts w:ascii="Times New Roman" w:hAnsi="Times New Roman" w:cs="Times New Roman"/>
          <w:sz w:val="24"/>
          <w:szCs w:val="24"/>
        </w:rPr>
      </w:pPr>
    </w:p>
    <w:p w:rsidR="00114B4B" w:rsidRPr="00565D2C" w:rsidRDefault="00114B4B" w:rsidP="00565D2C">
      <w:pPr>
        <w:spacing w:after="0" w:line="240" w:lineRule="auto"/>
        <w:jc w:val="both"/>
        <w:rPr>
          <w:rFonts w:ascii="Times New Roman" w:hAnsi="Times New Roman" w:cs="Times New Roman"/>
          <w:sz w:val="24"/>
          <w:szCs w:val="24"/>
        </w:rPr>
      </w:pPr>
    </w:p>
    <w:p w:rsidR="00920C6F" w:rsidRPr="00565D2C" w:rsidRDefault="00920C6F" w:rsidP="00565D2C">
      <w:pPr>
        <w:spacing w:after="0" w:line="240" w:lineRule="auto"/>
        <w:jc w:val="both"/>
        <w:rPr>
          <w:rFonts w:ascii="Times New Roman" w:hAnsi="Times New Roman" w:cs="Times New Roman"/>
          <w:sz w:val="24"/>
          <w:szCs w:val="24"/>
        </w:rPr>
      </w:pPr>
    </w:p>
    <w:p w:rsidR="00A66046" w:rsidRPr="00565D2C" w:rsidRDefault="003951FA" w:rsidP="00565D2C">
      <w:pPr>
        <w:pStyle w:val="Ttulo2"/>
        <w:numPr>
          <w:ilvl w:val="0"/>
          <w:numId w:val="12"/>
        </w:numPr>
        <w:rPr>
          <w:rFonts w:ascii="Times New Roman" w:hAnsi="Times New Roman" w:cs="Times New Roman"/>
          <w:szCs w:val="24"/>
        </w:rPr>
      </w:pPr>
      <w:bookmarkStart w:id="9" w:name="_Toc523143303"/>
      <w:r w:rsidRPr="00565D2C">
        <w:rPr>
          <w:rFonts w:ascii="Times New Roman" w:hAnsi="Times New Roman" w:cs="Times New Roman"/>
          <w:szCs w:val="24"/>
        </w:rPr>
        <w:t>Unidad de Adquisiciones y contrataciones</w:t>
      </w:r>
      <w:bookmarkEnd w:id="9"/>
    </w:p>
    <w:p w:rsidR="00603FAE" w:rsidRPr="00565D2C" w:rsidRDefault="007B7855" w:rsidP="00565D2C">
      <w:pPr>
        <w:spacing w:after="0" w:line="240" w:lineRule="auto"/>
        <w:jc w:val="both"/>
        <w:rPr>
          <w:rFonts w:ascii="Times New Roman" w:hAnsi="Times New Roman" w:cs="Times New Roman"/>
          <w:b/>
          <w:sz w:val="24"/>
          <w:szCs w:val="24"/>
        </w:rPr>
      </w:pPr>
      <w:r w:rsidRPr="00565D2C">
        <w:rPr>
          <w:rFonts w:ascii="Times New Roman" w:hAnsi="Times New Roman" w:cs="Times New Roman"/>
          <w:b/>
          <w:noProof/>
          <w:sz w:val="24"/>
          <w:szCs w:val="24"/>
        </w:rPr>
        <w:drawing>
          <wp:anchor distT="0" distB="0" distL="114300" distR="114300" simplePos="0" relativeHeight="251784192" behindDoc="1" locked="0" layoutInCell="1" allowOverlap="1">
            <wp:simplePos x="0" y="0"/>
            <wp:positionH relativeFrom="column">
              <wp:posOffset>2958465</wp:posOffset>
            </wp:positionH>
            <wp:positionV relativeFrom="paragraph">
              <wp:posOffset>115570</wp:posOffset>
            </wp:positionV>
            <wp:extent cx="2962275" cy="566420"/>
            <wp:effectExtent l="0" t="0" r="9525" b="5080"/>
            <wp:wrapTight wrapText="bothSides">
              <wp:wrapPolygon edited="0">
                <wp:start x="0" y="0"/>
                <wp:lineTo x="0" y="21067"/>
                <wp:lineTo x="21531" y="21067"/>
                <wp:lineTo x="21531"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62275" cy="566420"/>
                    </a:xfrm>
                    <a:prstGeom prst="rect">
                      <a:avLst/>
                    </a:prstGeom>
                    <a:noFill/>
                  </pic:spPr>
                </pic:pic>
              </a:graphicData>
            </a:graphic>
            <wp14:sizeRelH relativeFrom="margin">
              <wp14:pctWidth>0</wp14:pctWidth>
            </wp14:sizeRelH>
            <wp14:sizeRelV relativeFrom="margin">
              <wp14:pctHeight>0</wp14:pctHeight>
            </wp14:sizeRelV>
          </wp:anchor>
        </w:drawing>
      </w:r>
      <w:r w:rsidRPr="00565D2C">
        <w:rPr>
          <w:rFonts w:ascii="Times New Roman" w:hAnsi="Times New Roman" w:cs="Times New Roman"/>
          <w:b/>
          <w:noProof/>
          <w:sz w:val="24"/>
          <w:szCs w:val="24"/>
        </w:rPr>
        <w:drawing>
          <wp:anchor distT="0" distB="0" distL="114300" distR="114300" simplePos="0" relativeHeight="251783168" behindDoc="1" locked="0" layoutInCell="1" allowOverlap="1">
            <wp:simplePos x="0" y="0"/>
            <wp:positionH relativeFrom="column">
              <wp:posOffset>329565</wp:posOffset>
            </wp:positionH>
            <wp:positionV relativeFrom="paragraph">
              <wp:posOffset>85090</wp:posOffset>
            </wp:positionV>
            <wp:extent cx="1909445" cy="590550"/>
            <wp:effectExtent l="0" t="0" r="0" b="0"/>
            <wp:wrapTight wrapText="bothSides">
              <wp:wrapPolygon edited="0">
                <wp:start x="0" y="0"/>
                <wp:lineTo x="0" y="20903"/>
                <wp:lineTo x="21334" y="20903"/>
                <wp:lineTo x="2133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9445" cy="590550"/>
                    </a:xfrm>
                    <a:prstGeom prst="rect">
                      <a:avLst/>
                    </a:prstGeom>
                    <a:noFill/>
                  </pic:spPr>
                </pic:pic>
              </a:graphicData>
            </a:graphic>
            <wp14:sizeRelH relativeFrom="margin">
              <wp14:pctWidth>0</wp14:pctWidth>
            </wp14:sizeRelH>
            <wp14:sizeRelV relativeFrom="margin">
              <wp14:pctHeight>0</wp14:pctHeight>
            </wp14:sizeRelV>
          </wp:anchor>
        </w:drawing>
      </w:r>
      <w:r w:rsidR="00B66E3C" w:rsidRPr="00565D2C">
        <w:rPr>
          <w:rFonts w:ascii="Times New Roman" w:hAnsi="Times New Roman" w:cs="Times New Roman"/>
          <w:noProof/>
          <w:sz w:val="24"/>
          <w:szCs w:val="24"/>
        </w:rPr>
        <w:t xml:space="preserve">  </w:t>
      </w:r>
    </w:p>
    <w:p w:rsidR="00A66046" w:rsidRPr="00565D2C" w:rsidRDefault="00A66046" w:rsidP="00565D2C">
      <w:pPr>
        <w:spacing w:after="0" w:line="240" w:lineRule="auto"/>
        <w:jc w:val="both"/>
        <w:rPr>
          <w:rFonts w:ascii="Times New Roman" w:hAnsi="Times New Roman" w:cs="Times New Roman"/>
          <w:b/>
          <w:sz w:val="24"/>
          <w:szCs w:val="24"/>
        </w:rPr>
      </w:pPr>
    </w:p>
    <w:p w:rsidR="00A66046" w:rsidRPr="00565D2C" w:rsidRDefault="00A66046" w:rsidP="00565D2C">
      <w:pPr>
        <w:spacing w:after="0" w:line="240" w:lineRule="auto"/>
        <w:jc w:val="both"/>
        <w:rPr>
          <w:rFonts w:ascii="Times New Roman" w:hAnsi="Times New Roman" w:cs="Times New Roman"/>
          <w:b/>
          <w:sz w:val="24"/>
          <w:szCs w:val="24"/>
        </w:rPr>
      </w:pPr>
    </w:p>
    <w:p w:rsidR="00A66046" w:rsidRPr="00565D2C" w:rsidRDefault="00A66046" w:rsidP="00565D2C">
      <w:pPr>
        <w:spacing w:after="0" w:line="240" w:lineRule="auto"/>
        <w:jc w:val="both"/>
        <w:rPr>
          <w:rFonts w:ascii="Times New Roman" w:hAnsi="Times New Roman" w:cs="Times New Roman"/>
          <w:b/>
          <w:sz w:val="24"/>
          <w:szCs w:val="24"/>
        </w:rPr>
      </w:pPr>
    </w:p>
    <w:p w:rsidR="003146AE" w:rsidRPr="00565D2C" w:rsidRDefault="003146AE" w:rsidP="00565D2C">
      <w:pPr>
        <w:spacing w:after="0" w:line="240" w:lineRule="auto"/>
        <w:jc w:val="both"/>
        <w:rPr>
          <w:rFonts w:ascii="Times New Roman" w:hAnsi="Times New Roman" w:cs="Times New Roman"/>
          <w:sz w:val="24"/>
          <w:szCs w:val="24"/>
        </w:rPr>
      </w:pPr>
    </w:p>
    <w:p w:rsidR="00A66046" w:rsidRPr="00565D2C" w:rsidRDefault="00AF7006"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 UACI cumplió </w:t>
      </w:r>
      <w:r w:rsidR="00787DB8">
        <w:rPr>
          <w:rFonts w:ascii="Times New Roman" w:hAnsi="Times New Roman" w:cs="Times New Roman"/>
          <w:sz w:val="24"/>
          <w:szCs w:val="24"/>
        </w:rPr>
        <w:t>en un 97.80%</w:t>
      </w:r>
      <w:r w:rsidR="0099424E" w:rsidRPr="00565D2C">
        <w:rPr>
          <w:rFonts w:ascii="Times New Roman" w:hAnsi="Times New Roman" w:cs="Times New Roman"/>
          <w:sz w:val="24"/>
          <w:szCs w:val="24"/>
        </w:rPr>
        <w:t xml:space="preserve"> </w:t>
      </w:r>
      <w:r w:rsidRPr="00565D2C">
        <w:rPr>
          <w:rFonts w:ascii="Times New Roman" w:hAnsi="Times New Roman" w:cs="Times New Roman"/>
          <w:sz w:val="24"/>
          <w:szCs w:val="24"/>
        </w:rPr>
        <w:t xml:space="preserve">con </w:t>
      </w:r>
      <w:r w:rsidR="004D4E92" w:rsidRPr="00565D2C">
        <w:rPr>
          <w:rFonts w:ascii="Times New Roman" w:hAnsi="Times New Roman" w:cs="Times New Roman"/>
          <w:sz w:val="24"/>
          <w:szCs w:val="24"/>
        </w:rPr>
        <w:t>las</w:t>
      </w:r>
      <w:r w:rsidR="00B66990" w:rsidRPr="00565D2C">
        <w:rPr>
          <w:rFonts w:ascii="Times New Roman" w:hAnsi="Times New Roman" w:cs="Times New Roman"/>
          <w:sz w:val="24"/>
          <w:szCs w:val="24"/>
        </w:rPr>
        <w:t xml:space="preserve"> </w:t>
      </w:r>
      <w:r w:rsidRPr="00565D2C">
        <w:rPr>
          <w:rFonts w:ascii="Times New Roman" w:hAnsi="Times New Roman" w:cs="Times New Roman"/>
          <w:sz w:val="24"/>
          <w:szCs w:val="24"/>
        </w:rPr>
        <w:t xml:space="preserve">5 actividades programadas, </w:t>
      </w:r>
      <w:r w:rsidR="0099424E" w:rsidRPr="00565D2C">
        <w:rPr>
          <w:rFonts w:ascii="Times New Roman" w:hAnsi="Times New Roman" w:cs="Times New Roman"/>
          <w:sz w:val="24"/>
          <w:szCs w:val="24"/>
        </w:rPr>
        <w:t xml:space="preserve">a </w:t>
      </w:r>
      <w:r w:rsidR="007A70EA" w:rsidRPr="00565D2C">
        <w:rPr>
          <w:rFonts w:ascii="Times New Roman" w:hAnsi="Times New Roman" w:cs="Times New Roman"/>
          <w:sz w:val="24"/>
          <w:szCs w:val="24"/>
        </w:rPr>
        <w:t>continuación,</w:t>
      </w:r>
      <w:r w:rsidR="0099424E" w:rsidRPr="00565D2C">
        <w:rPr>
          <w:rFonts w:ascii="Times New Roman" w:hAnsi="Times New Roman" w:cs="Times New Roman"/>
          <w:sz w:val="24"/>
          <w:szCs w:val="24"/>
        </w:rPr>
        <w:t xml:space="preserve"> se describen las más sustantivas</w:t>
      </w:r>
      <w:r w:rsidRPr="00565D2C">
        <w:rPr>
          <w:rFonts w:ascii="Times New Roman" w:hAnsi="Times New Roman" w:cs="Times New Roman"/>
          <w:sz w:val="24"/>
          <w:szCs w:val="24"/>
        </w:rPr>
        <w:t>:</w:t>
      </w:r>
    </w:p>
    <w:p w:rsidR="00F34171" w:rsidRPr="00565D2C" w:rsidRDefault="00F34171" w:rsidP="00565D2C">
      <w:pPr>
        <w:spacing w:after="0" w:line="240" w:lineRule="auto"/>
        <w:jc w:val="both"/>
        <w:rPr>
          <w:rFonts w:ascii="Times New Roman" w:hAnsi="Times New Roman" w:cs="Times New Roman"/>
          <w:sz w:val="24"/>
          <w:szCs w:val="24"/>
        </w:rPr>
      </w:pPr>
    </w:p>
    <w:p w:rsidR="0025035D" w:rsidRDefault="00BC0EB2" w:rsidP="00565D2C">
      <w:pPr>
        <w:pStyle w:val="Prrafodelista"/>
        <w:numPr>
          <w:ilvl w:val="0"/>
          <w:numId w:val="8"/>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60 órdenes de compra gestionadas.</w:t>
      </w:r>
    </w:p>
    <w:p w:rsidR="00787DB8" w:rsidRPr="00565D2C" w:rsidRDefault="00787DB8" w:rsidP="00787DB8">
      <w:pPr>
        <w:pStyle w:val="Prrafodelista"/>
        <w:spacing w:after="0" w:line="240" w:lineRule="auto"/>
        <w:jc w:val="both"/>
        <w:rPr>
          <w:rFonts w:ascii="Times New Roman" w:hAnsi="Times New Roman" w:cs="Times New Roman"/>
          <w:sz w:val="24"/>
          <w:szCs w:val="24"/>
        </w:rPr>
      </w:pPr>
    </w:p>
    <w:p w:rsidR="00BC0EB2" w:rsidRDefault="00BC0EB2" w:rsidP="00565D2C">
      <w:pPr>
        <w:pStyle w:val="Prrafodelista"/>
        <w:numPr>
          <w:ilvl w:val="0"/>
          <w:numId w:val="8"/>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2 contratos gestionados: médico hospitalario y de vida con SISA VIDA, S.A. SEGUROS DE PERSONAS y ASEGURADORA VIVIR, S.A. SEGUROS DE PERSONAS.</w:t>
      </w:r>
    </w:p>
    <w:p w:rsidR="00787DB8" w:rsidRPr="00787DB8" w:rsidRDefault="00787DB8" w:rsidP="00787DB8">
      <w:pPr>
        <w:pStyle w:val="Prrafodelista"/>
        <w:rPr>
          <w:rFonts w:ascii="Times New Roman" w:hAnsi="Times New Roman" w:cs="Times New Roman"/>
          <w:sz w:val="24"/>
          <w:szCs w:val="24"/>
        </w:rPr>
      </w:pPr>
    </w:p>
    <w:p w:rsidR="00BC0EB2" w:rsidRDefault="00BC0EB2" w:rsidP="00565D2C">
      <w:pPr>
        <w:pStyle w:val="Prrafodelista"/>
        <w:numPr>
          <w:ilvl w:val="0"/>
          <w:numId w:val="8"/>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Documento con acuerdo, contrato y/o resolución de cada proceso de: COMUNICACIONES IBW EL SALVADOR, S.A. DE C.V., INTELFON, S.A. DE C.V., SEGUROS E INVERSIONES, S.A., AGENCIA INTERNACIONAL DE VIAJES PANAMEX, S.A. DE C.V., UDP Diego Petrecolla Gustavo Ferro.</w:t>
      </w:r>
    </w:p>
    <w:p w:rsidR="00787DB8" w:rsidRPr="00787DB8" w:rsidRDefault="00787DB8" w:rsidP="00787DB8">
      <w:pPr>
        <w:pStyle w:val="Prrafodelista"/>
        <w:rPr>
          <w:rFonts w:ascii="Times New Roman" w:hAnsi="Times New Roman" w:cs="Times New Roman"/>
          <w:sz w:val="24"/>
          <w:szCs w:val="24"/>
        </w:rPr>
      </w:pPr>
    </w:p>
    <w:p w:rsidR="00BC0EB2" w:rsidRPr="00565D2C" w:rsidRDefault="00BC0EB2" w:rsidP="00565D2C">
      <w:pPr>
        <w:pStyle w:val="Prrafodelista"/>
        <w:numPr>
          <w:ilvl w:val="0"/>
          <w:numId w:val="8"/>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PAAC elaborada.</w:t>
      </w:r>
    </w:p>
    <w:p w:rsidR="007D4DDB" w:rsidRPr="00565D2C" w:rsidRDefault="007D4DDB" w:rsidP="00565D2C">
      <w:pPr>
        <w:pStyle w:val="Prrafodelista"/>
        <w:jc w:val="both"/>
        <w:rPr>
          <w:rFonts w:ascii="Times New Roman" w:hAnsi="Times New Roman" w:cs="Times New Roman"/>
          <w:sz w:val="24"/>
          <w:szCs w:val="24"/>
        </w:rPr>
      </w:pPr>
    </w:p>
    <w:p w:rsidR="00D02098" w:rsidRPr="00565D2C" w:rsidRDefault="00D02098" w:rsidP="00565D2C">
      <w:pPr>
        <w:pStyle w:val="Ttulo2"/>
        <w:numPr>
          <w:ilvl w:val="0"/>
          <w:numId w:val="12"/>
        </w:numPr>
        <w:rPr>
          <w:rFonts w:ascii="Times New Roman" w:hAnsi="Times New Roman" w:cs="Times New Roman"/>
          <w:szCs w:val="24"/>
        </w:rPr>
      </w:pPr>
      <w:bookmarkStart w:id="10" w:name="_Toc523143304"/>
      <w:r w:rsidRPr="00565D2C">
        <w:rPr>
          <w:rFonts w:ascii="Times New Roman" w:hAnsi="Times New Roman" w:cs="Times New Roman"/>
          <w:szCs w:val="24"/>
        </w:rPr>
        <w:t>Unidad de Auditoría Interna</w:t>
      </w:r>
      <w:bookmarkEnd w:id="10"/>
    </w:p>
    <w:p w:rsidR="00D02098" w:rsidRPr="00565D2C" w:rsidRDefault="000C3165" w:rsidP="00565D2C">
      <w:pPr>
        <w:spacing w:after="0" w:line="240" w:lineRule="auto"/>
        <w:jc w:val="both"/>
        <w:rPr>
          <w:rFonts w:ascii="Times New Roman" w:hAnsi="Times New Roman" w:cs="Times New Roman"/>
          <w:b/>
          <w:sz w:val="24"/>
          <w:szCs w:val="24"/>
        </w:rPr>
      </w:pPr>
      <w:r w:rsidRPr="00565D2C">
        <w:rPr>
          <w:rFonts w:ascii="Times New Roman" w:hAnsi="Times New Roman" w:cs="Times New Roman"/>
          <w:b/>
          <w:noProof/>
          <w:sz w:val="24"/>
          <w:szCs w:val="24"/>
        </w:rPr>
        <w:drawing>
          <wp:anchor distT="0" distB="0" distL="114300" distR="114300" simplePos="0" relativeHeight="251786240" behindDoc="1" locked="0" layoutInCell="1" allowOverlap="1">
            <wp:simplePos x="0" y="0"/>
            <wp:positionH relativeFrom="column">
              <wp:posOffset>2825115</wp:posOffset>
            </wp:positionH>
            <wp:positionV relativeFrom="paragraph">
              <wp:posOffset>115570</wp:posOffset>
            </wp:positionV>
            <wp:extent cx="3070225" cy="590645"/>
            <wp:effectExtent l="0" t="0" r="0" b="0"/>
            <wp:wrapTight wrapText="bothSides">
              <wp:wrapPolygon edited="0">
                <wp:start x="0" y="0"/>
                <wp:lineTo x="0" y="20903"/>
                <wp:lineTo x="21444" y="20903"/>
                <wp:lineTo x="21444"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70225" cy="590645"/>
                    </a:xfrm>
                    <a:prstGeom prst="rect">
                      <a:avLst/>
                    </a:prstGeom>
                    <a:noFill/>
                  </pic:spPr>
                </pic:pic>
              </a:graphicData>
            </a:graphic>
          </wp:anchor>
        </w:drawing>
      </w:r>
      <w:r w:rsidRPr="00565D2C">
        <w:rPr>
          <w:rFonts w:ascii="Times New Roman" w:hAnsi="Times New Roman" w:cs="Times New Roman"/>
          <w:noProof/>
          <w:sz w:val="24"/>
          <w:szCs w:val="24"/>
        </w:rPr>
        <w:drawing>
          <wp:anchor distT="0" distB="0" distL="114300" distR="114300" simplePos="0" relativeHeight="251785216" behindDoc="1" locked="0" layoutInCell="1" allowOverlap="1">
            <wp:simplePos x="0" y="0"/>
            <wp:positionH relativeFrom="column">
              <wp:posOffset>348615</wp:posOffset>
            </wp:positionH>
            <wp:positionV relativeFrom="paragraph">
              <wp:posOffset>115570</wp:posOffset>
            </wp:positionV>
            <wp:extent cx="1897598" cy="587375"/>
            <wp:effectExtent l="0" t="0" r="7620" b="3175"/>
            <wp:wrapTight wrapText="bothSides">
              <wp:wrapPolygon edited="0">
                <wp:start x="0" y="0"/>
                <wp:lineTo x="0" y="21016"/>
                <wp:lineTo x="21470" y="21016"/>
                <wp:lineTo x="21470"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7598" cy="587375"/>
                    </a:xfrm>
                    <a:prstGeom prst="rect">
                      <a:avLst/>
                    </a:prstGeom>
                    <a:noFill/>
                  </pic:spPr>
                </pic:pic>
              </a:graphicData>
            </a:graphic>
          </wp:anchor>
        </w:drawing>
      </w:r>
      <w:r w:rsidR="002A4593" w:rsidRPr="00565D2C">
        <w:rPr>
          <w:rFonts w:ascii="Times New Roman" w:hAnsi="Times New Roman" w:cs="Times New Roman"/>
          <w:noProof/>
          <w:sz w:val="24"/>
          <w:szCs w:val="24"/>
        </w:rPr>
        <w:t xml:space="preserve"> </w:t>
      </w:r>
    </w:p>
    <w:p w:rsidR="00AF7006" w:rsidRPr="00565D2C" w:rsidRDefault="00AF7006" w:rsidP="00565D2C">
      <w:pPr>
        <w:spacing w:after="0" w:line="240" w:lineRule="auto"/>
        <w:jc w:val="both"/>
        <w:rPr>
          <w:rFonts w:ascii="Times New Roman" w:hAnsi="Times New Roman" w:cs="Times New Roman"/>
          <w:sz w:val="24"/>
          <w:szCs w:val="24"/>
        </w:rPr>
      </w:pPr>
    </w:p>
    <w:p w:rsidR="004229B0" w:rsidRPr="00565D2C" w:rsidRDefault="004229B0" w:rsidP="00565D2C">
      <w:pPr>
        <w:spacing w:after="0" w:line="240" w:lineRule="auto"/>
        <w:jc w:val="both"/>
        <w:rPr>
          <w:rFonts w:ascii="Times New Roman" w:hAnsi="Times New Roman" w:cs="Times New Roman"/>
          <w:b/>
          <w:sz w:val="24"/>
          <w:szCs w:val="24"/>
        </w:rPr>
      </w:pPr>
    </w:p>
    <w:p w:rsidR="002A4593" w:rsidRPr="00565D2C" w:rsidRDefault="002A4593" w:rsidP="00565D2C">
      <w:pPr>
        <w:spacing w:after="0" w:line="240" w:lineRule="auto"/>
        <w:jc w:val="both"/>
        <w:rPr>
          <w:rFonts w:ascii="Times New Roman" w:hAnsi="Times New Roman" w:cs="Times New Roman"/>
          <w:b/>
          <w:sz w:val="24"/>
          <w:szCs w:val="24"/>
        </w:rPr>
      </w:pPr>
    </w:p>
    <w:p w:rsidR="002A4593" w:rsidRPr="00565D2C" w:rsidRDefault="002A4593" w:rsidP="00565D2C">
      <w:pPr>
        <w:spacing w:after="0" w:line="240" w:lineRule="auto"/>
        <w:jc w:val="both"/>
        <w:rPr>
          <w:rFonts w:ascii="Times New Roman" w:hAnsi="Times New Roman" w:cs="Times New Roman"/>
          <w:b/>
          <w:sz w:val="24"/>
          <w:szCs w:val="24"/>
        </w:rPr>
      </w:pPr>
    </w:p>
    <w:p w:rsidR="002A4593" w:rsidRPr="00565D2C" w:rsidRDefault="002A4593"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 unidad de Auditoría Interna </w:t>
      </w:r>
      <w:r w:rsidR="00056880" w:rsidRPr="00565D2C">
        <w:rPr>
          <w:rFonts w:ascii="Times New Roman" w:hAnsi="Times New Roman" w:cs="Times New Roman"/>
          <w:sz w:val="24"/>
          <w:szCs w:val="24"/>
        </w:rPr>
        <w:t>cumplió en un 100% con las activida</w:t>
      </w:r>
      <w:r w:rsidR="00AB1794" w:rsidRPr="00565D2C">
        <w:rPr>
          <w:rFonts w:ascii="Times New Roman" w:hAnsi="Times New Roman" w:cs="Times New Roman"/>
          <w:sz w:val="24"/>
          <w:szCs w:val="24"/>
        </w:rPr>
        <w:t>des programadas este trimestre, a continuación, se describen las más sustantivas:</w:t>
      </w:r>
    </w:p>
    <w:p w:rsidR="00AB1794" w:rsidRPr="00565D2C" w:rsidRDefault="00AB1794" w:rsidP="00565D2C">
      <w:pPr>
        <w:spacing w:after="0" w:line="240" w:lineRule="auto"/>
        <w:jc w:val="both"/>
        <w:rPr>
          <w:rFonts w:ascii="Times New Roman" w:hAnsi="Times New Roman" w:cs="Times New Roman"/>
          <w:sz w:val="24"/>
          <w:szCs w:val="24"/>
        </w:rPr>
      </w:pPr>
    </w:p>
    <w:p w:rsidR="00AB1794" w:rsidRPr="00565D2C" w:rsidRDefault="00C40E33" w:rsidP="00565D2C">
      <w:pPr>
        <w:pStyle w:val="Prrafodelista"/>
        <w:numPr>
          <w:ilvl w:val="0"/>
          <w:numId w:val="9"/>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El informe sobre la gestión y el proceso </w:t>
      </w:r>
      <w:r w:rsidR="00EE0CEC" w:rsidRPr="00565D2C">
        <w:rPr>
          <w:rFonts w:ascii="Times New Roman" w:hAnsi="Times New Roman" w:cs="Times New Roman"/>
          <w:sz w:val="24"/>
          <w:szCs w:val="24"/>
        </w:rPr>
        <w:t>de adquisiciones</w:t>
      </w:r>
      <w:r w:rsidRPr="00565D2C">
        <w:rPr>
          <w:rFonts w:ascii="Times New Roman" w:hAnsi="Times New Roman" w:cs="Times New Roman"/>
          <w:sz w:val="24"/>
          <w:szCs w:val="24"/>
        </w:rPr>
        <w:t xml:space="preserve"> y contrataciones de bienes y servicios contiene una condición de control interno reportable, la cual fue desvanecida en el seguimiento realizado en el mes de abril del presente año, al haber implementado la UACI la recomendación respectiva.</w:t>
      </w:r>
    </w:p>
    <w:p w:rsidR="00EE67C6" w:rsidRPr="00565D2C" w:rsidRDefault="00EE67C6" w:rsidP="00565D2C">
      <w:pPr>
        <w:pStyle w:val="Prrafodelista"/>
        <w:spacing w:after="0" w:line="240" w:lineRule="auto"/>
        <w:jc w:val="both"/>
        <w:rPr>
          <w:rFonts w:ascii="Times New Roman" w:hAnsi="Times New Roman" w:cs="Times New Roman"/>
          <w:sz w:val="24"/>
          <w:szCs w:val="24"/>
        </w:rPr>
      </w:pPr>
    </w:p>
    <w:p w:rsidR="00C40E33" w:rsidRPr="00565D2C" w:rsidRDefault="00EE67C6" w:rsidP="00565D2C">
      <w:pPr>
        <w:pStyle w:val="Prrafodelista"/>
        <w:numPr>
          <w:ilvl w:val="0"/>
          <w:numId w:val="9"/>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Las evaluaciones sobre los grupos contables: Inversiones Financieras e Inversiones en Existencias, la gestión y el control interno del Área de Tesorería Institucional; examinando el grupo contable de disponibilidades, incluyendo el Fondo Circulante de Monto Fijo, el grupo contable de inversiones en bienes de uso; la gestión, documentación y controles de los procesos desarrollados por la Intendencia de Investigaciones; la gestión, documentación y controles en los procesos desarrollados por la Intendencia de Abogacía de la Competencia, resultaron limpias.</w:t>
      </w:r>
    </w:p>
    <w:p w:rsidR="00EE67C6" w:rsidRPr="00565D2C" w:rsidRDefault="00EE67C6" w:rsidP="00565D2C">
      <w:pPr>
        <w:pStyle w:val="Prrafodelista"/>
        <w:jc w:val="both"/>
        <w:rPr>
          <w:rFonts w:ascii="Times New Roman" w:hAnsi="Times New Roman" w:cs="Times New Roman"/>
          <w:sz w:val="24"/>
          <w:szCs w:val="24"/>
        </w:rPr>
      </w:pPr>
    </w:p>
    <w:p w:rsidR="00EE67C6" w:rsidRPr="00565D2C" w:rsidRDefault="00EE67C6" w:rsidP="00565D2C">
      <w:pPr>
        <w:pStyle w:val="Prrafodelista"/>
        <w:numPr>
          <w:ilvl w:val="0"/>
          <w:numId w:val="9"/>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A la fecha de referencia del seguimiento (30 de abril de 2018), la totalidad de recomendaciones emitidas por los entes fiscalizadores de la SC, que ascendía a cinco, fueron cumplidas por la institución.</w:t>
      </w:r>
    </w:p>
    <w:p w:rsidR="006F56A3" w:rsidRDefault="006F56A3" w:rsidP="00565D2C">
      <w:pPr>
        <w:pStyle w:val="Prrafodelista"/>
        <w:spacing w:after="0" w:line="240" w:lineRule="auto"/>
        <w:jc w:val="both"/>
        <w:rPr>
          <w:rFonts w:ascii="Times New Roman" w:hAnsi="Times New Roman" w:cs="Times New Roman"/>
          <w:sz w:val="24"/>
          <w:szCs w:val="24"/>
        </w:rPr>
      </w:pPr>
    </w:p>
    <w:p w:rsidR="00787DB8" w:rsidRPr="00565D2C" w:rsidRDefault="00787DB8" w:rsidP="00565D2C">
      <w:pPr>
        <w:pStyle w:val="Prrafodelista"/>
        <w:spacing w:after="0" w:line="240" w:lineRule="auto"/>
        <w:jc w:val="both"/>
        <w:rPr>
          <w:rFonts w:ascii="Times New Roman" w:hAnsi="Times New Roman" w:cs="Times New Roman"/>
          <w:sz w:val="24"/>
          <w:szCs w:val="24"/>
        </w:rPr>
      </w:pPr>
    </w:p>
    <w:p w:rsidR="00AD093F" w:rsidRPr="00565D2C" w:rsidRDefault="00AD093F" w:rsidP="00565D2C">
      <w:pPr>
        <w:spacing w:after="0" w:line="240" w:lineRule="auto"/>
        <w:jc w:val="both"/>
        <w:rPr>
          <w:rFonts w:ascii="Times New Roman" w:hAnsi="Times New Roman" w:cs="Times New Roman"/>
          <w:sz w:val="24"/>
          <w:szCs w:val="24"/>
        </w:rPr>
      </w:pPr>
    </w:p>
    <w:p w:rsidR="002A4593" w:rsidRPr="00565D2C" w:rsidRDefault="00D4148A" w:rsidP="00565D2C">
      <w:pPr>
        <w:pStyle w:val="Ttulo2"/>
        <w:numPr>
          <w:ilvl w:val="0"/>
          <w:numId w:val="12"/>
        </w:numPr>
        <w:rPr>
          <w:rFonts w:ascii="Times New Roman" w:hAnsi="Times New Roman" w:cs="Times New Roman"/>
          <w:szCs w:val="24"/>
        </w:rPr>
      </w:pPr>
      <w:bookmarkStart w:id="11" w:name="_Toc523143305"/>
      <w:r w:rsidRPr="00565D2C">
        <w:rPr>
          <w:rFonts w:ascii="Times New Roman" w:hAnsi="Times New Roman" w:cs="Times New Roman"/>
          <w:szCs w:val="24"/>
        </w:rPr>
        <w:t>Unidad Financiera Institucional</w:t>
      </w:r>
      <w:bookmarkEnd w:id="11"/>
    </w:p>
    <w:p w:rsidR="00D4148A" w:rsidRPr="00565D2C" w:rsidRDefault="000C3165" w:rsidP="00565D2C">
      <w:pPr>
        <w:jc w:val="both"/>
        <w:rPr>
          <w:rFonts w:ascii="Times New Roman" w:hAnsi="Times New Roman" w:cs="Times New Roman"/>
          <w:sz w:val="24"/>
          <w:szCs w:val="24"/>
        </w:rPr>
      </w:pPr>
      <w:r w:rsidRPr="00565D2C">
        <w:rPr>
          <w:rFonts w:ascii="Times New Roman" w:hAnsi="Times New Roman" w:cs="Times New Roman"/>
          <w:noProof/>
          <w:sz w:val="24"/>
          <w:szCs w:val="24"/>
        </w:rPr>
        <w:drawing>
          <wp:anchor distT="0" distB="0" distL="114300" distR="114300" simplePos="0" relativeHeight="251788288" behindDoc="1" locked="0" layoutInCell="1" allowOverlap="1">
            <wp:simplePos x="0" y="0"/>
            <wp:positionH relativeFrom="column">
              <wp:posOffset>2854960</wp:posOffset>
            </wp:positionH>
            <wp:positionV relativeFrom="paragraph">
              <wp:posOffset>58420</wp:posOffset>
            </wp:positionV>
            <wp:extent cx="2716549" cy="522605"/>
            <wp:effectExtent l="0" t="0" r="7620" b="0"/>
            <wp:wrapTight wrapText="bothSides">
              <wp:wrapPolygon edited="0">
                <wp:start x="0" y="0"/>
                <wp:lineTo x="0" y="20471"/>
                <wp:lineTo x="21509" y="20471"/>
                <wp:lineTo x="21509"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16549" cy="522605"/>
                    </a:xfrm>
                    <a:prstGeom prst="rect">
                      <a:avLst/>
                    </a:prstGeom>
                    <a:noFill/>
                  </pic:spPr>
                </pic:pic>
              </a:graphicData>
            </a:graphic>
          </wp:anchor>
        </w:drawing>
      </w:r>
      <w:r w:rsidRPr="00565D2C">
        <w:rPr>
          <w:rFonts w:ascii="Times New Roman" w:hAnsi="Times New Roman" w:cs="Times New Roman"/>
          <w:noProof/>
          <w:sz w:val="24"/>
          <w:szCs w:val="24"/>
        </w:rPr>
        <w:drawing>
          <wp:anchor distT="0" distB="0" distL="114300" distR="114300" simplePos="0" relativeHeight="251787264" behindDoc="1" locked="0" layoutInCell="1" allowOverlap="1">
            <wp:simplePos x="0" y="0"/>
            <wp:positionH relativeFrom="column">
              <wp:posOffset>225425</wp:posOffset>
            </wp:positionH>
            <wp:positionV relativeFrom="paragraph">
              <wp:posOffset>52705</wp:posOffset>
            </wp:positionV>
            <wp:extent cx="2020685" cy="625475"/>
            <wp:effectExtent l="0" t="0" r="0" b="3175"/>
            <wp:wrapTight wrapText="bothSides">
              <wp:wrapPolygon edited="0">
                <wp:start x="0" y="0"/>
                <wp:lineTo x="0" y="21052"/>
                <wp:lineTo x="21383" y="21052"/>
                <wp:lineTo x="21383"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20685" cy="625475"/>
                    </a:xfrm>
                    <a:prstGeom prst="rect">
                      <a:avLst/>
                    </a:prstGeom>
                    <a:noFill/>
                  </pic:spPr>
                </pic:pic>
              </a:graphicData>
            </a:graphic>
          </wp:anchor>
        </w:drawing>
      </w:r>
    </w:p>
    <w:p w:rsidR="00AB0B85" w:rsidRPr="00565D2C" w:rsidRDefault="00AB0B85" w:rsidP="00565D2C">
      <w:pPr>
        <w:jc w:val="both"/>
        <w:rPr>
          <w:rFonts w:ascii="Times New Roman" w:hAnsi="Times New Roman" w:cs="Times New Roman"/>
          <w:sz w:val="24"/>
          <w:szCs w:val="24"/>
        </w:rPr>
      </w:pPr>
    </w:p>
    <w:p w:rsidR="000C3165" w:rsidRPr="00565D2C" w:rsidRDefault="000C3165"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noProof/>
          <w:sz w:val="24"/>
          <w:szCs w:val="24"/>
        </w:rPr>
        <w:drawing>
          <wp:anchor distT="0" distB="0" distL="114300" distR="114300" simplePos="0" relativeHeight="251789312" behindDoc="1" locked="0" layoutInCell="1" allowOverlap="1">
            <wp:simplePos x="0" y="0"/>
            <wp:positionH relativeFrom="column">
              <wp:posOffset>281940</wp:posOffset>
            </wp:positionH>
            <wp:positionV relativeFrom="paragraph">
              <wp:posOffset>198120</wp:posOffset>
            </wp:positionV>
            <wp:extent cx="5410200" cy="525145"/>
            <wp:effectExtent l="0" t="0" r="0" b="8255"/>
            <wp:wrapTight wrapText="bothSides">
              <wp:wrapPolygon edited="0">
                <wp:start x="0" y="0"/>
                <wp:lineTo x="0" y="21156"/>
                <wp:lineTo x="21524" y="21156"/>
                <wp:lineTo x="21524"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10200" cy="525145"/>
                    </a:xfrm>
                    <a:prstGeom prst="rect">
                      <a:avLst/>
                    </a:prstGeom>
                    <a:noFill/>
                  </pic:spPr>
                </pic:pic>
              </a:graphicData>
            </a:graphic>
            <wp14:sizeRelH relativeFrom="margin">
              <wp14:pctWidth>0</wp14:pctWidth>
            </wp14:sizeRelH>
            <wp14:sizeRelV relativeFrom="margin">
              <wp14:pctHeight>0</wp14:pctHeight>
            </wp14:sizeRelV>
          </wp:anchor>
        </w:drawing>
      </w:r>
    </w:p>
    <w:p w:rsidR="000C3165" w:rsidRPr="00565D2C" w:rsidRDefault="000C3165" w:rsidP="00565D2C">
      <w:pPr>
        <w:spacing w:after="0" w:line="240" w:lineRule="auto"/>
        <w:jc w:val="both"/>
        <w:rPr>
          <w:rFonts w:ascii="Times New Roman" w:hAnsi="Times New Roman" w:cs="Times New Roman"/>
          <w:sz w:val="24"/>
          <w:szCs w:val="24"/>
        </w:rPr>
      </w:pPr>
    </w:p>
    <w:p w:rsidR="00D4148A" w:rsidRPr="00565D2C" w:rsidRDefault="00D4148A"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 UFI cumplió </w:t>
      </w:r>
      <w:r w:rsidR="00C2416F" w:rsidRPr="00565D2C">
        <w:rPr>
          <w:rFonts w:ascii="Times New Roman" w:hAnsi="Times New Roman" w:cs="Times New Roman"/>
          <w:sz w:val="24"/>
          <w:szCs w:val="24"/>
        </w:rPr>
        <w:t>en un 9</w:t>
      </w:r>
      <w:r w:rsidR="00EE67C6" w:rsidRPr="00565D2C">
        <w:rPr>
          <w:rFonts w:ascii="Times New Roman" w:hAnsi="Times New Roman" w:cs="Times New Roman"/>
          <w:sz w:val="24"/>
          <w:szCs w:val="24"/>
        </w:rPr>
        <w:t>7</w:t>
      </w:r>
      <w:r w:rsidR="00C2416F" w:rsidRPr="00565D2C">
        <w:rPr>
          <w:rFonts w:ascii="Times New Roman" w:hAnsi="Times New Roman" w:cs="Times New Roman"/>
          <w:sz w:val="24"/>
          <w:szCs w:val="24"/>
        </w:rPr>
        <w:t>.</w:t>
      </w:r>
      <w:r w:rsidR="00EE67C6" w:rsidRPr="00565D2C">
        <w:rPr>
          <w:rFonts w:ascii="Times New Roman" w:hAnsi="Times New Roman" w:cs="Times New Roman"/>
          <w:sz w:val="24"/>
          <w:szCs w:val="24"/>
        </w:rPr>
        <w:t>80</w:t>
      </w:r>
      <w:r w:rsidR="00C2416F" w:rsidRPr="00565D2C">
        <w:rPr>
          <w:rFonts w:ascii="Times New Roman" w:hAnsi="Times New Roman" w:cs="Times New Roman"/>
          <w:sz w:val="24"/>
          <w:szCs w:val="24"/>
        </w:rPr>
        <w:t>%</w:t>
      </w:r>
      <w:r w:rsidR="00B66E3C" w:rsidRPr="00565D2C">
        <w:rPr>
          <w:rFonts w:ascii="Times New Roman" w:hAnsi="Times New Roman" w:cs="Times New Roman"/>
          <w:sz w:val="24"/>
          <w:szCs w:val="24"/>
        </w:rPr>
        <w:t xml:space="preserve"> </w:t>
      </w:r>
      <w:r w:rsidR="00AD093F" w:rsidRPr="00565D2C">
        <w:rPr>
          <w:rFonts w:ascii="Times New Roman" w:hAnsi="Times New Roman" w:cs="Times New Roman"/>
          <w:sz w:val="24"/>
          <w:szCs w:val="24"/>
        </w:rPr>
        <w:t>las</w:t>
      </w:r>
      <w:r w:rsidR="00B66E3C" w:rsidRPr="00565D2C">
        <w:rPr>
          <w:rFonts w:ascii="Times New Roman" w:hAnsi="Times New Roman" w:cs="Times New Roman"/>
          <w:sz w:val="24"/>
          <w:szCs w:val="24"/>
        </w:rPr>
        <w:t xml:space="preserve"> </w:t>
      </w:r>
      <w:r w:rsidR="00EE67C6" w:rsidRPr="00565D2C">
        <w:rPr>
          <w:rFonts w:ascii="Times New Roman" w:hAnsi="Times New Roman" w:cs="Times New Roman"/>
          <w:sz w:val="24"/>
          <w:szCs w:val="24"/>
        </w:rPr>
        <w:t>18</w:t>
      </w:r>
      <w:r w:rsidR="00B66E3C" w:rsidRPr="00565D2C">
        <w:rPr>
          <w:rFonts w:ascii="Times New Roman" w:hAnsi="Times New Roman" w:cs="Times New Roman"/>
          <w:sz w:val="24"/>
          <w:szCs w:val="24"/>
        </w:rPr>
        <w:t xml:space="preserve"> actividades programadas</w:t>
      </w:r>
      <w:r w:rsidR="00AD093F" w:rsidRPr="00565D2C">
        <w:rPr>
          <w:rFonts w:ascii="Times New Roman" w:hAnsi="Times New Roman" w:cs="Times New Roman"/>
          <w:sz w:val="24"/>
          <w:szCs w:val="24"/>
        </w:rPr>
        <w:t xml:space="preserve">, </w:t>
      </w:r>
      <w:r w:rsidR="00890C90" w:rsidRPr="00565D2C">
        <w:rPr>
          <w:rFonts w:ascii="Times New Roman" w:hAnsi="Times New Roman" w:cs="Times New Roman"/>
          <w:sz w:val="24"/>
          <w:szCs w:val="24"/>
        </w:rPr>
        <w:t xml:space="preserve">se </w:t>
      </w:r>
      <w:r w:rsidR="006E05CD" w:rsidRPr="00565D2C">
        <w:rPr>
          <w:rFonts w:ascii="Times New Roman" w:hAnsi="Times New Roman" w:cs="Times New Roman"/>
          <w:sz w:val="24"/>
          <w:szCs w:val="24"/>
        </w:rPr>
        <w:t>enumeran las más sustantivas</w:t>
      </w:r>
      <w:r w:rsidR="00B66E3C" w:rsidRPr="00565D2C">
        <w:rPr>
          <w:rFonts w:ascii="Times New Roman" w:hAnsi="Times New Roman" w:cs="Times New Roman"/>
          <w:sz w:val="24"/>
          <w:szCs w:val="24"/>
        </w:rPr>
        <w:t>:</w:t>
      </w:r>
    </w:p>
    <w:p w:rsidR="00F34171" w:rsidRPr="00565D2C" w:rsidRDefault="00F34171" w:rsidP="00565D2C">
      <w:pPr>
        <w:spacing w:after="0" w:line="240" w:lineRule="auto"/>
        <w:jc w:val="both"/>
        <w:rPr>
          <w:rFonts w:ascii="Times New Roman" w:hAnsi="Times New Roman" w:cs="Times New Roman"/>
          <w:sz w:val="24"/>
          <w:szCs w:val="24"/>
        </w:rPr>
      </w:pPr>
    </w:p>
    <w:p w:rsidR="005F0FD9" w:rsidRPr="00565D2C" w:rsidRDefault="005F0FD9" w:rsidP="00565D2C">
      <w:pPr>
        <w:pStyle w:val="Prrafodelista"/>
        <w:spacing w:after="0" w:line="240" w:lineRule="auto"/>
        <w:jc w:val="both"/>
        <w:rPr>
          <w:rFonts w:ascii="Times New Roman" w:hAnsi="Times New Roman" w:cs="Times New Roman"/>
          <w:sz w:val="24"/>
          <w:szCs w:val="24"/>
        </w:rPr>
      </w:pPr>
    </w:p>
    <w:p w:rsidR="005F0FD9" w:rsidRPr="00565D2C" w:rsidRDefault="006E05CD"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Pago de remuneraciones.</w:t>
      </w:r>
    </w:p>
    <w:p w:rsidR="005F0FD9" w:rsidRPr="00565D2C" w:rsidRDefault="005F0FD9" w:rsidP="00565D2C">
      <w:pPr>
        <w:pStyle w:val="Prrafodelista"/>
        <w:spacing w:after="0" w:line="240" w:lineRule="auto"/>
        <w:jc w:val="both"/>
        <w:rPr>
          <w:rFonts w:ascii="Times New Roman" w:hAnsi="Times New Roman" w:cs="Times New Roman"/>
          <w:sz w:val="24"/>
          <w:szCs w:val="24"/>
        </w:rPr>
      </w:pPr>
    </w:p>
    <w:p w:rsidR="005F0FD9" w:rsidRPr="00565D2C" w:rsidRDefault="00A0598B"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Pago de bienes y servicios.</w:t>
      </w:r>
    </w:p>
    <w:p w:rsidR="005F0FD9" w:rsidRPr="00565D2C" w:rsidRDefault="005F0FD9" w:rsidP="00565D2C">
      <w:pPr>
        <w:pStyle w:val="Prrafodelista"/>
        <w:spacing w:after="0" w:line="240" w:lineRule="auto"/>
        <w:jc w:val="both"/>
        <w:rPr>
          <w:rFonts w:ascii="Times New Roman" w:hAnsi="Times New Roman" w:cs="Times New Roman"/>
          <w:sz w:val="24"/>
          <w:szCs w:val="24"/>
        </w:rPr>
      </w:pPr>
    </w:p>
    <w:p w:rsidR="005F0FD9" w:rsidRPr="00565D2C" w:rsidRDefault="00A0598B"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Cierre contable anual.</w:t>
      </w:r>
    </w:p>
    <w:p w:rsidR="005F0FD9" w:rsidRPr="00565D2C" w:rsidRDefault="005F0FD9" w:rsidP="00565D2C">
      <w:pPr>
        <w:pStyle w:val="Prrafodelista"/>
        <w:spacing w:after="0" w:line="240" w:lineRule="auto"/>
        <w:jc w:val="both"/>
        <w:rPr>
          <w:rFonts w:ascii="Times New Roman" w:hAnsi="Times New Roman" w:cs="Times New Roman"/>
          <w:sz w:val="24"/>
          <w:szCs w:val="24"/>
        </w:rPr>
      </w:pPr>
    </w:p>
    <w:p w:rsidR="00A0598B" w:rsidRPr="00565D2C" w:rsidRDefault="00A0598B"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Cierres contables mensuales.</w:t>
      </w:r>
    </w:p>
    <w:p w:rsidR="00147192" w:rsidRPr="00565D2C" w:rsidRDefault="00147192" w:rsidP="00565D2C">
      <w:pPr>
        <w:pStyle w:val="Prrafodelista"/>
        <w:jc w:val="both"/>
        <w:rPr>
          <w:rFonts w:ascii="Times New Roman" w:hAnsi="Times New Roman" w:cs="Times New Roman"/>
          <w:sz w:val="24"/>
          <w:szCs w:val="24"/>
        </w:rPr>
      </w:pPr>
    </w:p>
    <w:p w:rsidR="00A0598B" w:rsidRPr="00565D2C" w:rsidRDefault="00C06D06"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Elaboración</w:t>
      </w:r>
      <w:r w:rsidR="00A0598B" w:rsidRPr="00565D2C">
        <w:rPr>
          <w:rFonts w:ascii="Times New Roman" w:hAnsi="Times New Roman" w:cs="Times New Roman"/>
          <w:sz w:val="24"/>
          <w:szCs w:val="24"/>
        </w:rPr>
        <w:t xml:space="preserve"> de conciliaciones bancarias.</w:t>
      </w:r>
    </w:p>
    <w:p w:rsidR="00147192" w:rsidRPr="00565D2C" w:rsidRDefault="00147192" w:rsidP="00565D2C">
      <w:pPr>
        <w:pStyle w:val="Prrafodelista"/>
        <w:jc w:val="both"/>
        <w:rPr>
          <w:rFonts w:ascii="Times New Roman" w:hAnsi="Times New Roman" w:cs="Times New Roman"/>
          <w:sz w:val="24"/>
          <w:szCs w:val="24"/>
        </w:rPr>
      </w:pPr>
    </w:p>
    <w:p w:rsidR="00A0598B" w:rsidRPr="00565D2C" w:rsidRDefault="00304349"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r w:rsidR="00A0598B" w:rsidRPr="00565D2C">
        <w:rPr>
          <w:rFonts w:ascii="Times New Roman" w:hAnsi="Times New Roman" w:cs="Times New Roman"/>
          <w:sz w:val="24"/>
          <w:szCs w:val="24"/>
        </w:rPr>
        <w:t>Presentación de informes contables.</w:t>
      </w:r>
    </w:p>
    <w:p w:rsidR="00147192" w:rsidRPr="00565D2C" w:rsidRDefault="00147192" w:rsidP="00565D2C">
      <w:pPr>
        <w:pStyle w:val="Prrafodelista"/>
        <w:jc w:val="both"/>
        <w:rPr>
          <w:rFonts w:ascii="Times New Roman" w:hAnsi="Times New Roman" w:cs="Times New Roman"/>
          <w:sz w:val="24"/>
          <w:szCs w:val="24"/>
        </w:rPr>
      </w:pPr>
    </w:p>
    <w:p w:rsidR="00A0598B" w:rsidRPr="00565D2C" w:rsidRDefault="00304349"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r w:rsidR="00A0598B" w:rsidRPr="00565D2C">
        <w:rPr>
          <w:rFonts w:ascii="Times New Roman" w:hAnsi="Times New Roman" w:cs="Times New Roman"/>
          <w:sz w:val="24"/>
          <w:szCs w:val="24"/>
        </w:rPr>
        <w:t>Registrar compromisos presupuestarios.</w:t>
      </w:r>
    </w:p>
    <w:p w:rsidR="00147192" w:rsidRPr="00565D2C" w:rsidRDefault="00147192" w:rsidP="00565D2C">
      <w:pPr>
        <w:pStyle w:val="Prrafodelista"/>
        <w:jc w:val="both"/>
        <w:rPr>
          <w:rFonts w:ascii="Times New Roman" w:hAnsi="Times New Roman" w:cs="Times New Roman"/>
          <w:sz w:val="24"/>
          <w:szCs w:val="24"/>
        </w:rPr>
      </w:pPr>
    </w:p>
    <w:p w:rsidR="00A0598B" w:rsidRPr="00565D2C" w:rsidRDefault="00304349"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r w:rsidR="00A0598B" w:rsidRPr="00565D2C">
        <w:rPr>
          <w:rFonts w:ascii="Times New Roman" w:hAnsi="Times New Roman" w:cs="Times New Roman"/>
          <w:sz w:val="24"/>
          <w:szCs w:val="24"/>
        </w:rPr>
        <w:t>Elaboración de P</w:t>
      </w:r>
      <w:r w:rsidR="00C06D06" w:rsidRPr="00565D2C">
        <w:rPr>
          <w:rFonts w:ascii="Times New Roman" w:hAnsi="Times New Roman" w:cs="Times New Roman"/>
          <w:sz w:val="24"/>
          <w:szCs w:val="24"/>
        </w:rPr>
        <w:t xml:space="preserve">rogramación de la </w:t>
      </w:r>
      <w:r w:rsidR="00A0598B" w:rsidRPr="00565D2C">
        <w:rPr>
          <w:rFonts w:ascii="Times New Roman" w:hAnsi="Times New Roman" w:cs="Times New Roman"/>
          <w:sz w:val="24"/>
          <w:szCs w:val="24"/>
        </w:rPr>
        <w:t>E</w:t>
      </w:r>
      <w:r w:rsidR="00C06D06" w:rsidRPr="00565D2C">
        <w:rPr>
          <w:rFonts w:ascii="Times New Roman" w:hAnsi="Times New Roman" w:cs="Times New Roman"/>
          <w:sz w:val="24"/>
          <w:szCs w:val="24"/>
        </w:rPr>
        <w:t xml:space="preserve">jecución </w:t>
      </w:r>
      <w:r w:rsidR="00A0598B" w:rsidRPr="00565D2C">
        <w:rPr>
          <w:rFonts w:ascii="Times New Roman" w:hAnsi="Times New Roman" w:cs="Times New Roman"/>
          <w:sz w:val="24"/>
          <w:szCs w:val="24"/>
        </w:rPr>
        <w:t>P</w:t>
      </w:r>
      <w:r w:rsidR="00C06D06" w:rsidRPr="00565D2C">
        <w:rPr>
          <w:rFonts w:ascii="Times New Roman" w:hAnsi="Times New Roman" w:cs="Times New Roman"/>
          <w:sz w:val="24"/>
          <w:szCs w:val="24"/>
        </w:rPr>
        <w:t xml:space="preserve">resupuestaria </w:t>
      </w:r>
      <w:r w:rsidR="00A0598B" w:rsidRPr="00565D2C">
        <w:rPr>
          <w:rFonts w:ascii="Times New Roman" w:hAnsi="Times New Roman" w:cs="Times New Roman"/>
          <w:sz w:val="24"/>
          <w:szCs w:val="24"/>
        </w:rPr>
        <w:t>institucional.</w:t>
      </w:r>
    </w:p>
    <w:p w:rsidR="00147192" w:rsidRPr="00565D2C" w:rsidRDefault="00147192" w:rsidP="00565D2C">
      <w:pPr>
        <w:pStyle w:val="Prrafodelista"/>
        <w:jc w:val="both"/>
        <w:rPr>
          <w:rFonts w:ascii="Times New Roman" w:hAnsi="Times New Roman" w:cs="Times New Roman"/>
          <w:sz w:val="24"/>
          <w:szCs w:val="24"/>
        </w:rPr>
      </w:pPr>
    </w:p>
    <w:p w:rsidR="00A0598B" w:rsidRPr="00565D2C" w:rsidRDefault="00304349" w:rsidP="00565D2C">
      <w:pPr>
        <w:pStyle w:val="Prrafodelista"/>
        <w:numPr>
          <w:ilvl w:val="0"/>
          <w:numId w:val="3"/>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w:t>
      </w:r>
      <w:r w:rsidR="00A0598B" w:rsidRPr="00565D2C">
        <w:rPr>
          <w:rFonts w:ascii="Times New Roman" w:hAnsi="Times New Roman" w:cs="Times New Roman"/>
          <w:sz w:val="24"/>
          <w:szCs w:val="24"/>
        </w:rPr>
        <w:t>Seguimiento a la ejecución presupuestaria.</w:t>
      </w:r>
    </w:p>
    <w:p w:rsidR="00147192" w:rsidRPr="00565D2C" w:rsidRDefault="00147192" w:rsidP="00565D2C">
      <w:pPr>
        <w:spacing w:after="0" w:line="240" w:lineRule="auto"/>
        <w:jc w:val="both"/>
        <w:rPr>
          <w:rFonts w:ascii="Times New Roman" w:hAnsi="Times New Roman" w:cs="Times New Roman"/>
          <w:sz w:val="24"/>
          <w:szCs w:val="24"/>
        </w:rPr>
      </w:pPr>
    </w:p>
    <w:p w:rsidR="00C06D06" w:rsidRPr="00565D2C" w:rsidRDefault="00C06D06" w:rsidP="00565D2C">
      <w:pPr>
        <w:spacing w:after="0" w:line="240" w:lineRule="auto"/>
        <w:jc w:val="both"/>
        <w:rPr>
          <w:rFonts w:ascii="Times New Roman" w:hAnsi="Times New Roman" w:cs="Times New Roman"/>
          <w:sz w:val="24"/>
          <w:szCs w:val="24"/>
        </w:rPr>
      </w:pPr>
    </w:p>
    <w:p w:rsidR="00D4148A" w:rsidRPr="00565D2C" w:rsidRDefault="002E640A" w:rsidP="00565D2C">
      <w:pPr>
        <w:pStyle w:val="Ttulo2"/>
        <w:numPr>
          <w:ilvl w:val="0"/>
          <w:numId w:val="12"/>
        </w:numPr>
        <w:rPr>
          <w:rFonts w:ascii="Times New Roman" w:hAnsi="Times New Roman" w:cs="Times New Roman"/>
          <w:szCs w:val="24"/>
        </w:rPr>
      </w:pPr>
      <w:bookmarkStart w:id="12" w:name="_Toc523143306"/>
      <w:r w:rsidRPr="00565D2C">
        <w:rPr>
          <w:rFonts w:ascii="Times New Roman" w:hAnsi="Times New Roman" w:cs="Times New Roman"/>
          <w:szCs w:val="24"/>
        </w:rPr>
        <w:t>Secretaría General</w:t>
      </w:r>
      <w:bookmarkEnd w:id="12"/>
    </w:p>
    <w:p w:rsidR="002E640A" w:rsidRPr="00565D2C" w:rsidRDefault="00603814" w:rsidP="00565D2C">
      <w:pPr>
        <w:jc w:val="both"/>
        <w:rPr>
          <w:rFonts w:ascii="Times New Roman" w:hAnsi="Times New Roman" w:cs="Times New Roman"/>
          <w:sz w:val="24"/>
          <w:szCs w:val="24"/>
        </w:rPr>
      </w:pPr>
      <w:r w:rsidRPr="00565D2C">
        <w:rPr>
          <w:rFonts w:ascii="Times New Roman" w:hAnsi="Times New Roman" w:cs="Times New Roman"/>
          <w:noProof/>
          <w:sz w:val="24"/>
          <w:szCs w:val="24"/>
        </w:rPr>
        <w:drawing>
          <wp:anchor distT="0" distB="0" distL="114300" distR="114300" simplePos="0" relativeHeight="251743232" behindDoc="1" locked="0" layoutInCell="1" allowOverlap="1">
            <wp:simplePos x="0" y="0"/>
            <wp:positionH relativeFrom="column">
              <wp:posOffset>396240</wp:posOffset>
            </wp:positionH>
            <wp:positionV relativeFrom="paragraph">
              <wp:posOffset>115570</wp:posOffset>
            </wp:positionV>
            <wp:extent cx="2224405" cy="520065"/>
            <wp:effectExtent l="0" t="0" r="4445" b="0"/>
            <wp:wrapTight wrapText="bothSides">
              <wp:wrapPolygon edited="0">
                <wp:start x="0" y="0"/>
                <wp:lineTo x="0" y="20571"/>
                <wp:lineTo x="21458" y="20571"/>
                <wp:lineTo x="21458" y="0"/>
                <wp:lineTo x="0" y="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24405" cy="520065"/>
                    </a:xfrm>
                    <a:prstGeom prst="rect">
                      <a:avLst/>
                    </a:prstGeom>
                    <a:noFill/>
                  </pic:spPr>
                </pic:pic>
              </a:graphicData>
            </a:graphic>
          </wp:anchor>
        </w:drawing>
      </w:r>
      <w:r w:rsidRPr="00565D2C">
        <w:rPr>
          <w:rFonts w:ascii="Times New Roman" w:hAnsi="Times New Roman" w:cs="Times New Roman"/>
          <w:noProof/>
          <w:sz w:val="24"/>
          <w:szCs w:val="24"/>
        </w:rPr>
        <w:drawing>
          <wp:anchor distT="0" distB="0" distL="114300" distR="114300" simplePos="0" relativeHeight="251767808" behindDoc="1" locked="0" layoutInCell="1" allowOverlap="1">
            <wp:simplePos x="0" y="0"/>
            <wp:positionH relativeFrom="column">
              <wp:posOffset>3168015</wp:posOffset>
            </wp:positionH>
            <wp:positionV relativeFrom="paragraph">
              <wp:posOffset>117475</wp:posOffset>
            </wp:positionV>
            <wp:extent cx="2286000" cy="554990"/>
            <wp:effectExtent l="0" t="0" r="0" b="0"/>
            <wp:wrapTight wrapText="bothSides">
              <wp:wrapPolygon edited="0">
                <wp:start x="0" y="0"/>
                <wp:lineTo x="0" y="20018"/>
                <wp:lineTo x="21420" y="20018"/>
                <wp:lineTo x="21420" y="0"/>
                <wp:lineTo x="0" y="0"/>
              </wp:wrapPolygon>
            </wp:wrapTight>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0" cy="554990"/>
                    </a:xfrm>
                    <a:prstGeom prst="rect">
                      <a:avLst/>
                    </a:prstGeom>
                    <a:noFill/>
                  </pic:spPr>
                </pic:pic>
              </a:graphicData>
            </a:graphic>
          </wp:anchor>
        </w:drawing>
      </w:r>
    </w:p>
    <w:p w:rsidR="002E640A" w:rsidRPr="00565D2C" w:rsidRDefault="002E640A" w:rsidP="00565D2C">
      <w:pPr>
        <w:jc w:val="both"/>
        <w:rPr>
          <w:rFonts w:ascii="Times New Roman" w:hAnsi="Times New Roman" w:cs="Times New Roman"/>
          <w:sz w:val="24"/>
          <w:szCs w:val="24"/>
        </w:rPr>
      </w:pPr>
    </w:p>
    <w:p w:rsidR="00D4148A" w:rsidRPr="00565D2C" w:rsidRDefault="00D4148A" w:rsidP="00565D2C">
      <w:pPr>
        <w:spacing w:after="0" w:line="240" w:lineRule="auto"/>
        <w:jc w:val="both"/>
        <w:rPr>
          <w:rFonts w:ascii="Times New Roman" w:hAnsi="Times New Roman" w:cs="Times New Roman"/>
          <w:b/>
          <w:sz w:val="24"/>
          <w:szCs w:val="24"/>
        </w:rPr>
      </w:pPr>
    </w:p>
    <w:p w:rsidR="00D4148A" w:rsidRPr="00565D2C" w:rsidRDefault="002E640A"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 Secretaría General cumplió </w:t>
      </w:r>
      <w:r w:rsidR="00E571FE" w:rsidRPr="00565D2C">
        <w:rPr>
          <w:rFonts w:ascii="Times New Roman" w:hAnsi="Times New Roman" w:cs="Times New Roman"/>
          <w:sz w:val="24"/>
          <w:szCs w:val="24"/>
        </w:rPr>
        <w:t xml:space="preserve">en </w:t>
      </w:r>
      <w:r w:rsidR="006B5C46" w:rsidRPr="00565D2C">
        <w:rPr>
          <w:rFonts w:ascii="Times New Roman" w:hAnsi="Times New Roman" w:cs="Times New Roman"/>
          <w:sz w:val="24"/>
          <w:szCs w:val="24"/>
        </w:rPr>
        <w:t>u</w:t>
      </w:r>
      <w:r w:rsidR="00E571FE" w:rsidRPr="00565D2C">
        <w:rPr>
          <w:rFonts w:ascii="Times New Roman" w:hAnsi="Times New Roman" w:cs="Times New Roman"/>
          <w:sz w:val="24"/>
          <w:szCs w:val="24"/>
        </w:rPr>
        <w:t xml:space="preserve">n 100% </w:t>
      </w:r>
      <w:r w:rsidR="00C16657" w:rsidRPr="00565D2C">
        <w:rPr>
          <w:rFonts w:ascii="Times New Roman" w:hAnsi="Times New Roman" w:cs="Times New Roman"/>
          <w:sz w:val="24"/>
          <w:szCs w:val="24"/>
        </w:rPr>
        <w:t xml:space="preserve">las </w:t>
      </w:r>
      <w:r w:rsidR="00E571FE" w:rsidRPr="00565D2C">
        <w:rPr>
          <w:rFonts w:ascii="Times New Roman" w:hAnsi="Times New Roman" w:cs="Times New Roman"/>
          <w:sz w:val="24"/>
          <w:szCs w:val="24"/>
        </w:rPr>
        <w:t>3</w:t>
      </w:r>
      <w:r w:rsidR="00C16657" w:rsidRPr="00565D2C">
        <w:rPr>
          <w:rFonts w:ascii="Times New Roman" w:hAnsi="Times New Roman" w:cs="Times New Roman"/>
          <w:sz w:val="24"/>
          <w:szCs w:val="24"/>
        </w:rPr>
        <w:t xml:space="preserve"> </w:t>
      </w:r>
      <w:r w:rsidRPr="00565D2C">
        <w:rPr>
          <w:rFonts w:ascii="Times New Roman" w:hAnsi="Times New Roman" w:cs="Times New Roman"/>
          <w:sz w:val="24"/>
          <w:szCs w:val="24"/>
        </w:rPr>
        <w:t>actividades programadas, descritas a continuación:</w:t>
      </w:r>
    </w:p>
    <w:p w:rsidR="00F34171" w:rsidRPr="00565D2C" w:rsidRDefault="00F34171" w:rsidP="00565D2C">
      <w:pPr>
        <w:spacing w:after="0" w:line="240" w:lineRule="auto"/>
        <w:jc w:val="both"/>
        <w:rPr>
          <w:rFonts w:ascii="Times New Roman" w:hAnsi="Times New Roman" w:cs="Times New Roman"/>
          <w:sz w:val="24"/>
          <w:szCs w:val="24"/>
        </w:rPr>
      </w:pPr>
    </w:p>
    <w:p w:rsidR="00C16657" w:rsidRDefault="00875F54" w:rsidP="00565D2C">
      <w:pPr>
        <w:pStyle w:val="Prrafodelista"/>
        <w:numPr>
          <w:ilvl w:val="0"/>
          <w:numId w:val="4"/>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Brindar asistencia técnica y legal al CD, </w:t>
      </w:r>
      <w:r w:rsidR="00EE0CEC" w:rsidRPr="00565D2C">
        <w:rPr>
          <w:rFonts w:ascii="Times New Roman" w:hAnsi="Times New Roman" w:cs="Times New Roman"/>
          <w:sz w:val="24"/>
          <w:szCs w:val="24"/>
        </w:rPr>
        <w:t>24</w:t>
      </w:r>
      <w:r w:rsidR="00C16657" w:rsidRPr="00565D2C">
        <w:rPr>
          <w:rFonts w:ascii="Times New Roman" w:hAnsi="Times New Roman" w:cs="Times New Roman"/>
          <w:sz w:val="24"/>
          <w:szCs w:val="24"/>
        </w:rPr>
        <w:t xml:space="preserve"> </w:t>
      </w:r>
      <w:r w:rsidRPr="00565D2C">
        <w:rPr>
          <w:rFonts w:ascii="Times New Roman" w:hAnsi="Times New Roman" w:cs="Times New Roman"/>
          <w:sz w:val="24"/>
          <w:szCs w:val="24"/>
        </w:rPr>
        <w:t>actas elaboradas y firmadas</w:t>
      </w:r>
      <w:r w:rsidR="00C16657" w:rsidRPr="00565D2C">
        <w:rPr>
          <w:rFonts w:ascii="Times New Roman" w:hAnsi="Times New Roman" w:cs="Times New Roman"/>
          <w:sz w:val="24"/>
          <w:szCs w:val="24"/>
        </w:rPr>
        <w:t>.</w:t>
      </w:r>
      <w:r w:rsidRPr="00565D2C">
        <w:rPr>
          <w:rFonts w:ascii="Times New Roman" w:hAnsi="Times New Roman" w:cs="Times New Roman"/>
          <w:sz w:val="24"/>
          <w:szCs w:val="24"/>
        </w:rPr>
        <w:t xml:space="preserve"> </w:t>
      </w:r>
    </w:p>
    <w:p w:rsidR="00787DB8" w:rsidRPr="00565D2C" w:rsidRDefault="00787DB8" w:rsidP="00787DB8">
      <w:pPr>
        <w:pStyle w:val="Prrafodelista"/>
        <w:spacing w:after="0" w:line="240" w:lineRule="auto"/>
        <w:jc w:val="both"/>
        <w:rPr>
          <w:rFonts w:ascii="Times New Roman" w:hAnsi="Times New Roman" w:cs="Times New Roman"/>
          <w:sz w:val="24"/>
          <w:szCs w:val="24"/>
        </w:rPr>
      </w:pPr>
    </w:p>
    <w:p w:rsidR="00C06D06" w:rsidRDefault="00C06D06" w:rsidP="00565D2C">
      <w:pPr>
        <w:pStyle w:val="Prrafodelista"/>
        <w:numPr>
          <w:ilvl w:val="0"/>
          <w:numId w:val="4"/>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Apoyo a la UC con traducción al inglés del documento "Brief de Resultados 2017" y 6 comunicados.</w:t>
      </w:r>
    </w:p>
    <w:p w:rsidR="00787DB8" w:rsidRPr="00787DB8" w:rsidRDefault="00787DB8" w:rsidP="00787DB8">
      <w:pPr>
        <w:pStyle w:val="Prrafodelista"/>
        <w:rPr>
          <w:rFonts w:ascii="Times New Roman" w:hAnsi="Times New Roman" w:cs="Times New Roman"/>
          <w:sz w:val="24"/>
          <w:szCs w:val="24"/>
        </w:rPr>
      </w:pPr>
    </w:p>
    <w:p w:rsidR="00C06D06" w:rsidRDefault="00C06D06" w:rsidP="00565D2C">
      <w:pPr>
        <w:pStyle w:val="Prrafodelista"/>
        <w:numPr>
          <w:ilvl w:val="0"/>
          <w:numId w:val="4"/>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Apoyo a UACI en revisión de contrato para adquisición de bienes y servicios y consultorías (COMUNICACIONES IBW EL SALVADOR, S.A. DE C.V., INTELFON, S.A. DE C.V., SEGUROS E INVERSIONES, S.A., AGENCIA INTERNACIONAL DE VIAJES PANAMEX, S.A. DE C.V., UDP Diego Petrecolla Gustavo Ferro, SISA VIDA, S.A. SEGUROS DE PERSONAS y ASEGURADORA VIVIR, S.A. SEGUROS DE PERSONAS).</w:t>
      </w:r>
    </w:p>
    <w:p w:rsidR="00787DB8" w:rsidRPr="00787DB8" w:rsidRDefault="00787DB8" w:rsidP="00787DB8">
      <w:pPr>
        <w:pStyle w:val="Prrafodelista"/>
        <w:rPr>
          <w:rFonts w:ascii="Times New Roman" w:hAnsi="Times New Roman" w:cs="Times New Roman"/>
          <w:sz w:val="24"/>
          <w:szCs w:val="24"/>
        </w:rPr>
      </w:pPr>
    </w:p>
    <w:p w:rsidR="00C06D06" w:rsidRDefault="00C06D06" w:rsidP="00565D2C">
      <w:pPr>
        <w:pStyle w:val="Prrafodelista"/>
        <w:numPr>
          <w:ilvl w:val="0"/>
          <w:numId w:val="4"/>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 Coordinación de auditoría financiera 2017 de la corte de cuentas.</w:t>
      </w:r>
    </w:p>
    <w:p w:rsidR="00787DB8" w:rsidRPr="00787DB8" w:rsidRDefault="00787DB8" w:rsidP="00787DB8">
      <w:pPr>
        <w:pStyle w:val="Prrafodelista"/>
        <w:rPr>
          <w:rFonts w:ascii="Times New Roman" w:hAnsi="Times New Roman" w:cs="Times New Roman"/>
          <w:sz w:val="24"/>
          <w:szCs w:val="24"/>
        </w:rPr>
      </w:pPr>
    </w:p>
    <w:p w:rsidR="00EE0CEC" w:rsidRPr="00565D2C" w:rsidRDefault="00C06D06" w:rsidP="00565D2C">
      <w:pPr>
        <w:pStyle w:val="Prrafodelista"/>
        <w:numPr>
          <w:ilvl w:val="0"/>
          <w:numId w:val="4"/>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Traducción de 4 comunicados elaborados por unidad de comunicaciones.</w:t>
      </w:r>
    </w:p>
    <w:p w:rsidR="003146AE" w:rsidRPr="00565D2C" w:rsidRDefault="003146AE" w:rsidP="00565D2C">
      <w:pPr>
        <w:jc w:val="both"/>
        <w:rPr>
          <w:rFonts w:ascii="Times New Roman" w:hAnsi="Times New Roman" w:cs="Times New Roman"/>
          <w:sz w:val="24"/>
          <w:szCs w:val="24"/>
        </w:rPr>
      </w:pPr>
    </w:p>
    <w:p w:rsidR="005648D5" w:rsidRPr="00565D2C" w:rsidRDefault="005648D5" w:rsidP="00565D2C">
      <w:pPr>
        <w:pStyle w:val="Ttulo2"/>
        <w:numPr>
          <w:ilvl w:val="0"/>
          <w:numId w:val="12"/>
        </w:numPr>
        <w:rPr>
          <w:rFonts w:ascii="Times New Roman" w:hAnsi="Times New Roman" w:cs="Times New Roman"/>
          <w:szCs w:val="24"/>
        </w:rPr>
      </w:pPr>
      <w:bookmarkStart w:id="13" w:name="_Toc523143307"/>
      <w:r w:rsidRPr="00565D2C">
        <w:rPr>
          <w:rFonts w:ascii="Times New Roman" w:hAnsi="Times New Roman" w:cs="Times New Roman"/>
          <w:szCs w:val="24"/>
        </w:rPr>
        <w:t>Unidad de Planificación</w:t>
      </w:r>
      <w:bookmarkEnd w:id="13"/>
    </w:p>
    <w:p w:rsidR="005648D5" w:rsidRPr="00565D2C" w:rsidRDefault="00787DB8" w:rsidP="00565D2C">
      <w:pPr>
        <w:jc w:val="both"/>
        <w:rPr>
          <w:rFonts w:ascii="Times New Roman" w:hAnsi="Times New Roman" w:cs="Times New Roman"/>
          <w:sz w:val="24"/>
          <w:szCs w:val="24"/>
        </w:rPr>
      </w:pPr>
      <w:r w:rsidRPr="00565D2C">
        <w:rPr>
          <w:rFonts w:ascii="Times New Roman" w:hAnsi="Times New Roman" w:cs="Times New Roman"/>
          <w:b/>
          <w:noProof/>
          <w:sz w:val="24"/>
          <w:szCs w:val="24"/>
        </w:rPr>
        <w:drawing>
          <wp:anchor distT="0" distB="0" distL="114300" distR="114300" simplePos="0" relativeHeight="251790336" behindDoc="1" locked="0" layoutInCell="1" allowOverlap="1">
            <wp:simplePos x="0" y="0"/>
            <wp:positionH relativeFrom="column">
              <wp:posOffset>2564765</wp:posOffset>
            </wp:positionH>
            <wp:positionV relativeFrom="paragraph">
              <wp:posOffset>328295</wp:posOffset>
            </wp:positionV>
            <wp:extent cx="3013075" cy="579755"/>
            <wp:effectExtent l="0" t="0" r="0" b="0"/>
            <wp:wrapTight wrapText="bothSides">
              <wp:wrapPolygon edited="0">
                <wp:start x="0" y="0"/>
                <wp:lineTo x="0" y="20583"/>
                <wp:lineTo x="21441" y="20583"/>
                <wp:lineTo x="21441" y="0"/>
                <wp:lineTo x="0" y="0"/>
              </wp:wrapPolygon>
            </wp:wrapTight>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13075" cy="579755"/>
                    </a:xfrm>
                    <a:prstGeom prst="rect">
                      <a:avLst/>
                    </a:prstGeom>
                    <a:noFill/>
                  </pic:spPr>
                </pic:pic>
              </a:graphicData>
            </a:graphic>
          </wp:anchor>
        </w:drawing>
      </w:r>
      <w:r w:rsidRPr="00565D2C">
        <w:rPr>
          <w:rFonts w:ascii="Times New Roman" w:hAnsi="Times New Roman" w:cs="Times New Roman"/>
          <w:b/>
          <w:noProof/>
          <w:sz w:val="24"/>
          <w:szCs w:val="24"/>
        </w:rPr>
        <w:drawing>
          <wp:anchor distT="0" distB="0" distL="114300" distR="114300" simplePos="0" relativeHeight="251791360" behindDoc="1" locked="0" layoutInCell="1" allowOverlap="1">
            <wp:simplePos x="0" y="0"/>
            <wp:positionH relativeFrom="column">
              <wp:posOffset>62865</wp:posOffset>
            </wp:positionH>
            <wp:positionV relativeFrom="paragraph">
              <wp:posOffset>332740</wp:posOffset>
            </wp:positionV>
            <wp:extent cx="2009775" cy="621665"/>
            <wp:effectExtent l="0" t="0" r="9525" b="6985"/>
            <wp:wrapTight wrapText="bothSides">
              <wp:wrapPolygon edited="0">
                <wp:start x="0" y="0"/>
                <wp:lineTo x="0" y="21181"/>
                <wp:lineTo x="21498" y="21181"/>
                <wp:lineTo x="21498" y="0"/>
                <wp:lineTo x="0" y="0"/>
              </wp:wrapPolygon>
            </wp:wrapTight>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09775" cy="621665"/>
                    </a:xfrm>
                    <a:prstGeom prst="rect">
                      <a:avLst/>
                    </a:prstGeom>
                    <a:noFill/>
                  </pic:spPr>
                </pic:pic>
              </a:graphicData>
            </a:graphic>
          </wp:anchor>
        </w:drawing>
      </w:r>
    </w:p>
    <w:p w:rsidR="002E640A" w:rsidRPr="00565D2C" w:rsidRDefault="002E640A" w:rsidP="00565D2C">
      <w:pPr>
        <w:spacing w:after="0" w:line="240" w:lineRule="auto"/>
        <w:jc w:val="both"/>
        <w:rPr>
          <w:rFonts w:ascii="Times New Roman" w:hAnsi="Times New Roman" w:cs="Times New Roman"/>
          <w:b/>
          <w:sz w:val="24"/>
          <w:szCs w:val="24"/>
        </w:rPr>
      </w:pPr>
    </w:p>
    <w:p w:rsidR="00D4148A" w:rsidRPr="00565D2C" w:rsidRDefault="00D4148A" w:rsidP="00565D2C">
      <w:pPr>
        <w:spacing w:after="0" w:line="240" w:lineRule="auto"/>
        <w:jc w:val="both"/>
        <w:rPr>
          <w:rFonts w:ascii="Times New Roman" w:hAnsi="Times New Roman" w:cs="Times New Roman"/>
          <w:b/>
          <w:sz w:val="24"/>
          <w:szCs w:val="24"/>
        </w:rPr>
      </w:pPr>
    </w:p>
    <w:p w:rsidR="000C3165" w:rsidRPr="00565D2C" w:rsidRDefault="000C3165" w:rsidP="00565D2C">
      <w:pPr>
        <w:spacing w:after="0" w:line="240" w:lineRule="auto"/>
        <w:jc w:val="both"/>
        <w:rPr>
          <w:rFonts w:ascii="Times New Roman" w:hAnsi="Times New Roman" w:cs="Times New Roman"/>
          <w:sz w:val="24"/>
          <w:szCs w:val="24"/>
        </w:rPr>
      </w:pPr>
    </w:p>
    <w:p w:rsidR="000C3165" w:rsidRPr="00565D2C" w:rsidRDefault="000C3165" w:rsidP="00565D2C">
      <w:pPr>
        <w:spacing w:after="0" w:line="240" w:lineRule="auto"/>
        <w:jc w:val="both"/>
        <w:rPr>
          <w:rFonts w:ascii="Times New Roman" w:hAnsi="Times New Roman" w:cs="Times New Roman"/>
          <w:sz w:val="24"/>
          <w:szCs w:val="24"/>
        </w:rPr>
      </w:pPr>
    </w:p>
    <w:p w:rsidR="000C3165" w:rsidRPr="00565D2C" w:rsidRDefault="000C3165" w:rsidP="00565D2C">
      <w:pPr>
        <w:spacing w:after="0" w:line="240" w:lineRule="auto"/>
        <w:jc w:val="both"/>
        <w:rPr>
          <w:rFonts w:ascii="Times New Roman" w:hAnsi="Times New Roman" w:cs="Times New Roman"/>
          <w:sz w:val="24"/>
          <w:szCs w:val="24"/>
        </w:rPr>
      </w:pPr>
    </w:p>
    <w:p w:rsidR="000C3165" w:rsidRPr="00565D2C" w:rsidRDefault="000C3165" w:rsidP="00565D2C">
      <w:pPr>
        <w:spacing w:after="0" w:line="240" w:lineRule="auto"/>
        <w:jc w:val="both"/>
        <w:rPr>
          <w:rFonts w:ascii="Times New Roman" w:hAnsi="Times New Roman" w:cs="Times New Roman"/>
          <w:sz w:val="24"/>
          <w:szCs w:val="24"/>
        </w:rPr>
      </w:pPr>
    </w:p>
    <w:p w:rsidR="00556485" w:rsidRPr="00565D2C" w:rsidRDefault="00556485"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 Unidad de Planificación cumplió </w:t>
      </w:r>
      <w:r w:rsidR="00905082" w:rsidRPr="00565D2C">
        <w:rPr>
          <w:rFonts w:ascii="Times New Roman" w:hAnsi="Times New Roman" w:cs="Times New Roman"/>
          <w:sz w:val="24"/>
          <w:szCs w:val="24"/>
        </w:rPr>
        <w:t>en un 95</w:t>
      </w:r>
      <w:r w:rsidR="00C06D06" w:rsidRPr="00565D2C">
        <w:rPr>
          <w:rFonts w:ascii="Times New Roman" w:hAnsi="Times New Roman" w:cs="Times New Roman"/>
          <w:sz w:val="24"/>
          <w:szCs w:val="24"/>
        </w:rPr>
        <w:t>.83</w:t>
      </w:r>
      <w:r w:rsidR="00905082" w:rsidRPr="00565D2C">
        <w:rPr>
          <w:rFonts w:ascii="Times New Roman" w:hAnsi="Times New Roman" w:cs="Times New Roman"/>
          <w:sz w:val="24"/>
          <w:szCs w:val="24"/>
        </w:rPr>
        <w:t>%</w:t>
      </w:r>
      <w:r w:rsidRPr="00565D2C">
        <w:rPr>
          <w:rFonts w:ascii="Times New Roman" w:hAnsi="Times New Roman" w:cs="Times New Roman"/>
          <w:sz w:val="24"/>
          <w:szCs w:val="24"/>
        </w:rPr>
        <w:t xml:space="preserve"> con las </w:t>
      </w:r>
      <w:r w:rsidR="00787DB8">
        <w:rPr>
          <w:rFonts w:ascii="Times New Roman" w:hAnsi="Times New Roman" w:cs="Times New Roman"/>
          <w:sz w:val="24"/>
          <w:szCs w:val="24"/>
        </w:rPr>
        <w:t>6</w:t>
      </w:r>
      <w:r w:rsidRPr="00565D2C">
        <w:rPr>
          <w:rFonts w:ascii="Times New Roman" w:hAnsi="Times New Roman" w:cs="Times New Roman"/>
          <w:sz w:val="24"/>
          <w:szCs w:val="24"/>
        </w:rPr>
        <w:t xml:space="preserve"> actividades programadas</w:t>
      </w:r>
      <w:r w:rsidR="00905082" w:rsidRPr="00565D2C">
        <w:rPr>
          <w:rFonts w:ascii="Times New Roman" w:hAnsi="Times New Roman" w:cs="Times New Roman"/>
          <w:sz w:val="24"/>
          <w:szCs w:val="24"/>
        </w:rPr>
        <w:t xml:space="preserve"> este trimestre</w:t>
      </w:r>
      <w:r w:rsidRPr="00565D2C">
        <w:rPr>
          <w:rFonts w:ascii="Times New Roman" w:hAnsi="Times New Roman" w:cs="Times New Roman"/>
          <w:sz w:val="24"/>
          <w:szCs w:val="24"/>
        </w:rPr>
        <w:t xml:space="preserve">, </w:t>
      </w:r>
      <w:r w:rsidR="00C16657" w:rsidRPr="00565D2C">
        <w:rPr>
          <w:rFonts w:ascii="Times New Roman" w:hAnsi="Times New Roman" w:cs="Times New Roman"/>
          <w:sz w:val="24"/>
          <w:szCs w:val="24"/>
        </w:rPr>
        <w:t xml:space="preserve">siendo las más sustantivas las </w:t>
      </w:r>
      <w:r w:rsidRPr="00565D2C">
        <w:rPr>
          <w:rFonts w:ascii="Times New Roman" w:hAnsi="Times New Roman" w:cs="Times New Roman"/>
          <w:sz w:val="24"/>
          <w:szCs w:val="24"/>
        </w:rPr>
        <w:t>descritas a continuación:</w:t>
      </w:r>
    </w:p>
    <w:p w:rsidR="00F34171" w:rsidRPr="00565D2C" w:rsidRDefault="00F34171" w:rsidP="00565D2C">
      <w:pPr>
        <w:spacing w:after="0" w:line="240" w:lineRule="auto"/>
        <w:jc w:val="both"/>
        <w:rPr>
          <w:rFonts w:ascii="Times New Roman" w:hAnsi="Times New Roman" w:cs="Times New Roman"/>
          <w:sz w:val="24"/>
          <w:szCs w:val="24"/>
        </w:rPr>
      </w:pPr>
    </w:p>
    <w:p w:rsidR="009A0422" w:rsidRDefault="00FF47A2" w:rsidP="00565D2C">
      <w:pPr>
        <w:pStyle w:val="Prrafodelista"/>
        <w:numPr>
          <w:ilvl w:val="0"/>
          <w:numId w:val="5"/>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Monitorear y evaluar POA 2017</w:t>
      </w:r>
      <w:r w:rsidR="009A0422" w:rsidRPr="00565D2C">
        <w:rPr>
          <w:rFonts w:ascii="Times New Roman" w:hAnsi="Times New Roman" w:cs="Times New Roman"/>
          <w:sz w:val="24"/>
          <w:szCs w:val="24"/>
        </w:rPr>
        <w:t>.</w:t>
      </w:r>
    </w:p>
    <w:p w:rsidR="00787DB8" w:rsidRPr="00565D2C" w:rsidRDefault="00787DB8" w:rsidP="00787DB8">
      <w:pPr>
        <w:pStyle w:val="Prrafodelista"/>
        <w:spacing w:after="0" w:line="240" w:lineRule="auto"/>
        <w:jc w:val="both"/>
        <w:rPr>
          <w:rFonts w:ascii="Times New Roman" w:hAnsi="Times New Roman" w:cs="Times New Roman"/>
          <w:sz w:val="24"/>
          <w:szCs w:val="24"/>
        </w:rPr>
      </w:pPr>
    </w:p>
    <w:p w:rsidR="009A0422" w:rsidRDefault="009A0422" w:rsidP="00565D2C">
      <w:pPr>
        <w:pStyle w:val="Prrafodelista"/>
        <w:numPr>
          <w:ilvl w:val="0"/>
          <w:numId w:val="5"/>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Monitorear y evaluar PEI.</w:t>
      </w:r>
    </w:p>
    <w:p w:rsidR="00787DB8" w:rsidRPr="00787DB8" w:rsidRDefault="00787DB8" w:rsidP="00787DB8">
      <w:pPr>
        <w:pStyle w:val="Prrafodelista"/>
        <w:rPr>
          <w:rFonts w:ascii="Times New Roman" w:hAnsi="Times New Roman" w:cs="Times New Roman"/>
          <w:sz w:val="24"/>
          <w:szCs w:val="24"/>
        </w:rPr>
      </w:pPr>
    </w:p>
    <w:p w:rsidR="009A0422" w:rsidRPr="00565D2C" w:rsidRDefault="009A0422" w:rsidP="00565D2C">
      <w:pPr>
        <w:pStyle w:val="Prrafodelista"/>
        <w:numPr>
          <w:ilvl w:val="0"/>
          <w:numId w:val="5"/>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Identificar, analizar y gestionar riesgo institucional</w:t>
      </w:r>
      <w:r w:rsidR="00FF47A2" w:rsidRPr="00565D2C">
        <w:rPr>
          <w:rFonts w:ascii="Times New Roman" w:hAnsi="Times New Roman" w:cs="Times New Roman"/>
          <w:sz w:val="24"/>
          <w:szCs w:val="24"/>
        </w:rPr>
        <w:t xml:space="preserve"> y darle seguimiento</w:t>
      </w:r>
      <w:r w:rsidRPr="00565D2C">
        <w:rPr>
          <w:rFonts w:ascii="Times New Roman" w:hAnsi="Times New Roman" w:cs="Times New Roman"/>
          <w:sz w:val="24"/>
          <w:szCs w:val="24"/>
        </w:rPr>
        <w:t>.</w:t>
      </w:r>
    </w:p>
    <w:p w:rsidR="00D4148A" w:rsidRPr="00565D2C" w:rsidRDefault="00D4148A" w:rsidP="00565D2C">
      <w:pPr>
        <w:spacing w:after="0" w:line="240" w:lineRule="auto"/>
        <w:jc w:val="both"/>
        <w:rPr>
          <w:rFonts w:ascii="Times New Roman" w:hAnsi="Times New Roman" w:cs="Times New Roman"/>
          <w:b/>
          <w:sz w:val="24"/>
          <w:szCs w:val="24"/>
        </w:rPr>
      </w:pPr>
    </w:p>
    <w:p w:rsidR="00F34171" w:rsidRPr="00565D2C" w:rsidRDefault="00F34171" w:rsidP="00565D2C">
      <w:pPr>
        <w:spacing w:after="0" w:line="240" w:lineRule="auto"/>
        <w:jc w:val="both"/>
        <w:rPr>
          <w:rFonts w:ascii="Times New Roman" w:hAnsi="Times New Roman" w:cs="Times New Roman"/>
          <w:b/>
          <w:sz w:val="24"/>
          <w:szCs w:val="24"/>
        </w:rPr>
      </w:pPr>
    </w:p>
    <w:p w:rsidR="00BB67B4" w:rsidRPr="00565D2C" w:rsidRDefault="00BB67B4" w:rsidP="00565D2C">
      <w:pPr>
        <w:pStyle w:val="Ttulo2"/>
        <w:numPr>
          <w:ilvl w:val="0"/>
          <w:numId w:val="12"/>
        </w:numPr>
        <w:rPr>
          <w:rFonts w:ascii="Times New Roman" w:hAnsi="Times New Roman" w:cs="Times New Roman"/>
          <w:szCs w:val="24"/>
        </w:rPr>
      </w:pPr>
      <w:bookmarkStart w:id="14" w:name="_Toc523143308"/>
      <w:r w:rsidRPr="00565D2C">
        <w:rPr>
          <w:rFonts w:ascii="Times New Roman" w:hAnsi="Times New Roman" w:cs="Times New Roman"/>
          <w:szCs w:val="24"/>
        </w:rPr>
        <w:t>Unidad de Acceso a la Información Pública</w:t>
      </w:r>
      <w:bookmarkEnd w:id="14"/>
    </w:p>
    <w:p w:rsidR="004F5CB5" w:rsidRPr="00565D2C" w:rsidRDefault="008B5BEC"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noProof/>
          <w:sz w:val="24"/>
          <w:szCs w:val="24"/>
        </w:rPr>
        <w:drawing>
          <wp:anchor distT="0" distB="0" distL="114300" distR="114300" simplePos="0" relativeHeight="251792384" behindDoc="1" locked="0" layoutInCell="1" allowOverlap="1">
            <wp:simplePos x="0" y="0"/>
            <wp:positionH relativeFrom="column">
              <wp:posOffset>3139440</wp:posOffset>
            </wp:positionH>
            <wp:positionV relativeFrom="paragraph">
              <wp:posOffset>175260</wp:posOffset>
            </wp:positionV>
            <wp:extent cx="2438400" cy="469096"/>
            <wp:effectExtent l="0" t="0" r="0" b="7620"/>
            <wp:wrapTight wrapText="bothSides">
              <wp:wrapPolygon edited="0">
                <wp:start x="0" y="0"/>
                <wp:lineTo x="0" y="21073"/>
                <wp:lineTo x="21431" y="21073"/>
                <wp:lineTo x="21431" y="0"/>
                <wp:lineTo x="0"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38400" cy="469096"/>
                    </a:xfrm>
                    <a:prstGeom prst="rect">
                      <a:avLst/>
                    </a:prstGeom>
                    <a:noFill/>
                  </pic:spPr>
                </pic:pic>
              </a:graphicData>
            </a:graphic>
          </wp:anchor>
        </w:drawing>
      </w:r>
      <w:r w:rsidR="000C3165" w:rsidRPr="00565D2C">
        <w:rPr>
          <w:rFonts w:ascii="Times New Roman" w:hAnsi="Times New Roman" w:cs="Times New Roman"/>
          <w:noProof/>
          <w:sz w:val="24"/>
          <w:szCs w:val="24"/>
        </w:rPr>
        <w:drawing>
          <wp:anchor distT="0" distB="0" distL="114300" distR="114300" simplePos="0" relativeHeight="251793408" behindDoc="1" locked="0" layoutInCell="1" allowOverlap="1">
            <wp:simplePos x="0" y="0"/>
            <wp:positionH relativeFrom="column">
              <wp:posOffset>224790</wp:posOffset>
            </wp:positionH>
            <wp:positionV relativeFrom="paragraph">
              <wp:posOffset>175260</wp:posOffset>
            </wp:positionV>
            <wp:extent cx="2082229" cy="644525"/>
            <wp:effectExtent l="0" t="0" r="0" b="3175"/>
            <wp:wrapTight wrapText="bothSides">
              <wp:wrapPolygon edited="0">
                <wp:start x="0" y="0"/>
                <wp:lineTo x="0" y="21068"/>
                <wp:lineTo x="21343" y="21068"/>
                <wp:lineTo x="21343" y="0"/>
                <wp:lineTo x="0" y="0"/>
              </wp:wrapPolygon>
            </wp:wrapTight>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82229" cy="644525"/>
                    </a:xfrm>
                    <a:prstGeom prst="rect">
                      <a:avLst/>
                    </a:prstGeom>
                    <a:noFill/>
                  </pic:spPr>
                </pic:pic>
              </a:graphicData>
            </a:graphic>
          </wp:anchor>
        </w:drawing>
      </w:r>
    </w:p>
    <w:p w:rsidR="004F5CB5" w:rsidRPr="00565D2C" w:rsidRDefault="004F5CB5" w:rsidP="00565D2C">
      <w:pPr>
        <w:spacing w:after="0" w:line="240" w:lineRule="auto"/>
        <w:jc w:val="both"/>
        <w:rPr>
          <w:rFonts w:ascii="Times New Roman" w:hAnsi="Times New Roman" w:cs="Times New Roman"/>
          <w:sz w:val="24"/>
          <w:szCs w:val="24"/>
        </w:rPr>
      </w:pPr>
    </w:p>
    <w:p w:rsidR="000A15CA" w:rsidRPr="00565D2C" w:rsidRDefault="000A15CA" w:rsidP="00565D2C">
      <w:pPr>
        <w:spacing w:after="0" w:line="240" w:lineRule="auto"/>
        <w:jc w:val="both"/>
        <w:rPr>
          <w:rFonts w:ascii="Times New Roman" w:hAnsi="Times New Roman" w:cs="Times New Roman"/>
          <w:sz w:val="24"/>
          <w:szCs w:val="24"/>
        </w:rPr>
      </w:pPr>
    </w:p>
    <w:p w:rsidR="000C3165" w:rsidRPr="00565D2C" w:rsidRDefault="000C3165" w:rsidP="00565D2C">
      <w:pPr>
        <w:spacing w:after="0" w:line="240" w:lineRule="auto"/>
        <w:jc w:val="both"/>
        <w:rPr>
          <w:rFonts w:ascii="Times New Roman" w:hAnsi="Times New Roman" w:cs="Times New Roman"/>
          <w:sz w:val="24"/>
          <w:szCs w:val="24"/>
        </w:rPr>
      </w:pPr>
    </w:p>
    <w:p w:rsidR="003146AE" w:rsidRPr="00565D2C" w:rsidRDefault="00787DB8"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noProof/>
          <w:sz w:val="24"/>
          <w:szCs w:val="24"/>
        </w:rPr>
        <w:drawing>
          <wp:anchor distT="0" distB="0" distL="114300" distR="114300" simplePos="0" relativeHeight="251794432" behindDoc="1" locked="0" layoutInCell="1" allowOverlap="1">
            <wp:simplePos x="0" y="0"/>
            <wp:positionH relativeFrom="column">
              <wp:posOffset>224790</wp:posOffset>
            </wp:positionH>
            <wp:positionV relativeFrom="paragraph">
              <wp:posOffset>160020</wp:posOffset>
            </wp:positionV>
            <wp:extent cx="5400675" cy="649605"/>
            <wp:effectExtent l="0" t="0" r="9525" b="0"/>
            <wp:wrapTight wrapText="bothSides">
              <wp:wrapPolygon edited="0">
                <wp:start x="0" y="0"/>
                <wp:lineTo x="0" y="20903"/>
                <wp:lineTo x="21562" y="20903"/>
                <wp:lineTo x="21562" y="0"/>
                <wp:lineTo x="0" y="0"/>
              </wp:wrapPolygon>
            </wp:wrapTight>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00675" cy="649605"/>
                    </a:xfrm>
                    <a:prstGeom prst="rect">
                      <a:avLst/>
                    </a:prstGeom>
                    <a:noFill/>
                  </pic:spPr>
                </pic:pic>
              </a:graphicData>
            </a:graphic>
            <wp14:sizeRelH relativeFrom="margin">
              <wp14:pctWidth>0</wp14:pctWidth>
            </wp14:sizeRelH>
            <wp14:sizeRelV relativeFrom="margin">
              <wp14:pctHeight>0</wp14:pctHeight>
            </wp14:sizeRelV>
          </wp:anchor>
        </w:drawing>
      </w:r>
    </w:p>
    <w:p w:rsidR="00016DCF" w:rsidRPr="00565D2C" w:rsidRDefault="00016DCF" w:rsidP="00565D2C">
      <w:pPr>
        <w:spacing w:after="0" w:line="240" w:lineRule="auto"/>
        <w:jc w:val="both"/>
        <w:rPr>
          <w:rFonts w:ascii="Times New Roman" w:hAnsi="Times New Roman" w:cs="Times New Roman"/>
          <w:sz w:val="24"/>
          <w:szCs w:val="24"/>
        </w:rPr>
      </w:pPr>
    </w:p>
    <w:p w:rsidR="00016DCF" w:rsidRPr="00565D2C" w:rsidRDefault="00016DCF" w:rsidP="00565D2C">
      <w:pPr>
        <w:spacing w:after="0" w:line="240" w:lineRule="auto"/>
        <w:jc w:val="both"/>
        <w:rPr>
          <w:rFonts w:ascii="Times New Roman" w:hAnsi="Times New Roman" w:cs="Times New Roman"/>
          <w:sz w:val="24"/>
          <w:szCs w:val="24"/>
        </w:rPr>
      </w:pPr>
    </w:p>
    <w:p w:rsidR="00EC16DD" w:rsidRPr="00565D2C" w:rsidRDefault="00EC16DD"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La Unidad de Acceso a la Información Pública </w:t>
      </w:r>
      <w:r w:rsidR="000A15CA" w:rsidRPr="00565D2C">
        <w:rPr>
          <w:rFonts w:ascii="Times New Roman" w:hAnsi="Times New Roman" w:cs="Times New Roman"/>
          <w:sz w:val="24"/>
          <w:szCs w:val="24"/>
        </w:rPr>
        <w:t xml:space="preserve">cumplió en un </w:t>
      </w:r>
      <w:r w:rsidR="00787DB8">
        <w:rPr>
          <w:rFonts w:ascii="Times New Roman" w:hAnsi="Times New Roman" w:cs="Times New Roman"/>
          <w:sz w:val="24"/>
          <w:szCs w:val="24"/>
        </w:rPr>
        <w:t>83.50</w:t>
      </w:r>
      <w:r w:rsidR="000A15CA" w:rsidRPr="00565D2C">
        <w:rPr>
          <w:rFonts w:ascii="Times New Roman" w:hAnsi="Times New Roman" w:cs="Times New Roman"/>
          <w:sz w:val="24"/>
          <w:szCs w:val="24"/>
        </w:rPr>
        <w:t>% con las actividades programadas, siendo las más sustantiva la descrita a continuación:</w:t>
      </w:r>
    </w:p>
    <w:p w:rsidR="000A15CA" w:rsidRPr="00565D2C" w:rsidRDefault="000A15CA" w:rsidP="00565D2C">
      <w:pPr>
        <w:spacing w:after="0" w:line="240" w:lineRule="auto"/>
        <w:jc w:val="both"/>
        <w:rPr>
          <w:rFonts w:ascii="Times New Roman" w:hAnsi="Times New Roman" w:cs="Times New Roman"/>
          <w:sz w:val="24"/>
          <w:szCs w:val="24"/>
        </w:rPr>
      </w:pPr>
    </w:p>
    <w:p w:rsidR="000A15CA" w:rsidRPr="00565D2C" w:rsidRDefault="0001219A" w:rsidP="00565D2C">
      <w:pPr>
        <w:pStyle w:val="Prrafodelista"/>
        <w:numPr>
          <w:ilvl w:val="0"/>
          <w:numId w:val="10"/>
        </w:num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Respuesta oportuna y expedita a 2 solicitudes de información.</w:t>
      </w:r>
    </w:p>
    <w:p w:rsidR="00F34171" w:rsidRPr="00565D2C" w:rsidRDefault="00F34171" w:rsidP="00565D2C">
      <w:pPr>
        <w:pStyle w:val="Ttulo1"/>
        <w:spacing w:line="240" w:lineRule="auto"/>
        <w:rPr>
          <w:rFonts w:ascii="Times New Roman" w:hAnsi="Times New Roman" w:cs="Times New Roman"/>
          <w:sz w:val="24"/>
        </w:rPr>
      </w:pPr>
    </w:p>
    <w:p w:rsidR="00F34171" w:rsidRPr="00565D2C" w:rsidRDefault="00F34171" w:rsidP="00565D2C">
      <w:pPr>
        <w:pStyle w:val="Ttulo1"/>
        <w:spacing w:line="240" w:lineRule="auto"/>
        <w:rPr>
          <w:rFonts w:ascii="Times New Roman" w:hAnsi="Times New Roman" w:cs="Times New Roman"/>
          <w:sz w:val="24"/>
        </w:rPr>
      </w:pPr>
    </w:p>
    <w:p w:rsidR="001027B9" w:rsidRPr="00565D2C" w:rsidRDefault="000318A4" w:rsidP="00565D2C">
      <w:pPr>
        <w:pStyle w:val="Ttulo1"/>
        <w:numPr>
          <w:ilvl w:val="0"/>
          <w:numId w:val="11"/>
        </w:numPr>
        <w:spacing w:line="240" w:lineRule="auto"/>
        <w:rPr>
          <w:rFonts w:ascii="Times New Roman" w:hAnsi="Times New Roman" w:cs="Times New Roman"/>
          <w:sz w:val="24"/>
        </w:rPr>
      </w:pPr>
      <w:bookmarkStart w:id="15" w:name="_Toc523143309"/>
      <w:r w:rsidRPr="00565D2C">
        <w:rPr>
          <w:rFonts w:ascii="Times New Roman" w:hAnsi="Times New Roman" w:cs="Times New Roman"/>
          <w:sz w:val="24"/>
        </w:rPr>
        <w:t xml:space="preserve">Consolidado de la </w:t>
      </w:r>
      <w:r w:rsidR="00226A24" w:rsidRPr="00565D2C">
        <w:rPr>
          <w:rFonts w:ascii="Times New Roman" w:hAnsi="Times New Roman" w:cs="Times New Roman"/>
          <w:sz w:val="24"/>
        </w:rPr>
        <w:t xml:space="preserve">evaluación </w:t>
      </w:r>
      <w:r w:rsidRPr="00565D2C">
        <w:rPr>
          <w:rFonts w:ascii="Times New Roman" w:hAnsi="Times New Roman" w:cs="Times New Roman"/>
          <w:sz w:val="24"/>
        </w:rPr>
        <w:t xml:space="preserve">de POA </w:t>
      </w:r>
      <w:r w:rsidR="00226A24" w:rsidRPr="00565D2C">
        <w:rPr>
          <w:rFonts w:ascii="Times New Roman" w:hAnsi="Times New Roman" w:cs="Times New Roman"/>
          <w:sz w:val="24"/>
        </w:rPr>
        <w:t>institucional</w:t>
      </w:r>
      <w:bookmarkEnd w:id="15"/>
    </w:p>
    <w:p w:rsidR="00F34171" w:rsidRPr="00565D2C" w:rsidRDefault="00F34171" w:rsidP="00565D2C">
      <w:pPr>
        <w:spacing w:after="0" w:line="240" w:lineRule="auto"/>
        <w:jc w:val="both"/>
        <w:rPr>
          <w:rFonts w:ascii="Times New Roman" w:hAnsi="Times New Roman" w:cs="Times New Roman"/>
          <w:sz w:val="24"/>
          <w:szCs w:val="24"/>
        </w:rPr>
      </w:pPr>
    </w:p>
    <w:p w:rsidR="00C82CAA" w:rsidRPr="00565D2C" w:rsidRDefault="00F342C7"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De acuerdo a la planificación vigente, </w:t>
      </w:r>
      <w:r w:rsidR="00C17FB4" w:rsidRPr="00565D2C">
        <w:rPr>
          <w:rFonts w:ascii="Times New Roman" w:hAnsi="Times New Roman" w:cs="Times New Roman"/>
          <w:sz w:val="24"/>
          <w:szCs w:val="24"/>
        </w:rPr>
        <w:t>la evaluación integral del POA se calculará</w:t>
      </w:r>
      <w:r w:rsidR="0099219F" w:rsidRPr="00565D2C">
        <w:rPr>
          <w:rFonts w:ascii="Times New Roman" w:hAnsi="Times New Roman" w:cs="Times New Roman"/>
          <w:sz w:val="24"/>
          <w:szCs w:val="24"/>
        </w:rPr>
        <w:t xml:space="preserve"> consolidando la evaluación obtenida por cada una de las unidades funcionales </w:t>
      </w:r>
      <w:r w:rsidR="00C82CAA" w:rsidRPr="00565D2C">
        <w:rPr>
          <w:rFonts w:ascii="Times New Roman" w:hAnsi="Times New Roman" w:cs="Times New Roman"/>
          <w:sz w:val="24"/>
          <w:szCs w:val="24"/>
        </w:rPr>
        <w:t>con base en las atribuciones de la SC establecida en la Ley de Competencia, de acuerdo a los siguientes porcentajes:</w:t>
      </w:r>
    </w:p>
    <w:p w:rsidR="00F342C7" w:rsidRPr="00565D2C" w:rsidRDefault="00F16762"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noProof/>
          <w:sz w:val="24"/>
          <w:szCs w:val="24"/>
        </w:rPr>
        <w:drawing>
          <wp:anchor distT="0" distB="0" distL="114300" distR="114300" simplePos="0" relativeHeight="251699200" behindDoc="1" locked="0" layoutInCell="1" allowOverlap="1">
            <wp:simplePos x="0" y="0"/>
            <wp:positionH relativeFrom="column">
              <wp:posOffset>860425</wp:posOffset>
            </wp:positionH>
            <wp:positionV relativeFrom="paragraph">
              <wp:posOffset>86360</wp:posOffset>
            </wp:positionV>
            <wp:extent cx="3450590" cy="2263140"/>
            <wp:effectExtent l="0" t="0" r="0" b="3810"/>
            <wp:wrapTight wrapText="bothSides">
              <wp:wrapPolygon edited="0">
                <wp:start x="0" y="0"/>
                <wp:lineTo x="0" y="21455"/>
                <wp:lineTo x="16576" y="21455"/>
                <wp:lineTo x="21465" y="20909"/>
                <wp:lineTo x="21465" y="0"/>
                <wp:lineTo x="0" y="0"/>
              </wp:wrapPolygon>
            </wp:wrapTight>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50590" cy="2263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066CF" w:rsidRPr="00565D2C" w:rsidRDefault="009066CF" w:rsidP="00565D2C">
      <w:pPr>
        <w:spacing w:after="0" w:line="240" w:lineRule="auto"/>
        <w:jc w:val="both"/>
        <w:rPr>
          <w:rFonts w:ascii="Times New Roman" w:hAnsi="Times New Roman" w:cs="Times New Roman"/>
          <w:sz w:val="24"/>
          <w:szCs w:val="24"/>
        </w:rPr>
      </w:pPr>
    </w:p>
    <w:p w:rsidR="00914DD5" w:rsidRPr="00565D2C" w:rsidRDefault="00914DD5" w:rsidP="00565D2C">
      <w:pPr>
        <w:spacing w:after="0" w:line="240" w:lineRule="auto"/>
        <w:jc w:val="both"/>
        <w:rPr>
          <w:rFonts w:ascii="Times New Roman" w:hAnsi="Times New Roman" w:cs="Times New Roman"/>
          <w:sz w:val="24"/>
          <w:szCs w:val="24"/>
        </w:rPr>
      </w:pPr>
    </w:p>
    <w:p w:rsidR="00B66990" w:rsidRPr="00565D2C" w:rsidRDefault="00B66990"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Así entonces, la evaluación consolidada institucional de cada unidad organizativa de la SC, queda tal como lo muestra el siguiente cuadro:</w:t>
      </w:r>
    </w:p>
    <w:p w:rsidR="00064C1B" w:rsidRPr="00565D2C" w:rsidRDefault="00064C1B" w:rsidP="00565D2C">
      <w:pPr>
        <w:spacing w:after="0" w:line="240" w:lineRule="auto"/>
        <w:jc w:val="both"/>
        <w:rPr>
          <w:rFonts w:ascii="Times New Roman" w:hAnsi="Times New Roman" w:cs="Times New Roman"/>
          <w:sz w:val="24"/>
          <w:szCs w:val="24"/>
        </w:rPr>
      </w:pPr>
    </w:p>
    <w:tbl>
      <w:tblPr>
        <w:tblStyle w:val="Tablaconcuadrcula"/>
        <w:tblW w:w="8676" w:type="dxa"/>
        <w:tblInd w:w="108" w:type="dxa"/>
        <w:tblLayout w:type="fixed"/>
        <w:tblLook w:val="04A0" w:firstRow="1" w:lastRow="0" w:firstColumn="1" w:lastColumn="0" w:noHBand="0" w:noVBand="1"/>
      </w:tblPr>
      <w:tblGrid>
        <w:gridCol w:w="3573"/>
        <w:gridCol w:w="2268"/>
        <w:gridCol w:w="2835"/>
      </w:tblGrid>
      <w:tr w:rsidR="00BF1D04" w:rsidRPr="00565D2C" w:rsidTr="00387C4E">
        <w:trPr>
          <w:trHeight w:val="582"/>
        </w:trPr>
        <w:tc>
          <w:tcPr>
            <w:tcW w:w="3573" w:type="dxa"/>
            <w:noWrap/>
            <w:hideMark/>
          </w:tcPr>
          <w:p w:rsidR="00BF1D04" w:rsidRPr="00565D2C" w:rsidRDefault="00BF1D04" w:rsidP="00565D2C">
            <w:pPr>
              <w:jc w:val="both"/>
              <w:rPr>
                <w:sz w:val="24"/>
                <w:szCs w:val="24"/>
              </w:rPr>
            </w:pPr>
            <w:r w:rsidRPr="00565D2C">
              <w:rPr>
                <w:sz w:val="24"/>
                <w:szCs w:val="24"/>
              </w:rPr>
              <w:t>UNIDADES</w:t>
            </w:r>
          </w:p>
        </w:tc>
        <w:tc>
          <w:tcPr>
            <w:tcW w:w="2268" w:type="dxa"/>
            <w:hideMark/>
          </w:tcPr>
          <w:p w:rsidR="001C4CFD" w:rsidRPr="005C54E2" w:rsidRDefault="00BF1D04" w:rsidP="00565D2C">
            <w:pPr>
              <w:jc w:val="both"/>
              <w:rPr>
                <w:sz w:val="24"/>
                <w:szCs w:val="24"/>
                <w:lang w:val="es-SV"/>
              </w:rPr>
            </w:pPr>
            <w:r w:rsidRPr="005C54E2">
              <w:rPr>
                <w:sz w:val="24"/>
                <w:szCs w:val="24"/>
                <w:lang w:val="es-SV"/>
              </w:rPr>
              <w:t>EVALUACIÓN POA</w:t>
            </w:r>
            <w:r w:rsidR="00AE5226" w:rsidRPr="005C54E2">
              <w:rPr>
                <w:sz w:val="24"/>
                <w:szCs w:val="24"/>
                <w:lang w:val="es-SV"/>
              </w:rPr>
              <w:t xml:space="preserve"> POR UNIDAD</w:t>
            </w:r>
          </w:p>
          <w:p w:rsidR="00BF1D04" w:rsidRPr="005C54E2" w:rsidRDefault="001C4CFD" w:rsidP="00565D2C">
            <w:pPr>
              <w:jc w:val="both"/>
              <w:rPr>
                <w:sz w:val="24"/>
                <w:szCs w:val="24"/>
                <w:lang w:val="es-SV"/>
              </w:rPr>
            </w:pPr>
            <w:r w:rsidRPr="005C54E2">
              <w:rPr>
                <w:sz w:val="24"/>
                <w:szCs w:val="24"/>
                <w:lang w:val="es-SV"/>
              </w:rPr>
              <w:t>(sin pesos)</w:t>
            </w:r>
            <w:r w:rsidR="009B1F63" w:rsidRPr="005C54E2">
              <w:rPr>
                <w:sz w:val="24"/>
                <w:szCs w:val="24"/>
                <w:lang w:val="es-SV"/>
              </w:rPr>
              <w:t xml:space="preserve"> </w:t>
            </w:r>
          </w:p>
        </w:tc>
        <w:tc>
          <w:tcPr>
            <w:tcW w:w="2835" w:type="dxa"/>
            <w:hideMark/>
          </w:tcPr>
          <w:p w:rsidR="00BF1D04" w:rsidRPr="00565D2C" w:rsidRDefault="00BF1D04" w:rsidP="00565D2C">
            <w:pPr>
              <w:jc w:val="both"/>
              <w:rPr>
                <w:sz w:val="24"/>
                <w:szCs w:val="24"/>
              </w:rPr>
            </w:pPr>
            <w:r w:rsidRPr="00565D2C">
              <w:rPr>
                <w:sz w:val="24"/>
                <w:szCs w:val="24"/>
              </w:rPr>
              <w:t xml:space="preserve">EVALUACIÓN FINAL </w:t>
            </w:r>
            <w:r w:rsidRPr="00565D2C">
              <w:rPr>
                <w:sz w:val="24"/>
                <w:szCs w:val="24"/>
              </w:rPr>
              <w:br/>
            </w:r>
            <w:r w:rsidR="00AE5226" w:rsidRPr="00565D2C">
              <w:rPr>
                <w:sz w:val="24"/>
                <w:szCs w:val="24"/>
              </w:rPr>
              <w:t>PONDERADA</w:t>
            </w:r>
          </w:p>
        </w:tc>
      </w:tr>
      <w:tr w:rsidR="00BF1D04" w:rsidRPr="00565D2C" w:rsidTr="005B4D10">
        <w:trPr>
          <w:trHeight w:val="405"/>
        </w:trPr>
        <w:tc>
          <w:tcPr>
            <w:tcW w:w="3573" w:type="dxa"/>
            <w:noWrap/>
            <w:hideMark/>
          </w:tcPr>
          <w:p w:rsidR="00BF1D04" w:rsidRPr="00565D2C" w:rsidRDefault="00BF1D04" w:rsidP="00565D2C">
            <w:pPr>
              <w:jc w:val="both"/>
              <w:rPr>
                <w:sz w:val="24"/>
                <w:szCs w:val="24"/>
              </w:rPr>
            </w:pPr>
            <w:r w:rsidRPr="00565D2C">
              <w:rPr>
                <w:sz w:val="24"/>
                <w:szCs w:val="24"/>
              </w:rPr>
              <w:t>INTENDENCIA DE INVESTIGACIONES</w:t>
            </w:r>
          </w:p>
        </w:tc>
        <w:tc>
          <w:tcPr>
            <w:tcW w:w="2268" w:type="dxa"/>
            <w:noWrap/>
          </w:tcPr>
          <w:p w:rsidR="00BF1D04" w:rsidRPr="00565D2C" w:rsidRDefault="00AD6099" w:rsidP="00565D2C">
            <w:pPr>
              <w:jc w:val="both"/>
              <w:rPr>
                <w:sz w:val="24"/>
                <w:szCs w:val="24"/>
              </w:rPr>
            </w:pPr>
            <w:r w:rsidRPr="00565D2C">
              <w:rPr>
                <w:sz w:val="24"/>
                <w:szCs w:val="24"/>
              </w:rPr>
              <w:t>96.42</w:t>
            </w:r>
          </w:p>
        </w:tc>
        <w:tc>
          <w:tcPr>
            <w:tcW w:w="2835" w:type="dxa"/>
            <w:noWrap/>
          </w:tcPr>
          <w:p w:rsidR="00B82392" w:rsidRPr="00565D2C" w:rsidRDefault="00C11135" w:rsidP="00565D2C">
            <w:pPr>
              <w:jc w:val="both"/>
              <w:rPr>
                <w:sz w:val="24"/>
                <w:szCs w:val="24"/>
              </w:rPr>
            </w:pPr>
            <w:r w:rsidRPr="00565D2C">
              <w:rPr>
                <w:sz w:val="24"/>
                <w:szCs w:val="24"/>
              </w:rPr>
              <w:t>14.46</w:t>
            </w:r>
          </w:p>
        </w:tc>
      </w:tr>
      <w:tr w:rsidR="00BF1D04" w:rsidRPr="00565D2C" w:rsidTr="005B4D10">
        <w:trPr>
          <w:trHeight w:val="661"/>
        </w:trPr>
        <w:tc>
          <w:tcPr>
            <w:tcW w:w="3573" w:type="dxa"/>
            <w:hideMark/>
          </w:tcPr>
          <w:p w:rsidR="00BF1D04" w:rsidRPr="005C54E2" w:rsidRDefault="00BF1D04" w:rsidP="00565D2C">
            <w:pPr>
              <w:jc w:val="both"/>
              <w:rPr>
                <w:sz w:val="24"/>
                <w:szCs w:val="24"/>
                <w:lang w:val="es-SV"/>
              </w:rPr>
            </w:pPr>
            <w:r w:rsidRPr="005C54E2">
              <w:rPr>
                <w:sz w:val="24"/>
                <w:szCs w:val="24"/>
                <w:lang w:val="es-SV"/>
              </w:rPr>
              <w:t>INTENDENCIA DE ABOGACÍA DE LA COMPETENCIA</w:t>
            </w:r>
          </w:p>
        </w:tc>
        <w:tc>
          <w:tcPr>
            <w:tcW w:w="2268" w:type="dxa"/>
            <w:noWrap/>
          </w:tcPr>
          <w:p w:rsidR="00584AD6" w:rsidRPr="00565D2C" w:rsidRDefault="00C11135" w:rsidP="00565D2C">
            <w:pPr>
              <w:jc w:val="both"/>
              <w:rPr>
                <w:sz w:val="24"/>
                <w:szCs w:val="24"/>
              </w:rPr>
            </w:pPr>
            <w:r w:rsidRPr="00565D2C">
              <w:rPr>
                <w:sz w:val="24"/>
                <w:szCs w:val="24"/>
              </w:rPr>
              <w:t>96.66</w:t>
            </w:r>
          </w:p>
        </w:tc>
        <w:tc>
          <w:tcPr>
            <w:tcW w:w="2835" w:type="dxa"/>
            <w:noWrap/>
          </w:tcPr>
          <w:p w:rsidR="00BF1D04" w:rsidRPr="00565D2C" w:rsidRDefault="00C11135" w:rsidP="00565D2C">
            <w:pPr>
              <w:jc w:val="both"/>
              <w:rPr>
                <w:sz w:val="24"/>
                <w:szCs w:val="24"/>
              </w:rPr>
            </w:pPr>
            <w:r w:rsidRPr="00565D2C">
              <w:rPr>
                <w:sz w:val="24"/>
                <w:szCs w:val="24"/>
              </w:rPr>
              <w:t>14.49</w:t>
            </w:r>
          </w:p>
        </w:tc>
      </w:tr>
      <w:tr w:rsidR="00BF1D04" w:rsidRPr="00565D2C" w:rsidTr="005B4D10">
        <w:trPr>
          <w:trHeight w:val="405"/>
        </w:trPr>
        <w:tc>
          <w:tcPr>
            <w:tcW w:w="3573" w:type="dxa"/>
            <w:hideMark/>
          </w:tcPr>
          <w:p w:rsidR="00BF1D04" w:rsidRPr="00565D2C" w:rsidRDefault="00BF1D04" w:rsidP="00565D2C">
            <w:pPr>
              <w:jc w:val="both"/>
              <w:rPr>
                <w:sz w:val="24"/>
                <w:szCs w:val="24"/>
              </w:rPr>
            </w:pPr>
            <w:r w:rsidRPr="00565D2C">
              <w:rPr>
                <w:sz w:val="24"/>
                <w:szCs w:val="24"/>
              </w:rPr>
              <w:t>INTENDENCIA ECONÓMICA</w:t>
            </w:r>
          </w:p>
        </w:tc>
        <w:tc>
          <w:tcPr>
            <w:tcW w:w="2268" w:type="dxa"/>
            <w:noWrap/>
          </w:tcPr>
          <w:p w:rsidR="00BF1D04" w:rsidRPr="00565D2C" w:rsidRDefault="00C11135" w:rsidP="00565D2C">
            <w:pPr>
              <w:jc w:val="both"/>
              <w:rPr>
                <w:sz w:val="24"/>
                <w:szCs w:val="24"/>
              </w:rPr>
            </w:pPr>
            <w:r w:rsidRPr="00565D2C">
              <w:rPr>
                <w:sz w:val="24"/>
                <w:szCs w:val="24"/>
              </w:rPr>
              <w:t>96.15</w:t>
            </w:r>
          </w:p>
        </w:tc>
        <w:tc>
          <w:tcPr>
            <w:tcW w:w="2835" w:type="dxa"/>
            <w:noWrap/>
          </w:tcPr>
          <w:p w:rsidR="00BF1D04" w:rsidRPr="00565D2C" w:rsidRDefault="00C11135" w:rsidP="00565D2C">
            <w:pPr>
              <w:jc w:val="both"/>
              <w:rPr>
                <w:sz w:val="24"/>
                <w:szCs w:val="24"/>
              </w:rPr>
            </w:pPr>
            <w:r w:rsidRPr="00565D2C">
              <w:rPr>
                <w:sz w:val="24"/>
                <w:szCs w:val="24"/>
              </w:rPr>
              <w:t>14.42</w:t>
            </w:r>
          </w:p>
        </w:tc>
      </w:tr>
      <w:tr w:rsidR="00BF1D04" w:rsidRPr="00565D2C" w:rsidTr="005B4D10">
        <w:trPr>
          <w:trHeight w:val="405"/>
        </w:trPr>
        <w:tc>
          <w:tcPr>
            <w:tcW w:w="3573" w:type="dxa"/>
            <w:noWrap/>
            <w:hideMark/>
          </w:tcPr>
          <w:p w:rsidR="00BF1D04" w:rsidRPr="00565D2C" w:rsidRDefault="00BF1D04" w:rsidP="00565D2C">
            <w:pPr>
              <w:jc w:val="both"/>
              <w:rPr>
                <w:sz w:val="24"/>
                <w:szCs w:val="24"/>
              </w:rPr>
            </w:pPr>
            <w:r w:rsidRPr="00565D2C">
              <w:rPr>
                <w:sz w:val="24"/>
                <w:szCs w:val="24"/>
              </w:rPr>
              <w:t>UNIDAD DE INFORMÁTICA</w:t>
            </w:r>
          </w:p>
        </w:tc>
        <w:tc>
          <w:tcPr>
            <w:tcW w:w="2268" w:type="dxa"/>
            <w:noWrap/>
          </w:tcPr>
          <w:p w:rsidR="00BF1D04" w:rsidRPr="00565D2C" w:rsidRDefault="004E56C5" w:rsidP="00565D2C">
            <w:pPr>
              <w:jc w:val="both"/>
              <w:rPr>
                <w:sz w:val="24"/>
                <w:szCs w:val="24"/>
              </w:rPr>
            </w:pPr>
            <w:r>
              <w:rPr>
                <w:sz w:val="24"/>
                <w:szCs w:val="24"/>
              </w:rPr>
              <w:t>97.72</w:t>
            </w:r>
          </w:p>
        </w:tc>
        <w:tc>
          <w:tcPr>
            <w:tcW w:w="2835" w:type="dxa"/>
            <w:noWrap/>
          </w:tcPr>
          <w:p w:rsidR="00BF1D04" w:rsidRPr="00565D2C" w:rsidRDefault="003D055E" w:rsidP="00565D2C">
            <w:pPr>
              <w:jc w:val="both"/>
              <w:rPr>
                <w:sz w:val="24"/>
                <w:szCs w:val="24"/>
              </w:rPr>
            </w:pPr>
            <w:r>
              <w:rPr>
                <w:sz w:val="24"/>
                <w:szCs w:val="24"/>
              </w:rPr>
              <w:t>4.88</w:t>
            </w:r>
          </w:p>
        </w:tc>
      </w:tr>
      <w:tr w:rsidR="00BF1D04" w:rsidRPr="00565D2C" w:rsidTr="00387C4E">
        <w:trPr>
          <w:trHeight w:val="534"/>
        </w:trPr>
        <w:tc>
          <w:tcPr>
            <w:tcW w:w="3573" w:type="dxa"/>
            <w:hideMark/>
          </w:tcPr>
          <w:p w:rsidR="00BF1D04" w:rsidRPr="005C54E2" w:rsidRDefault="00BF1D04" w:rsidP="00565D2C">
            <w:pPr>
              <w:jc w:val="both"/>
              <w:rPr>
                <w:sz w:val="24"/>
                <w:szCs w:val="24"/>
                <w:lang w:val="es-SV"/>
              </w:rPr>
            </w:pPr>
            <w:r w:rsidRPr="005C54E2">
              <w:rPr>
                <w:sz w:val="24"/>
                <w:szCs w:val="24"/>
                <w:lang w:val="es-SV"/>
              </w:rPr>
              <w:t>UNIDAD DE ADMINISTRACIÓN Y RECURSOS HUMANOS</w:t>
            </w:r>
          </w:p>
        </w:tc>
        <w:tc>
          <w:tcPr>
            <w:tcW w:w="2268" w:type="dxa"/>
            <w:noWrap/>
          </w:tcPr>
          <w:p w:rsidR="00BF1D04" w:rsidRPr="00565D2C" w:rsidRDefault="00C11135" w:rsidP="00565D2C">
            <w:pPr>
              <w:jc w:val="both"/>
              <w:rPr>
                <w:sz w:val="24"/>
                <w:szCs w:val="24"/>
              </w:rPr>
            </w:pPr>
            <w:r w:rsidRPr="00565D2C">
              <w:rPr>
                <w:sz w:val="24"/>
                <w:szCs w:val="24"/>
              </w:rPr>
              <w:t>100</w:t>
            </w:r>
          </w:p>
        </w:tc>
        <w:tc>
          <w:tcPr>
            <w:tcW w:w="2835" w:type="dxa"/>
            <w:noWrap/>
          </w:tcPr>
          <w:p w:rsidR="00BF1D04" w:rsidRPr="00565D2C" w:rsidRDefault="00C11135" w:rsidP="00565D2C">
            <w:pPr>
              <w:jc w:val="both"/>
              <w:rPr>
                <w:sz w:val="24"/>
                <w:szCs w:val="24"/>
              </w:rPr>
            </w:pPr>
            <w:r w:rsidRPr="00565D2C">
              <w:rPr>
                <w:sz w:val="24"/>
                <w:szCs w:val="24"/>
              </w:rPr>
              <w:t>5.00</w:t>
            </w:r>
          </w:p>
        </w:tc>
      </w:tr>
      <w:tr w:rsidR="00BF1D04" w:rsidRPr="00565D2C" w:rsidTr="005B4D10">
        <w:trPr>
          <w:trHeight w:val="405"/>
        </w:trPr>
        <w:tc>
          <w:tcPr>
            <w:tcW w:w="3573" w:type="dxa"/>
            <w:noWrap/>
            <w:hideMark/>
          </w:tcPr>
          <w:p w:rsidR="00BF1D04" w:rsidRPr="00565D2C" w:rsidRDefault="00BF1D04" w:rsidP="00565D2C">
            <w:pPr>
              <w:jc w:val="both"/>
              <w:rPr>
                <w:sz w:val="24"/>
                <w:szCs w:val="24"/>
              </w:rPr>
            </w:pPr>
            <w:r w:rsidRPr="00565D2C">
              <w:rPr>
                <w:sz w:val="24"/>
                <w:szCs w:val="24"/>
              </w:rPr>
              <w:t>UNIDAD DE COMUNICACIONES</w:t>
            </w:r>
          </w:p>
        </w:tc>
        <w:tc>
          <w:tcPr>
            <w:tcW w:w="2268" w:type="dxa"/>
            <w:noWrap/>
          </w:tcPr>
          <w:p w:rsidR="00BF1D04" w:rsidRPr="00565D2C" w:rsidRDefault="00C11135" w:rsidP="00565D2C">
            <w:pPr>
              <w:jc w:val="both"/>
              <w:rPr>
                <w:sz w:val="24"/>
                <w:szCs w:val="24"/>
              </w:rPr>
            </w:pPr>
            <w:r w:rsidRPr="00565D2C">
              <w:rPr>
                <w:sz w:val="24"/>
                <w:szCs w:val="24"/>
              </w:rPr>
              <w:t>89.39</w:t>
            </w:r>
          </w:p>
        </w:tc>
        <w:tc>
          <w:tcPr>
            <w:tcW w:w="2835" w:type="dxa"/>
            <w:noWrap/>
          </w:tcPr>
          <w:p w:rsidR="00BF1D04" w:rsidRPr="00565D2C" w:rsidRDefault="00C11135" w:rsidP="00565D2C">
            <w:pPr>
              <w:jc w:val="both"/>
              <w:rPr>
                <w:sz w:val="24"/>
                <w:szCs w:val="24"/>
              </w:rPr>
            </w:pPr>
            <w:r w:rsidRPr="00565D2C">
              <w:rPr>
                <w:sz w:val="24"/>
                <w:szCs w:val="24"/>
              </w:rPr>
              <w:t>8.93</w:t>
            </w:r>
          </w:p>
        </w:tc>
      </w:tr>
      <w:tr w:rsidR="00BF1D04" w:rsidRPr="00565D2C" w:rsidTr="005B4D10">
        <w:trPr>
          <w:trHeight w:val="405"/>
        </w:trPr>
        <w:tc>
          <w:tcPr>
            <w:tcW w:w="3573" w:type="dxa"/>
            <w:hideMark/>
          </w:tcPr>
          <w:p w:rsidR="00BF1D04" w:rsidRPr="00565D2C" w:rsidRDefault="00BF1D04" w:rsidP="00565D2C">
            <w:pPr>
              <w:jc w:val="both"/>
              <w:rPr>
                <w:sz w:val="24"/>
                <w:szCs w:val="24"/>
              </w:rPr>
            </w:pPr>
            <w:r w:rsidRPr="00565D2C">
              <w:rPr>
                <w:sz w:val="24"/>
                <w:szCs w:val="24"/>
              </w:rPr>
              <w:t>UNIDAD FINANCIERA INSTITUCIONAL</w:t>
            </w:r>
          </w:p>
        </w:tc>
        <w:tc>
          <w:tcPr>
            <w:tcW w:w="2268" w:type="dxa"/>
            <w:noWrap/>
          </w:tcPr>
          <w:p w:rsidR="00BF1D04" w:rsidRPr="00565D2C" w:rsidRDefault="00C11135" w:rsidP="00565D2C">
            <w:pPr>
              <w:jc w:val="both"/>
              <w:rPr>
                <w:sz w:val="24"/>
                <w:szCs w:val="24"/>
              </w:rPr>
            </w:pPr>
            <w:r w:rsidRPr="00565D2C">
              <w:rPr>
                <w:sz w:val="24"/>
                <w:szCs w:val="24"/>
              </w:rPr>
              <w:t>97.80</w:t>
            </w:r>
          </w:p>
        </w:tc>
        <w:tc>
          <w:tcPr>
            <w:tcW w:w="2835" w:type="dxa"/>
            <w:noWrap/>
          </w:tcPr>
          <w:p w:rsidR="00BF1D04" w:rsidRPr="00565D2C" w:rsidRDefault="00C11135" w:rsidP="00565D2C">
            <w:pPr>
              <w:jc w:val="both"/>
              <w:rPr>
                <w:sz w:val="24"/>
                <w:szCs w:val="24"/>
              </w:rPr>
            </w:pPr>
            <w:r w:rsidRPr="00565D2C">
              <w:rPr>
                <w:sz w:val="24"/>
                <w:szCs w:val="24"/>
              </w:rPr>
              <w:t>4.89</w:t>
            </w:r>
          </w:p>
        </w:tc>
      </w:tr>
      <w:tr w:rsidR="00BF1D04" w:rsidRPr="00565D2C" w:rsidTr="005B4D10">
        <w:trPr>
          <w:trHeight w:val="810"/>
        </w:trPr>
        <w:tc>
          <w:tcPr>
            <w:tcW w:w="3573" w:type="dxa"/>
            <w:hideMark/>
          </w:tcPr>
          <w:p w:rsidR="00BF1D04" w:rsidRPr="005C54E2" w:rsidRDefault="00BF1D04" w:rsidP="00565D2C">
            <w:pPr>
              <w:jc w:val="both"/>
              <w:rPr>
                <w:sz w:val="24"/>
                <w:szCs w:val="24"/>
                <w:lang w:val="es-SV"/>
              </w:rPr>
            </w:pPr>
            <w:r w:rsidRPr="005C54E2">
              <w:rPr>
                <w:sz w:val="24"/>
                <w:szCs w:val="24"/>
                <w:lang w:val="es-SV"/>
              </w:rPr>
              <w:t>UNIDAD DE ADQUISICIONES Y CONTRATACIONES INSTITUCIONAL</w:t>
            </w:r>
          </w:p>
        </w:tc>
        <w:tc>
          <w:tcPr>
            <w:tcW w:w="2268" w:type="dxa"/>
            <w:noWrap/>
          </w:tcPr>
          <w:p w:rsidR="00BF1D04" w:rsidRPr="00565D2C" w:rsidRDefault="00C11135" w:rsidP="00565D2C">
            <w:pPr>
              <w:jc w:val="both"/>
              <w:rPr>
                <w:sz w:val="24"/>
                <w:szCs w:val="24"/>
              </w:rPr>
            </w:pPr>
            <w:r w:rsidRPr="00565D2C">
              <w:rPr>
                <w:sz w:val="24"/>
                <w:szCs w:val="24"/>
              </w:rPr>
              <w:t>97.80</w:t>
            </w:r>
          </w:p>
        </w:tc>
        <w:tc>
          <w:tcPr>
            <w:tcW w:w="2835" w:type="dxa"/>
            <w:noWrap/>
          </w:tcPr>
          <w:p w:rsidR="00BF1D04" w:rsidRPr="00565D2C" w:rsidRDefault="00C11135" w:rsidP="00565D2C">
            <w:pPr>
              <w:jc w:val="both"/>
              <w:rPr>
                <w:sz w:val="24"/>
                <w:szCs w:val="24"/>
              </w:rPr>
            </w:pPr>
            <w:r w:rsidRPr="00565D2C">
              <w:rPr>
                <w:sz w:val="24"/>
                <w:szCs w:val="24"/>
              </w:rPr>
              <w:t>4.89</w:t>
            </w:r>
          </w:p>
        </w:tc>
      </w:tr>
      <w:tr w:rsidR="00BF1D04" w:rsidRPr="00565D2C" w:rsidTr="005B4D10">
        <w:trPr>
          <w:trHeight w:val="405"/>
        </w:trPr>
        <w:tc>
          <w:tcPr>
            <w:tcW w:w="3573" w:type="dxa"/>
            <w:hideMark/>
          </w:tcPr>
          <w:p w:rsidR="00BF1D04" w:rsidRPr="00565D2C" w:rsidRDefault="00BF1D04" w:rsidP="00565D2C">
            <w:pPr>
              <w:jc w:val="both"/>
              <w:rPr>
                <w:sz w:val="24"/>
                <w:szCs w:val="24"/>
              </w:rPr>
            </w:pPr>
            <w:r w:rsidRPr="00565D2C">
              <w:rPr>
                <w:sz w:val="24"/>
                <w:szCs w:val="24"/>
              </w:rPr>
              <w:t>SECRETARÍA GENERAL</w:t>
            </w:r>
          </w:p>
        </w:tc>
        <w:tc>
          <w:tcPr>
            <w:tcW w:w="2268" w:type="dxa"/>
            <w:noWrap/>
          </w:tcPr>
          <w:p w:rsidR="00BF1D04" w:rsidRPr="00565D2C" w:rsidRDefault="00905355" w:rsidP="00565D2C">
            <w:pPr>
              <w:jc w:val="both"/>
              <w:rPr>
                <w:sz w:val="24"/>
                <w:szCs w:val="24"/>
              </w:rPr>
            </w:pPr>
            <w:r w:rsidRPr="00565D2C">
              <w:rPr>
                <w:sz w:val="24"/>
                <w:szCs w:val="24"/>
              </w:rPr>
              <w:t>100</w:t>
            </w:r>
            <w:r w:rsidR="00AE5226" w:rsidRPr="00565D2C">
              <w:rPr>
                <w:sz w:val="24"/>
                <w:szCs w:val="24"/>
              </w:rPr>
              <w:t>.00</w:t>
            </w:r>
          </w:p>
        </w:tc>
        <w:tc>
          <w:tcPr>
            <w:tcW w:w="2835" w:type="dxa"/>
            <w:noWrap/>
          </w:tcPr>
          <w:p w:rsidR="00BF1D04" w:rsidRPr="00565D2C" w:rsidRDefault="00905355" w:rsidP="00565D2C">
            <w:pPr>
              <w:jc w:val="both"/>
              <w:rPr>
                <w:sz w:val="24"/>
                <w:szCs w:val="24"/>
              </w:rPr>
            </w:pPr>
            <w:r w:rsidRPr="00565D2C">
              <w:rPr>
                <w:sz w:val="24"/>
                <w:szCs w:val="24"/>
              </w:rPr>
              <w:t>5.00</w:t>
            </w:r>
          </w:p>
        </w:tc>
      </w:tr>
      <w:tr w:rsidR="00BF1D04" w:rsidRPr="00565D2C" w:rsidTr="005B4D10">
        <w:trPr>
          <w:trHeight w:val="405"/>
        </w:trPr>
        <w:tc>
          <w:tcPr>
            <w:tcW w:w="3573" w:type="dxa"/>
            <w:hideMark/>
          </w:tcPr>
          <w:p w:rsidR="00BF1D04" w:rsidRPr="00565D2C" w:rsidRDefault="00BF1D04" w:rsidP="00565D2C">
            <w:pPr>
              <w:jc w:val="both"/>
              <w:rPr>
                <w:sz w:val="24"/>
                <w:szCs w:val="24"/>
              </w:rPr>
            </w:pPr>
            <w:r w:rsidRPr="00565D2C">
              <w:rPr>
                <w:sz w:val="24"/>
                <w:szCs w:val="24"/>
              </w:rPr>
              <w:t>UNIDAD DE PLANIFICACIÓN</w:t>
            </w:r>
          </w:p>
        </w:tc>
        <w:tc>
          <w:tcPr>
            <w:tcW w:w="2268" w:type="dxa"/>
            <w:noWrap/>
          </w:tcPr>
          <w:p w:rsidR="00BF1D04" w:rsidRPr="00565D2C" w:rsidRDefault="00C11135" w:rsidP="00565D2C">
            <w:pPr>
              <w:jc w:val="both"/>
              <w:rPr>
                <w:sz w:val="24"/>
                <w:szCs w:val="24"/>
              </w:rPr>
            </w:pPr>
            <w:r w:rsidRPr="00565D2C">
              <w:rPr>
                <w:sz w:val="24"/>
                <w:szCs w:val="24"/>
              </w:rPr>
              <w:t>95.83</w:t>
            </w:r>
          </w:p>
        </w:tc>
        <w:tc>
          <w:tcPr>
            <w:tcW w:w="2835" w:type="dxa"/>
            <w:noWrap/>
          </w:tcPr>
          <w:p w:rsidR="00BF1D04" w:rsidRPr="00565D2C" w:rsidRDefault="00C11135" w:rsidP="00565D2C">
            <w:pPr>
              <w:jc w:val="both"/>
              <w:rPr>
                <w:sz w:val="24"/>
                <w:szCs w:val="24"/>
              </w:rPr>
            </w:pPr>
            <w:r w:rsidRPr="00565D2C">
              <w:rPr>
                <w:sz w:val="24"/>
                <w:szCs w:val="24"/>
              </w:rPr>
              <w:t>11.50</w:t>
            </w:r>
          </w:p>
        </w:tc>
      </w:tr>
      <w:tr w:rsidR="00BF1D04" w:rsidRPr="00565D2C" w:rsidTr="005B4D10">
        <w:trPr>
          <w:trHeight w:val="405"/>
        </w:trPr>
        <w:tc>
          <w:tcPr>
            <w:tcW w:w="3573" w:type="dxa"/>
            <w:hideMark/>
          </w:tcPr>
          <w:p w:rsidR="00BF1D04" w:rsidRPr="00565D2C" w:rsidRDefault="00BF1D04" w:rsidP="00565D2C">
            <w:pPr>
              <w:jc w:val="both"/>
              <w:rPr>
                <w:sz w:val="24"/>
                <w:szCs w:val="24"/>
              </w:rPr>
            </w:pPr>
            <w:r w:rsidRPr="00565D2C">
              <w:rPr>
                <w:sz w:val="24"/>
                <w:szCs w:val="24"/>
              </w:rPr>
              <w:t>AUDITORÍA INTERNA</w:t>
            </w:r>
          </w:p>
        </w:tc>
        <w:tc>
          <w:tcPr>
            <w:tcW w:w="2268" w:type="dxa"/>
            <w:noWrap/>
          </w:tcPr>
          <w:p w:rsidR="00BF1D04" w:rsidRPr="00565D2C" w:rsidRDefault="00905355" w:rsidP="00565D2C">
            <w:pPr>
              <w:jc w:val="both"/>
              <w:rPr>
                <w:sz w:val="24"/>
                <w:szCs w:val="24"/>
              </w:rPr>
            </w:pPr>
            <w:r w:rsidRPr="00565D2C">
              <w:rPr>
                <w:sz w:val="24"/>
                <w:szCs w:val="24"/>
              </w:rPr>
              <w:t>100</w:t>
            </w:r>
            <w:r w:rsidR="00AE5226" w:rsidRPr="00565D2C">
              <w:rPr>
                <w:sz w:val="24"/>
                <w:szCs w:val="24"/>
              </w:rPr>
              <w:t>.00</w:t>
            </w:r>
          </w:p>
        </w:tc>
        <w:tc>
          <w:tcPr>
            <w:tcW w:w="2835" w:type="dxa"/>
            <w:noWrap/>
          </w:tcPr>
          <w:p w:rsidR="00BF1D04" w:rsidRPr="00565D2C" w:rsidRDefault="00905355" w:rsidP="00565D2C">
            <w:pPr>
              <w:jc w:val="both"/>
              <w:rPr>
                <w:sz w:val="24"/>
                <w:szCs w:val="24"/>
              </w:rPr>
            </w:pPr>
            <w:r w:rsidRPr="00565D2C">
              <w:rPr>
                <w:sz w:val="24"/>
                <w:szCs w:val="24"/>
              </w:rPr>
              <w:t>5.00</w:t>
            </w:r>
          </w:p>
        </w:tc>
      </w:tr>
      <w:tr w:rsidR="00B82392" w:rsidRPr="00565D2C" w:rsidTr="005B4D10">
        <w:trPr>
          <w:trHeight w:val="405"/>
        </w:trPr>
        <w:tc>
          <w:tcPr>
            <w:tcW w:w="3573" w:type="dxa"/>
          </w:tcPr>
          <w:p w:rsidR="00B82392" w:rsidRPr="005C54E2" w:rsidRDefault="00B82392" w:rsidP="00565D2C">
            <w:pPr>
              <w:jc w:val="both"/>
              <w:rPr>
                <w:sz w:val="24"/>
                <w:szCs w:val="24"/>
                <w:lang w:val="es-SV"/>
              </w:rPr>
            </w:pPr>
            <w:r w:rsidRPr="005C54E2">
              <w:rPr>
                <w:sz w:val="24"/>
                <w:szCs w:val="24"/>
                <w:lang w:val="es-SV"/>
              </w:rPr>
              <w:t>UNIDAD DE ACCESO A LA INFORMACIÓN PÚBLICA</w:t>
            </w:r>
          </w:p>
        </w:tc>
        <w:tc>
          <w:tcPr>
            <w:tcW w:w="2268" w:type="dxa"/>
            <w:noWrap/>
          </w:tcPr>
          <w:p w:rsidR="00B82392" w:rsidRPr="00565D2C" w:rsidRDefault="00C11135" w:rsidP="00565D2C">
            <w:pPr>
              <w:jc w:val="both"/>
              <w:rPr>
                <w:sz w:val="24"/>
                <w:szCs w:val="24"/>
              </w:rPr>
            </w:pPr>
            <w:r w:rsidRPr="00565D2C">
              <w:rPr>
                <w:sz w:val="24"/>
                <w:szCs w:val="24"/>
              </w:rPr>
              <w:t>83.5</w:t>
            </w:r>
          </w:p>
        </w:tc>
        <w:tc>
          <w:tcPr>
            <w:tcW w:w="2835" w:type="dxa"/>
            <w:noWrap/>
          </w:tcPr>
          <w:p w:rsidR="00B82392" w:rsidRPr="00565D2C" w:rsidRDefault="00C11135" w:rsidP="00565D2C">
            <w:pPr>
              <w:jc w:val="both"/>
              <w:rPr>
                <w:sz w:val="24"/>
                <w:szCs w:val="24"/>
              </w:rPr>
            </w:pPr>
            <w:r w:rsidRPr="00565D2C">
              <w:rPr>
                <w:sz w:val="24"/>
                <w:szCs w:val="24"/>
              </w:rPr>
              <w:t>2.50</w:t>
            </w:r>
          </w:p>
        </w:tc>
      </w:tr>
      <w:tr w:rsidR="00BF1D04" w:rsidRPr="00565D2C" w:rsidTr="00387C4E">
        <w:trPr>
          <w:trHeight w:val="208"/>
        </w:trPr>
        <w:tc>
          <w:tcPr>
            <w:tcW w:w="5841" w:type="dxa"/>
            <w:gridSpan w:val="2"/>
          </w:tcPr>
          <w:p w:rsidR="00BF1D04" w:rsidRPr="00565D2C" w:rsidRDefault="00584AD6" w:rsidP="00CB39FA">
            <w:pPr>
              <w:jc w:val="right"/>
              <w:rPr>
                <w:sz w:val="24"/>
                <w:szCs w:val="24"/>
              </w:rPr>
            </w:pPr>
            <w:r w:rsidRPr="00565D2C">
              <w:rPr>
                <w:sz w:val="24"/>
                <w:szCs w:val="24"/>
              </w:rPr>
              <w:t xml:space="preserve">                                                       </w:t>
            </w:r>
            <w:r w:rsidR="00BB7ED3" w:rsidRPr="00565D2C">
              <w:rPr>
                <w:sz w:val="24"/>
                <w:szCs w:val="24"/>
              </w:rPr>
              <w:t xml:space="preserve">      E</w:t>
            </w:r>
            <w:r w:rsidR="00071ED7" w:rsidRPr="00565D2C">
              <w:rPr>
                <w:sz w:val="24"/>
                <w:szCs w:val="24"/>
              </w:rPr>
              <w:t xml:space="preserve">VALUACIÓN </w:t>
            </w:r>
            <w:r w:rsidR="00CB39FA">
              <w:rPr>
                <w:sz w:val="24"/>
                <w:szCs w:val="24"/>
              </w:rPr>
              <w:t xml:space="preserve">     </w:t>
            </w:r>
            <w:r w:rsidR="00AE5226" w:rsidRPr="00565D2C">
              <w:rPr>
                <w:sz w:val="24"/>
                <w:szCs w:val="24"/>
              </w:rPr>
              <w:t xml:space="preserve">PONDERADA </w:t>
            </w:r>
            <w:r w:rsidR="00071ED7" w:rsidRPr="00565D2C">
              <w:rPr>
                <w:sz w:val="24"/>
                <w:szCs w:val="24"/>
              </w:rPr>
              <w:t xml:space="preserve">PRIMER </w:t>
            </w:r>
            <w:r w:rsidR="00C11135" w:rsidRPr="00565D2C">
              <w:rPr>
                <w:sz w:val="24"/>
                <w:szCs w:val="24"/>
              </w:rPr>
              <w:t>SEMESTRE</w:t>
            </w:r>
            <w:r w:rsidR="00AE5226" w:rsidRPr="00565D2C">
              <w:rPr>
                <w:sz w:val="24"/>
                <w:szCs w:val="24"/>
              </w:rPr>
              <w:t xml:space="preserve"> 2018</w:t>
            </w:r>
          </w:p>
        </w:tc>
        <w:tc>
          <w:tcPr>
            <w:tcW w:w="2835" w:type="dxa"/>
            <w:noWrap/>
          </w:tcPr>
          <w:p w:rsidR="00BF1D04" w:rsidRPr="00565D2C" w:rsidRDefault="003D055E" w:rsidP="00565D2C">
            <w:pPr>
              <w:jc w:val="both"/>
              <w:rPr>
                <w:sz w:val="24"/>
                <w:szCs w:val="24"/>
              </w:rPr>
            </w:pPr>
            <w:r>
              <w:rPr>
                <w:sz w:val="24"/>
                <w:szCs w:val="24"/>
              </w:rPr>
              <w:t>95.96</w:t>
            </w:r>
            <w:r w:rsidR="00C11135" w:rsidRPr="00565D2C">
              <w:rPr>
                <w:sz w:val="24"/>
                <w:szCs w:val="24"/>
              </w:rPr>
              <w:t>%</w:t>
            </w:r>
          </w:p>
        </w:tc>
      </w:tr>
    </w:tbl>
    <w:p w:rsidR="000113A9" w:rsidRPr="00565D2C" w:rsidRDefault="000113A9" w:rsidP="00565D2C">
      <w:pPr>
        <w:spacing w:after="0" w:line="240" w:lineRule="auto"/>
        <w:jc w:val="both"/>
        <w:rPr>
          <w:rFonts w:ascii="Times New Roman" w:hAnsi="Times New Roman" w:cs="Times New Roman"/>
          <w:sz w:val="24"/>
          <w:szCs w:val="24"/>
        </w:rPr>
      </w:pPr>
    </w:p>
    <w:p w:rsidR="00E008B1" w:rsidRDefault="00763CC4"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 xml:space="preserve">El esfuerzo realizado por la SC en </w:t>
      </w:r>
      <w:r w:rsidR="0018754C" w:rsidRPr="00565D2C">
        <w:rPr>
          <w:rFonts w:ascii="Times New Roman" w:hAnsi="Times New Roman" w:cs="Times New Roman"/>
          <w:sz w:val="24"/>
          <w:szCs w:val="24"/>
        </w:rPr>
        <w:t xml:space="preserve">el primer </w:t>
      </w:r>
      <w:r w:rsidR="00C11135" w:rsidRPr="00565D2C">
        <w:rPr>
          <w:rFonts w:ascii="Times New Roman" w:hAnsi="Times New Roman" w:cs="Times New Roman"/>
          <w:sz w:val="24"/>
          <w:szCs w:val="24"/>
        </w:rPr>
        <w:t>semestre</w:t>
      </w:r>
      <w:r w:rsidR="0018754C" w:rsidRPr="00565D2C">
        <w:rPr>
          <w:rFonts w:ascii="Times New Roman" w:hAnsi="Times New Roman" w:cs="Times New Roman"/>
          <w:sz w:val="24"/>
          <w:szCs w:val="24"/>
        </w:rPr>
        <w:t xml:space="preserve"> de </w:t>
      </w:r>
      <w:r w:rsidRPr="00565D2C">
        <w:rPr>
          <w:rFonts w:ascii="Times New Roman" w:hAnsi="Times New Roman" w:cs="Times New Roman"/>
          <w:sz w:val="24"/>
          <w:szCs w:val="24"/>
        </w:rPr>
        <w:t>201</w:t>
      </w:r>
      <w:r w:rsidR="009F6E95" w:rsidRPr="00565D2C">
        <w:rPr>
          <w:rFonts w:ascii="Times New Roman" w:hAnsi="Times New Roman" w:cs="Times New Roman"/>
          <w:sz w:val="24"/>
          <w:szCs w:val="24"/>
        </w:rPr>
        <w:t>8</w:t>
      </w:r>
      <w:r w:rsidRPr="00565D2C">
        <w:rPr>
          <w:rFonts w:ascii="Times New Roman" w:hAnsi="Times New Roman" w:cs="Times New Roman"/>
          <w:sz w:val="24"/>
          <w:szCs w:val="24"/>
        </w:rPr>
        <w:t xml:space="preserve"> ha cosechado muy buenos frutos y eso se </w:t>
      </w:r>
      <w:r w:rsidR="002D3828" w:rsidRPr="00565D2C">
        <w:rPr>
          <w:rFonts w:ascii="Times New Roman" w:hAnsi="Times New Roman" w:cs="Times New Roman"/>
          <w:sz w:val="24"/>
          <w:szCs w:val="24"/>
        </w:rPr>
        <w:t xml:space="preserve">ve reflejado en el alcance del </w:t>
      </w:r>
      <w:r w:rsidR="00C11135" w:rsidRPr="00565D2C">
        <w:rPr>
          <w:rFonts w:ascii="Times New Roman" w:hAnsi="Times New Roman" w:cs="Times New Roman"/>
          <w:sz w:val="24"/>
          <w:szCs w:val="24"/>
        </w:rPr>
        <w:t>95.9</w:t>
      </w:r>
      <w:r w:rsidR="003D055E">
        <w:rPr>
          <w:rFonts w:ascii="Times New Roman" w:hAnsi="Times New Roman" w:cs="Times New Roman"/>
          <w:sz w:val="24"/>
          <w:szCs w:val="24"/>
        </w:rPr>
        <w:t>6</w:t>
      </w:r>
      <w:r w:rsidR="00C11135" w:rsidRPr="00565D2C">
        <w:rPr>
          <w:rFonts w:ascii="Times New Roman" w:hAnsi="Times New Roman" w:cs="Times New Roman"/>
          <w:sz w:val="24"/>
          <w:szCs w:val="24"/>
        </w:rPr>
        <w:t xml:space="preserve">% </w:t>
      </w:r>
      <w:r w:rsidRPr="00565D2C">
        <w:rPr>
          <w:rFonts w:ascii="Times New Roman" w:hAnsi="Times New Roman" w:cs="Times New Roman"/>
          <w:sz w:val="24"/>
          <w:szCs w:val="24"/>
        </w:rPr>
        <w:t xml:space="preserve">en la evaluación </w:t>
      </w:r>
      <w:r w:rsidR="00C11135" w:rsidRPr="00565D2C">
        <w:rPr>
          <w:rFonts w:ascii="Times New Roman" w:hAnsi="Times New Roman" w:cs="Times New Roman"/>
          <w:sz w:val="24"/>
          <w:szCs w:val="24"/>
        </w:rPr>
        <w:t>ponderada</w:t>
      </w:r>
      <w:r w:rsidRPr="00565D2C">
        <w:rPr>
          <w:rFonts w:ascii="Times New Roman" w:hAnsi="Times New Roman" w:cs="Times New Roman"/>
          <w:sz w:val="24"/>
          <w:szCs w:val="24"/>
        </w:rPr>
        <w:t>, lo que sin duda contribuye a cumplir la Visión, Misión y Objetivos institucionales en favor de mejorar la eficiencia económica y el bienestar de los consumidores</w:t>
      </w:r>
      <w:r w:rsidR="00034BEE" w:rsidRPr="00565D2C">
        <w:rPr>
          <w:rFonts w:ascii="Times New Roman" w:hAnsi="Times New Roman" w:cs="Times New Roman"/>
          <w:sz w:val="24"/>
          <w:szCs w:val="24"/>
        </w:rPr>
        <w:t>.</w:t>
      </w:r>
      <w:r w:rsidR="00114B4B">
        <w:rPr>
          <w:rFonts w:ascii="Times New Roman" w:hAnsi="Times New Roman" w:cs="Times New Roman"/>
          <w:sz w:val="24"/>
          <w:szCs w:val="24"/>
        </w:rPr>
        <w:t xml:space="preserve"> </w:t>
      </w:r>
    </w:p>
    <w:p w:rsidR="00114B4B" w:rsidRPr="00565D2C" w:rsidRDefault="00114B4B" w:rsidP="00565D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 mayor detalle ver el anexo 1 “Seguimiento semestral al plan estratégico y al plan operativo 2018”.</w:t>
      </w:r>
    </w:p>
    <w:p w:rsidR="00BB67B4" w:rsidRPr="00565D2C" w:rsidRDefault="00BB67B4" w:rsidP="00565D2C">
      <w:pPr>
        <w:spacing w:after="0" w:line="240" w:lineRule="auto"/>
        <w:jc w:val="both"/>
        <w:rPr>
          <w:rFonts w:ascii="Times New Roman" w:hAnsi="Times New Roman" w:cs="Times New Roman"/>
          <w:b/>
          <w:sz w:val="24"/>
          <w:szCs w:val="24"/>
        </w:rPr>
      </w:pPr>
    </w:p>
    <w:p w:rsidR="00FF3C7B" w:rsidRPr="00565D2C" w:rsidRDefault="00DB37E5" w:rsidP="00565D2C">
      <w:pPr>
        <w:pStyle w:val="Ttulo1"/>
        <w:numPr>
          <w:ilvl w:val="0"/>
          <w:numId w:val="11"/>
        </w:numPr>
        <w:spacing w:line="240" w:lineRule="auto"/>
        <w:rPr>
          <w:rFonts w:ascii="Times New Roman" w:hAnsi="Times New Roman" w:cs="Times New Roman"/>
          <w:sz w:val="24"/>
        </w:rPr>
      </w:pPr>
      <w:bookmarkStart w:id="16" w:name="_Toc523143310"/>
      <w:r w:rsidRPr="00565D2C">
        <w:rPr>
          <w:rFonts w:ascii="Times New Roman" w:hAnsi="Times New Roman" w:cs="Times New Roman"/>
          <w:sz w:val="24"/>
        </w:rPr>
        <w:t>Evaluación de la matriz de riesgos institucional.</w:t>
      </w:r>
      <w:bookmarkEnd w:id="16"/>
    </w:p>
    <w:p w:rsidR="00FF3C7B" w:rsidRPr="00565D2C" w:rsidRDefault="00FF3C7B" w:rsidP="00565D2C">
      <w:pPr>
        <w:spacing w:after="0" w:line="240" w:lineRule="auto"/>
        <w:jc w:val="both"/>
        <w:rPr>
          <w:rFonts w:ascii="Times New Roman" w:hAnsi="Times New Roman" w:cs="Times New Roman"/>
          <w:sz w:val="24"/>
          <w:szCs w:val="24"/>
        </w:rPr>
      </w:pPr>
    </w:p>
    <w:p w:rsidR="00770996" w:rsidRPr="00565D2C" w:rsidRDefault="00D5483D"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La SC cuenta con una matriz de riesgos donde se identifican las actividades sustantivas de la institución que conllevan algún riesgo, su impacto y probabilidad de que ocurra ese riesgo y las medidas a tomar para mitigarlo o evitarlo.</w:t>
      </w:r>
    </w:p>
    <w:p w:rsidR="00956232" w:rsidRPr="00565D2C" w:rsidRDefault="00956232" w:rsidP="00565D2C">
      <w:pPr>
        <w:spacing w:after="0" w:line="240" w:lineRule="auto"/>
        <w:jc w:val="both"/>
        <w:rPr>
          <w:rFonts w:ascii="Times New Roman" w:hAnsi="Times New Roman" w:cs="Times New Roman"/>
          <w:sz w:val="24"/>
          <w:szCs w:val="24"/>
        </w:rPr>
      </w:pPr>
    </w:p>
    <w:p w:rsidR="00787DB8" w:rsidRDefault="00956232"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En el periodo evaluado</w:t>
      </w:r>
      <w:r w:rsidR="003E21BF" w:rsidRPr="00565D2C">
        <w:rPr>
          <w:rFonts w:ascii="Times New Roman" w:hAnsi="Times New Roman" w:cs="Times New Roman"/>
          <w:sz w:val="24"/>
          <w:szCs w:val="24"/>
        </w:rPr>
        <w:t>, de las 22 actividades que conllevan un grado de riesgo se cumplió con las medidas a tomar, excepto en la que tiene que ver con procedimiento sancionatorio ya que no fue necesario implementar medida ya que ningún agente económico incumplió con la información solicitada.</w:t>
      </w:r>
      <w:r w:rsidRPr="00565D2C">
        <w:rPr>
          <w:rFonts w:ascii="Times New Roman" w:hAnsi="Times New Roman" w:cs="Times New Roman"/>
          <w:sz w:val="24"/>
          <w:szCs w:val="24"/>
        </w:rPr>
        <w:t xml:space="preserve"> </w:t>
      </w:r>
      <w:r w:rsidR="00787DB8">
        <w:rPr>
          <w:rFonts w:ascii="Times New Roman" w:hAnsi="Times New Roman" w:cs="Times New Roman"/>
          <w:sz w:val="24"/>
          <w:szCs w:val="24"/>
        </w:rPr>
        <w:t xml:space="preserve">Por lo que se puede decir que la institución ha logrado controlar el impacto negativo que conllevan ciertas actividades, a favor del logro de los objetivos. </w:t>
      </w:r>
    </w:p>
    <w:p w:rsidR="00956232" w:rsidRPr="00565D2C" w:rsidRDefault="00A10308" w:rsidP="00565D2C">
      <w:pPr>
        <w:spacing w:after="0" w:line="240" w:lineRule="auto"/>
        <w:jc w:val="both"/>
        <w:rPr>
          <w:rFonts w:ascii="Times New Roman" w:hAnsi="Times New Roman" w:cs="Times New Roman"/>
          <w:sz w:val="24"/>
          <w:szCs w:val="24"/>
        </w:rPr>
      </w:pPr>
      <w:r w:rsidRPr="00565D2C">
        <w:rPr>
          <w:rFonts w:ascii="Times New Roman" w:hAnsi="Times New Roman" w:cs="Times New Roman"/>
          <w:sz w:val="24"/>
          <w:szCs w:val="24"/>
        </w:rPr>
        <w:t>Para mayor detalle ver el anexo 2 “Seguimiento y evaluación de la matriz de riesgos”.</w:t>
      </w:r>
    </w:p>
    <w:p w:rsidR="00956232" w:rsidRPr="00565D2C" w:rsidRDefault="00956232" w:rsidP="00565D2C">
      <w:pPr>
        <w:spacing w:after="0" w:line="240" w:lineRule="auto"/>
        <w:jc w:val="both"/>
        <w:rPr>
          <w:rFonts w:ascii="Times New Roman" w:hAnsi="Times New Roman" w:cs="Times New Roman"/>
          <w:sz w:val="24"/>
          <w:szCs w:val="24"/>
        </w:rPr>
      </w:pPr>
    </w:p>
    <w:sectPr w:rsidR="00956232" w:rsidRPr="00565D2C" w:rsidSect="00D41FB7">
      <w:footerReference w:type="default" r:id="rId38"/>
      <w:pgSz w:w="12240" w:h="15840" w:code="1"/>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B59" w:rsidRDefault="00D24B59" w:rsidP="00F179C6">
      <w:pPr>
        <w:spacing w:after="0" w:line="240" w:lineRule="auto"/>
      </w:pPr>
      <w:r>
        <w:separator/>
      </w:r>
    </w:p>
  </w:endnote>
  <w:endnote w:type="continuationSeparator" w:id="0">
    <w:p w:rsidR="00D24B59" w:rsidRDefault="00D24B59" w:rsidP="00F1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0D7" w:rsidRDefault="000A00D7">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917119" w:rsidRPr="00917119">
      <w:rPr>
        <w:caps/>
        <w:noProof/>
        <w:color w:val="4F81BD" w:themeColor="accent1"/>
        <w:lang w:val="es-ES"/>
      </w:rPr>
      <w:t>21</w:t>
    </w:r>
    <w:r>
      <w:rPr>
        <w:caps/>
        <w:color w:val="4F81BD" w:themeColor="accent1"/>
      </w:rPr>
      <w:fldChar w:fldCharType="end"/>
    </w:r>
  </w:p>
  <w:p w:rsidR="000A00D7" w:rsidRDefault="000A00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B59" w:rsidRDefault="00D24B59" w:rsidP="00F179C6">
      <w:pPr>
        <w:spacing w:after="0" w:line="240" w:lineRule="auto"/>
      </w:pPr>
      <w:r>
        <w:separator/>
      </w:r>
    </w:p>
  </w:footnote>
  <w:footnote w:type="continuationSeparator" w:id="0">
    <w:p w:rsidR="00D24B59" w:rsidRDefault="00D24B59" w:rsidP="00F17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CC3"/>
    <w:multiLevelType w:val="hybridMultilevel"/>
    <w:tmpl w:val="84868F0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1F95DC9"/>
    <w:multiLevelType w:val="hybridMultilevel"/>
    <w:tmpl w:val="6A0E0E5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1D2DFC"/>
    <w:multiLevelType w:val="hybridMultilevel"/>
    <w:tmpl w:val="B9824B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837218"/>
    <w:multiLevelType w:val="hybridMultilevel"/>
    <w:tmpl w:val="9D3A412A"/>
    <w:lvl w:ilvl="0" w:tplc="440A0011">
      <w:start w:val="1"/>
      <w:numFmt w:val="decimal"/>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4" w15:restartNumberingAfterBreak="0">
    <w:nsid w:val="04927E69"/>
    <w:multiLevelType w:val="hybridMultilevel"/>
    <w:tmpl w:val="BB02E2A6"/>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095A7952"/>
    <w:multiLevelType w:val="hybridMultilevel"/>
    <w:tmpl w:val="B7CA4E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B673180"/>
    <w:multiLevelType w:val="hybridMultilevel"/>
    <w:tmpl w:val="77B25E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EAC519F"/>
    <w:multiLevelType w:val="hybridMultilevel"/>
    <w:tmpl w:val="7A6618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53C366C"/>
    <w:multiLevelType w:val="hybridMultilevel"/>
    <w:tmpl w:val="9FA4E1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71D4702"/>
    <w:multiLevelType w:val="hybridMultilevel"/>
    <w:tmpl w:val="B1FE09CE"/>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15:restartNumberingAfterBreak="0">
    <w:nsid w:val="3CFD07D0"/>
    <w:multiLevelType w:val="hybridMultilevel"/>
    <w:tmpl w:val="0DB2C7A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3DC91827"/>
    <w:multiLevelType w:val="hybridMultilevel"/>
    <w:tmpl w:val="E6865A26"/>
    <w:lvl w:ilvl="0" w:tplc="8BF00C80">
      <w:start w:val="1"/>
      <w:numFmt w:val="upperRoman"/>
      <w:lvlText w:val="%1."/>
      <w:lvlJc w:val="left"/>
      <w:pPr>
        <w:ind w:left="1080" w:hanging="720"/>
      </w:pPr>
      <w:rPr>
        <w:rFonts w:hint="default"/>
      </w:rPr>
    </w:lvl>
    <w:lvl w:ilvl="1" w:tplc="64D4AE2E">
      <w:start w:val="1"/>
      <w:numFmt w:val="decimal"/>
      <w:lvlText w:val="%2)"/>
      <w:lvlJc w:val="left"/>
      <w:pPr>
        <w:ind w:left="36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19D6AD4"/>
    <w:multiLevelType w:val="hybridMultilevel"/>
    <w:tmpl w:val="412A731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47431950"/>
    <w:multiLevelType w:val="hybridMultilevel"/>
    <w:tmpl w:val="91A2572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15:restartNumberingAfterBreak="0">
    <w:nsid w:val="479975F0"/>
    <w:multiLevelType w:val="hybridMultilevel"/>
    <w:tmpl w:val="871EF60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7ED1044"/>
    <w:multiLevelType w:val="hybridMultilevel"/>
    <w:tmpl w:val="6EF05198"/>
    <w:lvl w:ilvl="0" w:tplc="440A0011">
      <w:start w:val="1"/>
      <w:numFmt w:val="decimal"/>
      <w:lvlText w:val="%1)"/>
      <w:lvlJc w:val="left"/>
      <w:pPr>
        <w:ind w:left="1080" w:hanging="720"/>
      </w:pPr>
      <w:rPr>
        <w:rFonts w:hint="default"/>
      </w:rPr>
    </w:lvl>
    <w:lvl w:ilvl="1" w:tplc="64D4AE2E">
      <w:start w:val="1"/>
      <w:numFmt w:val="decimal"/>
      <w:lvlText w:val="%2)"/>
      <w:lvlJc w:val="left"/>
      <w:pPr>
        <w:ind w:left="36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0406CA3"/>
    <w:multiLevelType w:val="hybridMultilevel"/>
    <w:tmpl w:val="9A3684D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B3602E"/>
    <w:multiLevelType w:val="hybridMultilevel"/>
    <w:tmpl w:val="08BA3B40"/>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2692024"/>
    <w:multiLevelType w:val="hybridMultilevel"/>
    <w:tmpl w:val="FAA672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8320670"/>
    <w:multiLevelType w:val="hybridMultilevel"/>
    <w:tmpl w:val="B5DA15EA"/>
    <w:lvl w:ilvl="0" w:tplc="1AFE024A">
      <w:start w:val="1"/>
      <w:numFmt w:val="upperLetter"/>
      <w:pStyle w:val="Ttulo2"/>
      <w:lvlText w:val="%1. "/>
      <w:lvlJc w:val="left"/>
      <w:pPr>
        <w:ind w:left="360" w:hanging="360"/>
      </w:pPr>
      <w:rPr>
        <w:rFonts w:hint="default"/>
        <w:b/>
      </w:rPr>
    </w:lvl>
    <w:lvl w:ilvl="1" w:tplc="F914FECA">
      <w:start w:val="1"/>
      <w:numFmt w:val="decimal"/>
      <w:lvlText w:val="%2."/>
      <w:lvlJc w:val="left"/>
      <w:pPr>
        <w:ind w:left="1364" w:hanging="360"/>
      </w:pPr>
      <w:rPr>
        <w:rFonts w:hint="default"/>
        <w:b/>
      </w:rPr>
    </w:lvl>
    <w:lvl w:ilvl="2" w:tplc="440A001B">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0" w15:restartNumberingAfterBreak="0">
    <w:nsid w:val="6C2F256B"/>
    <w:multiLevelType w:val="hybridMultilevel"/>
    <w:tmpl w:val="B05089B2"/>
    <w:lvl w:ilvl="0" w:tplc="B9C06E3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77664FD0"/>
    <w:multiLevelType w:val="hybridMultilevel"/>
    <w:tmpl w:val="6ECC1642"/>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num w:numId="1">
    <w:abstractNumId w:val="19"/>
  </w:num>
  <w:num w:numId="2">
    <w:abstractNumId w:val="14"/>
  </w:num>
  <w:num w:numId="3">
    <w:abstractNumId w:val="5"/>
  </w:num>
  <w:num w:numId="4">
    <w:abstractNumId w:val="18"/>
  </w:num>
  <w:num w:numId="5">
    <w:abstractNumId w:val="1"/>
  </w:num>
  <w:num w:numId="6">
    <w:abstractNumId w:val="20"/>
  </w:num>
  <w:num w:numId="7">
    <w:abstractNumId w:val="2"/>
  </w:num>
  <w:num w:numId="8">
    <w:abstractNumId w:val="6"/>
  </w:num>
  <w:num w:numId="9">
    <w:abstractNumId w:val="16"/>
  </w:num>
  <w:num w:numId="10">
    <w:abstractNumId w:val="8"/>
  </w:num>
  <w:num w:numId="11">
    <w:abstractNumId w:val="11"/>
  </w:num>
  <w:num w:numId="12">
    <w:abstractNumId w:val="7"/>
  </w:num>
  <w:num w:numId="13">
    <w:abstractNumId w:val="1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5"/>
  </w:num>
  <w:num w:numId="17">
    <w:abstractNumId w:val="21"/>
  </w:num>
  <w:num w:numId="18">
    <w:abstractNumId w:val="12"/>
  </w:num>
  <w:num w:numId="19">
    <w:abstractNumId w:val="4"/>
  </w:num>
  <w:num w:numId="20">
    <w:abstractNumId w:val="0"/>
  </w:num>
  <w:num w:numId="21">
    <w:abstractNumId w:val="9"/>
  </w:num>
  <w:num w:numId="2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54E"/>
    <w:rsid w:val="00001E78"/>
    <w:rsid w:val="0000212C"/>
    <w:rsid w:val="0000362A"/>
    <w:rsid w:val="00004331"/>
    <w:rsid w:val="00004C85"/>
    <w:rsid w:val="00005926"/>
    <w:rsid w:val="00007680"/>
    <w:rsid w:val="000113A9"/>
    <w:rsid w:val="0001219A"/>
    <w:rsid w:val="00013D7D"/>
    <w:rsid w:val="0001555F"/>
    <w:rsid w:val="00016889"/>
    <w:rsid w:val="00016DCF"/>
    <w:rsid w:val="00017DB9"/>
    <w:rsid w:val="00021EB5"/>
    <w:rsid w:val="0002403B"/>
    <w:rsid w:val="000245E5"/>
    <w:rsid w:val="00025F23"/>
    <w:rsid w:val="000317B5"/>
    <w:rsid w:val="0003186F"/>
    <w:rsid w:val="000318A4"/>
    <w:rsid w:val="00034BEE"/>
    <w:rsid w:val="00036232"/>
    <w:rsid w:val="00036734"/>
    <w:rsid w:val="00045016"/>
    <w:rsid w:val="00045BFD"/>
    <w:rsid w:val="000464C4"/>
    <w:rsid w:val="00050EE6"/>
    <w:rsid w:val="000531D2"/>
    <w:rsid w:val="00053B2C"/>
    <w:rsid w:val="00053CD3"/>
    <w:rsid w:val="00055598"/>
    <w:rsid w:val="00055AF8"/>
    <w:rsid w:val="00055B6C"/>
    <w:rsid w:val="000565F7"/>
    <w:rsid w:val="00056880"/>
    <w:rsid w:val="00057A8C"/>
    <w:rsid w:val="0006246C"/>
    <w:rsid w:val="00063034"/>
    <w:rsid w:val="000636F8"/>
    <w:rsid w:val="00064C1B"/>
    <w:rsid w:val="00065650"/>
    <w:rsid w:val="00067090"/>
    <w:rsid w:val="000702A9"/>
    <w:rsid w:val="0007040D"/>
    <w:rsid w:val="000705BE"/>
    <w:rsid w:val="00071ED7"/>
    <w:rsid w:val="00072B60"/>
    <w:rsid w:val="00072D6A"/>
    <w:rsid w:val="00076760"/>
    <w:rsid w:val="00077AA9"/>
    <w:rsid w:val="00077AF5"/>
    <w:rsid w:val="0008216E"/>
    <w:rsid w:val="00082580"/>
    <w:rsid w:val="00082E74"/>
    <w:rsid w:val="000849FE"/>
    <w:rsid w:val="00084DED"/>
    <w:rsid w:val="00091E38"/>
    <w:rsid w:val="00095CAD"/>
    <w:rsid w:val="00097790"/>
    <w:rsid w:val="000A00D7"/>
    <w:rsid w:val="000A15CA"/>
    <w:rsid w:val="000A2595"/>
    <w:rsid w:val="000A261D"/>
    <w:rsid w:val="000A2FC5"/>
    <w:rsid w:val="000A33E1"/>
    <w:rsid w:val="000A3DFD"/>
    <w:rsid w:val="000A5785"/>
    <w:rsid w:val="000A6577"/>
    <w:rsid w:val="000B0DA1"/>
    <w:rsid w:val="000B1F43"/>
    <w:rsid w:val="000B3053"/>
    <w:rsid w:val="000B4F94"/>
    <w:rsid w:val="000C0889"/>
    <w:rsid w:val="000C18CB"/>
    <w:rsid w:val="000C3165"/>
    <w:rsid w:val="000C5981"/>
    <w:rsid w:val="000C63E3"/>
    <w:rsid w:val="000C78C3"/>
    <w:rsid w:val="000D1CB6"/>
    <w:rsid w:val="000D24A0"/>
    <w:rsid w:val="000D3507"/>
    <w:rsid w:val="000D37F2"/>
    <w:rsid w:val="000D4348"/>
    <w:rsid w:val="000D51C4"/>
    <w:rsid w:val="000D67F0"/>
    <w:rsid w:val="000E008A"/>
    <w:rsid w:val="000E0F24"/>
    <w:rsid w:val="000E2397"/>
    <w:rsid w:val="000E35A7"/>
    <w:rsid w:val="000E4499"/>
    <w:rsid w:val="000F43E0"/>
    <w:rsid w:val="000F5BA2"/>
    <w:rsid w:val="000F7C48"/>
    <w:rsid w:val="000F7E7D"/>
    <w:rsid w:val="001027B9"/>
    <w:rsid w:val="00102CC0"/>
    <w:rsid w:val="001033A2"/>
    <w:rsid w:val="00104104"/>
    <w:rsid w:val="00104B4A"/>
    <w:rsid w:val="00104CE9"/>
    <w:rsid w:val="00105668"/>
    <w:rsid w:val="00107C5C"/>
    <w:rsid w:val="00111788"/>
    <w:rsid w:val="0011284F"/>
    <w:rsid w:val="001133FE"/>
    <w:rsid w:val="00113757"/>
    <w:rsid w:val="00114B4B"/>
    <w:rsid w:val="00117F8B"/>
    <w:rsid w:val="00122D6F"/>
    <w:rsid w:val="00123B28"/>
    <w:rsid w:val="0012731F"/>
    <w:rsid w:val="00132792"/>
    <w:rsid w:val="00132F2B"/>
    <w:rsid w:val="00135E73"/>
    <w:rsid w:val="00136A48"/>
    <w:rsid w:val="00136D15"/>
    <w:rsid w:val="00142D86"/>
    <w:rsid w:val="001441DD"/>
    <w:rsid w:val="0014498C"/>
    <w:rsid w:val="00147192"/>
    <w:rsid w:val="001520EF"/>
    <w:rsid w:val="0015238B"/>
    <w:rsid w:val="00155DA0"/>
    <w:rsid w:val="00156DBF"/>
    <w:rsid w:val="00160228"/>
    <w:rsid w:val="00160A69"/>
    <w:rsid w:val="00162360"/>
    <w:rsid w:val="00167F8D"/>
    <w:rsid w:val="00172D72"/>
    <w:rsid w:val="00174B34"/>
    <w:rsid w:val="00176361"/>
    <w:rsid w:val="00176FE5"/>
    <w:rsid w:val="001773B1"/>
    <w:rsid w:val="001810F4"/>
    <w:rsid w:val="00182CB0"/>
    <w:rsid w:val="001844C7"/>
    <w:rsid w:val="001856F7"/>
    <w:rsid w:val="00186CE4"/>
    <w:rsid w:val="0018754C"/>
    <w:rsid w:val="00191E1B"/>
    <w:rsid w:val="0019240F"/>
    <w:rsid w:val="00192C0A"/>
    <w:rsid w:val="00192D1E"/>
    <w:rsid w:val="001948D7"/>
    <w:rsid w:val="00195FC7"/>
    <w:rsid w:val="00196991"/>
    <w:rsid w:val="00197618"/>
    <w:rsid w:val="001A024E"/>
    <w:rsid w:val="001A0BB5"/>
    <w:rsid w:val="001A15AD"/>
    <w:rsid w:val="001B0258"/>
    <w:rsid w:val="001B14AB"/>
    <w:rsid w:val="001B15EA"/>
    <w:rsid w:val="001B6025"/>
    <w:rsid w:val="001C1E97"/>
    <w:rsid w:val="001C3ECC"/>
    <w:rsid w:val="001C4B5B"/>
    <w:rsid w:val="001C4C54"/>
    <w:rsid w:val="001C4CFD"/>
    <w:rsid w:val="001C59C6"/>
    <w:rsid w:val="001C5CB6"/>
    <w:rsid w:val="001D1E46"/>
    <w:rsid w:val="001D2608"/>
    <w:rsid w:val="001D7CE8"/>
    <w:rsid w:val="001E0425"/>
    <w:rsid w:val="001E1641"/>
    <w:rsid w:val="001E20ED"/>
    <w:rsid w:val="001E23DE"/>
    <w:rsid w:val="001E5A3B"/>
    <w:rsid w:val="001E5E9E"/>
    <w:rsid w:val="001F0384"/>
    <w:rsid w:val="001F0841"/>
    <w:rsid w:val="001F2520"/>
    <w:rsid w:val="001F3C94"/>
    <w:rsid w:val="001F3D21"/>
    <w:rsid w:val="00200260"/>
    <w:rsid w:val="00200395"/>
    <w:rsid w:val="002044EE"/>
    <w:rsid w:val="00205A05"/>
    <w:rsid w:val="00207B55"/>
    <w:rsid w:val="002131D6"/>
    <w:rsid w:val="00215842"/>
    <w:rsid w:val="0021633A"/>
    <w:rsid w:val="0022111D"/>
    <w:rsid w:val="00222AB0"/>
    <w:rsid w:val="00224B2C"/>
    <w:rsid w:val="002266D1"/>
    <w:rsid w:val="00226A24"/>
    <w:rsid w:val="00227D05"/>
    <w:rsid w:val="002306CE"/>
    <w:rsid w:val="00230812"/>
    <w:rsid w:val="002311E4"/>
    <w:rsid w:val="002326B8"/>
    <w:rsid w:val="00241BAF"/>
    <w:rsid w:val="00247593"/>
    <w:rsid w:val="0025035D"/>
    <w:rsid w:val="00250B64"/>
    <w:rsid w:val="00250B94"/>
    <w:rsid w:val="00251807"/>
    <w:rsid w:val="00252394"/>
    <w:rsid w:val="0025508B"/>
    <w:rsid w:val="002575BA"/>
    <w:rsid w:val="00257DD6"/>
    <w:rsid w:val="002668AF"/>
    <w:rsid w:val="002745B3"/>
    <w:rsid w:val="00280797"/>
    <w:rsid w:val="00281833"/>
    <w:rsid w:val="00282CAD"/>
    <w:rsid w:val="002841C1"/>
    <w:rsid w:val="00285E9F"/>
    <w:rsid w:val="00287E4D"/>
    <w:rsid w:val="00290998"/>
    <w:rsid w:val="00293D17"/>
    <w:rsid w:val="0029775C"/>
    <w:rsid w:val="002A1BFA"/>
    <w:rsid w:val="002A250A"/>
    <w:rsid w:val="002A26D3"/>
    <w:rsid w:val="002A3B6A"/>
    <w:rsid w:val="002A4593"/>
    <w:rsid w:val="002A5074"/>
    <w:rsid w:val="002A78F2"/>
    <w:rsid w:val="002B597C"/>
    <w:rsid w:val="002C154E"/>
    <w:rsid w:val="002C1735"/>
    <w:rsid w:val="002C6473"/>
    <w:rsid w:val="002C6C32"/>
    <w:rsid w:val="002C7A18"/>
    <w:rsid w:val="002D1816"/>
    <w:rsid w:val="002D3828"/>
    <w:rsid w:val="002D3AEB"/>
    <w:rsid w:val="002D3BBA"/>
    <w:rsid w:val="002D4321"/>
    <w:rsid w:val="002D538C"/>
    <w:rsid w:val="002D5907"/>
    <w:rsid w:val="002D6AD5"/>
    <w:rsid w:val="002E1ACB"/>
    <w:rsid w:val="002E5F51"/>
    <w:rsid w:val="002E640A"/>
    <w:rsid w:val="002F408F"/>
    <w:rsid w:val="002F4DAD"/>
    <w:rsid w:val="002F6D23"/>
    <w:rsid w:val="002F78AA"/>
    <w:rsid w:val="00300BB1"/>
    <w:rsid w:val="00304289"/>
    <w:rsid w:val="0030428A"/>
    <w:rsid w:val="00304349"/>
    <w:rsid w:val="003046AD"/>
    <w:rsid w:val="0031198D"/>
    <w:rsid w:val="00311F2D"/>
    <w:rsid w:val="0031215F"/>
    <w:rsid w:val="003146AE"/>
    <w:rsid w:val="00316A03"/>
    <w:rsid w:val="0032214E"/>
    <w:rsid w:val="00324379"/>
    <w:rsid w:val="003244C2"/>
    <w:rsid w:val="003254E5"/>
    <w:rsid w:val="00330CE1"/>
    <w:rsid w:val="0033599A"/>
    <w:rsid w:val="00335A5D"/>
    <w:rsid w:val="00336E8E"/>
    <w:rsid w:val="00337455"/>
    <w:rsid w:val="00340A18"/>
    <w:rsid w:val="00341010"/>
    <w:rsid w:val="00342033"/>
    <w:rsid w:val="0034309E"/>
    <w:rsid w:val="0034566C"/>
    <w:rsid w:val="00346DE3"/>
    <w:rsid w:val="00347B82"/>
    <w:rsid w:val="00350333"/>
    <w:rsid w:val="00351269"/>
    <w:rsid w:val="003521E1"/>
    <w:rsid w:val="0035579D"/>
    <w:rsid w:val="00356FD2"/>
    <w:rsid w:val="00357F87"/>
    <w:rsid w:val="00360D3B"/>
    <w:rsid w:val="00362EF1"/>
    <w:rsid w:val="00367E1C"/>
    <w:rsid w:val="00371E31"/>
    <w:rsid w:val="00373566"/>
    <w:rsid w:val="00374464"/>
    <w:rsid w:val="00376350"/>
    <w:rsid w:val="003810C0"/>
    <w:rsid w:val="0038120C"/>
    <w:rsid w:val="003860E1"/>
    <w:rsid w:val="00387C4E"/>
    <w:rsid w:val="00387DDC"/>
    <w:rsid w:val="0039159B"/>
    <w:rsid w:val="00391C77"/>
    <w:rsid w:val="00393478"/>
    <w:rsid w:val="003951FA"/>
    <w:rsid w:val="003A1760"/>
    <w:rsid w:val="003A260C"/>
    <w:rsid w:val="003A474B"/>
    <w:rsid w:val="003A6176"/>
    <w:rsid w:val="003A7304"/>
    <w:rsid w:val="003A7F14"/>
    <w:rsid w:val="003B0339"/>
    <w:rsid w:val="003B05C4"/>
    <w:rsid w:val="003B0AF0"/>
    <w:rsid w:val="003B0B2B"/>
    <w:rsid w:val="003B2B70"/>
    <w:rsid w:val="003B32A4"/>
    <w:rsid w:val="003B34AA"/>
    <w:rsid w:val="003B734C"/>
    <w:rsid w:val="003B7839"/>
    <w:rsid w:val="003C2915"/>
    <w:rsid w:val="003C31F0"/>
    <w:rsid w:val="003C4B78"/>
    <w:rsid w:val="003C5CA8"/>
    <w:rsid w:val="003C6375"/>
    <w:rsid w:val="003C6538"/>
    <w:rsid w:val="003D055E"/>
    <w:rsid w:val="003D16BF"/>
    <w:rsid w:val="003D5CF6"/>
    <w:rsid w:val="003D706D"/>
    <w:rsid w:val="003E00AD"/>
    <w:rsid w:val="003E0937"/>
    <w:rsid w:val="003E1E22"/>
    <w:rsid w:val="003E21BF"/>
    <w:rsid w:val="003F1088"/>
    <w:rsid w:val="003F1BE9"/>
    <w:rsid w:val="00403665"/>
    <w:rsid w:val="004053E1"/>
    <w:rsid w:val="0040595F"/>
    <w:rsid w:val="0041043E"/>
    <w:rsid w:val="00411D39"/>
    <w:rsid w:val="00414051"/>
    <w:rsid w:val="00414DD1"/>
    <w:rsid w:val="004160E1"/>
    <w:rsid w:val="004229B0"/>
    <w:rsid w:val="00422FCD"/>
    <w:rsid w:val="0042555D"/>
    <w:rsid w:val="00430837"/>
    <w:rsid w:val="004317A2"/>
    <w:rsid w:val="0043599A"/>
    <w:rsid w:val="00440AF5"/>
    <w:rsid w:val="004450CB"/>
    <w:rsid w:val="00446324"/>
    <w:rsid w:val="00447CC4"/>
    <w:rsid w:val="004502B5"/>
    <w:rsid w:val="004528F5"/>
    <w:rsid w:val="00455348"/>
    <w:rsid w:val="00455A07"/>
    <w:rsid w:val="00456E4E"/>
    <w:rsid w:val="00460BC2"/>
    <w:rsid w:val="00466F83"/>
    <w:rsid w:val="004717BE"/>
    <w:rsid w:val="00473CAE"/>
    <w:rsid w:val="004760F2"/>
    <w:rsid w:val="004819B2"/>
    <w:rsid w:val="00487B57"/>
    <w:rsid w:val="00490D6A"/>
    <w:rsid w:val="00492771"/>
    <w:rsid w:val="004957D9"/>
    <w:rsid w:val="004A1A88"/>
    <w:rsid w:val="004A26D5"/>
    <w:rsid w:val="004A7BF9"/>
    <w:rsid w:val="004B09C4"/>
    <w:rsid w:val="004B3AF2"/>
    <w:rsid w:val="004C2BD2"/>
    <w:rsid w:val="004C51F2"/>
    <w:rsid w:val="004C637B"/>
    <w:rsid w:val="004D47C2"/>
    <w:rsid w:val="004D4E92"/>
    <w:rsid w:val="004D6354"/>
    <w:rsid w:val="004D66E7"/>
    <w:rsid w:val="004E0744"/>
    <w:rsid w:val="004E2FB7"/>
    <w:rsid w:val="004E360F"/>
    <w:rsid w:val="004E3799"/>
    <w:rsid w:val="004E56C5"/>
    <w:rsid w:val="004F04B4"/>
    <w:rsid w:val="004F04CB"/>
    <w:rsid w:val="004F1C44"/>
    <w:rsid w:val="004F5B3C"/>
    <w:rsid w:val="004F5CB5"/>
    <w:rsid w:val="005009BA"/>
    <w:rsid w:val="0051214C"/>
    <w:rsid w:val="005132D6"/>
    <w:rsid w:val="00520D2D"/>
    <w:rsid w:val="005211C2"/>
    <w:rsid w:val="00522FB3"/>
    <w:rsid w:val="00523438"/>
    <w:rsid w:val="00525DD5"/>
    <w:rsid w:val="005314FC"/>
    <w:rsid w:val="00532429"/>
    <w:rsid w:val="00533FE3"/>
    <w:rsid w:val="00535C43"/>
    <w:rsid w:val="00536CCB"/>
    <w:rsid w:val="00540BC5"/>
    <w:rsid w:val="0054301D"/>
    <w:rsid w:val="005444DA"/>
    <w:rsid w:val="00545E50"/>
    <w:rsid w:val="00547041"/>
    <w:rsid w:val="00547563"/>
    <w:rsid w:val="005501EB"/>
    <w:rsid w:val="00550A29"/>
    <w:rsid w:val="00556485"/>
    <w:rsid w:val="00557450"/>
    <w:rsid w:val="005648D5"/>
    <w:rsid w:val="00565D2C"/>
    <w:rsid w:val="00566F00"/>
    <w:rsid w:val="0056726B"/>
    <w:rsid w:val="00571972"/>
    <w:rsid w:val="00572958"/>
    <w:rsid w:val="005731A9"/>
    <w:rsid w:val="00574C8E"/>
    <w:rsid w:val="005812F3"/>
    <w:rsid w:val="0058305A"/>
    <w:rsid w:val="005846DD"/>
    <w:rsid w:val="00584AD6"/>
    <w:rsid w:val="00584C27"/>
    <w:rsid w:val="00586012"/>
    <w:rsid w:val="005867DB"/>
    <w:rsid w:val="00590B92"/>
    <w:rsid w:val="00593148"/>
    <w:rsid w:val="005955D6"/>
    <w:rsid w:val="005A0742"/>
    <w:rsid w:val="005A25C9"/>
    <w:rsid w:val="005A2F46"/>
    <w:rsid w:val="005A6A6E"/>
    <w:rsid w:val="005B0442"/>
    <w:rsid w:val="005B11A1"/>
    <w:rsid w:val="005B191A"/>
    <w:rsid w:val="005B1AC6"/>
    <w:rsid w:val="005B1E63"/>
    <w:rsid w:val="005B24D0"/>
    <w:rsid w:val="005B4D10"/>
    <w:rsid w:val="005B4D6A"/>
    <w:rsid w:val="005B55AE"/>
    <w:rsid w:val="005B660F"/>
    <w:rsid w:val="005B67D0"/>
    <w:rsid w:val="005C2C71"/>
    <w:rsid w:val="005C383C"/>
    <w:rsid w:val="005C4C12"/>
    <w:rsid w:val="005C54C9"/>
    <w:rsid w:val="005C54E2"/>
    <w:rsid w:val="005C7601"/>
    <w:rsid w:val="005D28FD"/>
    <w:rsid w:val="005D407A"/>
    <w:rsid w:val="005D4E31"/>
    <w:rsid w:val="005D62BF"/>
    <w:rsid w:val="005E11A8"/>
    <w:rsid w:val="005E22CF"/>
    <w:rsid w:val="005F0FD9"/>
    <w:rsid w:val="005F17B5"/>
    <w:rsid w:val="005F1806"/>
    <w:rsid w:val="005F29C2"/>
    <w:rsid w:val="005F32D8"/>
    <w:rsid w:val="005F443A"/>
    <w:rsid w:val="005F55FD"/>
    <w:rsid w:val="00602470"/>
    <w:rsid w:val="00603814"/>
    <w:rsid w:val="00603FAE"/>
    <w:rsid w:val="00605874"/>
    <w:rsid w:val="006077E2"/>
    <w:rsid w:val="0061733A"/>
    <w:rsid w:val="00620107"/>
    <w:rsid w:val="00624EF9"/>
    <w:rsid w:val="0062543F"/>
    <w:rsid w:val="00634691"/>
    <w:rsid w:val="006361D4"/>
    <w:rsid w:val="00636588"/>
    <w:rsid w:val="00640365"/>
    <w:rsid w:val="00644BFB"/>
    <w:rsid w:val="00646EB7"/>
    <w:rsid w:val="00647418"/>
    <w:rsid w:val="0065007D"/>
    <w:rsid w:val="00654719"/>
    <w:rsid w:val="00654804"/>
    <w:rsid w:val="00655BF8"/>
    <w:rsid w:val="006600B1"/>
    <w:rsid w:val="00661351"/>
    <w:rsid w:val="00663669"/>
    <w:rsid w:val="00663B2E"/>
    <w:rsid w:val="00664187"/>
    <w:rsid w:val="006656D2"/>
    <w:rsid w:val="0067272C"/>
    <w:rsid w:val="00672CE1"/>
    <w:rsid w:val="0067723A"/>
    <w:rsid w:val="00682BE9"/>
    <w:rsid w:val="00683B06"/>
    <w:rsid w:val="00686377"/>
    <w:rsid w:val="006900E9"/>
    <w:rsid w:val="00694738"/>
    <w:rsid w:val="00695A08"/>
    <w:rsid w:val="006A2038"/>
    <w:rsid w:val="006A2F34"/>
    <w:rsid w:val="006A3B6A"/>
    <w:rsid w:val="006A4220"/>
    <w:rsid w:val="006A4822"/>
    <w:rsid w:val="006A5CDF"/>
    <w:rsid w:val="006A5FAE"/>
    <w:rsid w:val="006A749F"/>
    <w:rsid w:val="006A7823"/>
    <w:rsid w:val="006B05EB"/>
    <w:rsid w:val="006B2CE1"/>
    <w:rsid w:val="006B3B07"/>
    <w:rsid w:val="006B3BB0"/>
    <w:rsid w:val="006B5C46"/>
    <w:rsid w:val="006C12BF"/>
    <w:rsid w:val="006C301E"/>
    <w:rsid w:val="006C339B"/>
    <w:rsid w:val="006C3D19"/>
    <w:rsid w:val="006C434D"/>
    <w:rsid w:val="006C47FB"/>
    <w:rsid w:val="006C4B4A"/>
    <w:rsid w:val="006C6E9E"/>
    <w:rsid w:val="006C7644"/>
    <w:rsid w:val="006D0B60"/>
    <w:rsid w:val="006D258C"/>
    <w:rsid w:val="006D2AED"/>
    <w:rsid w:val="006D43F6"/>
    <w:rsid w:val="006D5183"/>
    <w:rsid w:val="006D5B74"/>
    <w:rsid w:val="006D6517"/>
    <w:rsid w:val="006D6FF8"/>
    <w:rsid w:val="006E05CD"/>
    <w:rsid w:val="006E57A4"/>
    <w:rsid w:val="006F01F0"/>
    <w:rsid w:val="006F10B0"/>
    <w:rsid w:val="006F56A3"/>
    <w:rsid w:val="0071208B"/>
    <w:rsid w:val="00712319"/>
    <w:rsid w:val="0071472B"/>
    <w:rsid w:val="00716CF6"/>
    <w:rsid w:val="00721227"/>
    <w:rsid w:val="007223CC"/>
    <w:rsid w:val="00724E65"/>
    <w:rsid w:val="007251B9"/>
    <w:rsid w:val="00725FB9"/>
    <w:rsid w:val="0072789F"/>
    <w:rsid w:val="00730D2D"/>
    <w:rsid w:val="0073251A"/>
    <w:rsid w:val="00732944"/>
    <w:rsid w:val="00734AC4"/>
    <w:rsid w:val="0073524E"/>
    <w:rsid w:val="00736730"/>
    <w:rsid w:val="007433D3"/>
    <w:rsid w:val="0074366F"/>
    <w:rsid w:val="00745066"/>
    <w:rsid w:val="00745B02"/>
    <w:rsid w:val="0074637E"/>
    <w:rsid w:val="00746467"/>
    <w:rsid w:val="007534AE"/>
    <w:rsid w:val="00755F6F"/>
    <w:rsid w:val="007568B1"/>
    <w:rsid w:val="00756C03"/>
    <w:rsid w:val="00761917"/>
    <w:rsid w:val="00763CC4"/>
    <w:rsid w:val="00767254"/>
    <w:rsid w:val="00770996"/>
    <w:rsid w:val="0077130F"/>
    <w:rsid w:val="00772A80"/>
    <w:rsid w:val="00772E4F"/>
    <w:rsid w:val="00773AF0"/>
    <w:rsid w:val="00775743"/>
    <w:rsid w:val="0077762C"/>
    <w:rsid w:val="0078718A"/>
    <w:rsid w:val="00787DB8"/>
    <w:rsid w:val="00792553"/>
    <w:rsid w:val="00793129"/>
    <w:rsid w:val="007968F3"/>
    <w:rsid w:val="007A2D3D"/>
    <w:rsid w:val="007A4354"/>
    <w:rsid w:val="007A4EA4"/>
    <w:rsid w:val="007A70EA"/>
    <w:rsid w:val="007B07C3"/>
    <w:rsid w:val="007B16CF"/>
    <w:rsid w:val="007B1E02"/>
    <w:rsid w:val="007B7855"/>
    <w:rsid w:val="007C08A0"/>
    <w:rsid w:val="007C3433"/>
    <w:rsid w:val="007C4F5D"/>
    <w:rsid w:val="007C565C"/>
    <w:rsid w:val="007D0283"/>
    <w:rsid w:val="007D4DDB"/>
    <w:rsid w:val="007D6933"/>
    <w:rsid w:val="007E1E5C"/>
    <w:rsid w:val="007E56DB"/>
    <w:rsid w:val="007E764B"/>
    <w:rsid w:val="007F27E4"/>
    <w:rsid w:val="007F3265"/>
    <w:rsid w:val="0080056B"/>
    <w:rsid w:val="008036EA"/>
    <w:rsid w:val="008041BD"/>
    <w:rsid w:val="0080585C"/>
    <w:rsid w:val="00805C66"/>
    <w:rsid w:val="00812E7B"/>
    <w:rsid w:val="00813D62"/>
    <w:rsid w:val="008165D2"/>
    <w:rsid w:val="00817BEC"/>
    <w:rsid w:val="008204CC"/>
    <w:rsid w:val="0082177D"/>
    <w:rsid w:val="00822C27"/>
    <w:rsid w:val="008237CD"/>
    <w:rsid w:val="00823EB4"/>
    <w:rsid w:val="00827D64"/>
    <w:rsid w:val="008327A6"/>
    <w:rsid w:val="008349A4"/>
    <w:rsid w:val="00840F25"/>
    <w:rsid w:val="00841970"/>
    <w:rsid w:val="00841E82"/>
    <w:rsid w:val="00842550"/>
    <w:rsid w:val="00842DB9"/>
    <w:rsid w:val="008438FB"/>
    <w:rsid w:val="00845C49"/>
    <w:rsid w:val="008468A1"/>
    <w:rsid w:val="008470BC"/>
    <w:rsid w:val="00856091"/>
    <w:rsid w:val="00856787"/>
    <w:rsid w:val="00863358"/>
    <w:rsid w:val="00865866"/>
    <w:rsid w:val="00867A6D"/>
    <w:rsid w:val="008727BE"/>
    <w:rsid w:val="00875F54"/>
    <w:rsid w:val="008800D7"/>
    <w:rsid w:val="0088105C"/>
    <w:rsid w:val="00881390"/>
    <w:rsid w:val="00881F01"/>
    <w:rsid w:val="008835A8"/>
    <w:rsid w:val="00890C90"/>
    <w:rsid w:val="008925E9"/>
    <w:rsid w:val="008A7E4E"/>
    <w:rsid w:val="008A7FCA"/>
    <w:rsid w:val="008B20D1"/>
    <w:rsid w:val="008B3CBF"/>
    <w:rsid w:val="008B519A"/>
    <w:rsid w:val="008B5487"/>
    <w:rsid w:val="008B5BEC"/>
    <w:rsid w:val="008B6F06"/>
    <w:rsid w:val="008B7235"/>
    <w:rsid w:val="008C0AB6"/>
    <w:rsid w:val="008C287E"/>
    <w:rsid w:val="008C505B"/>
    <w:rsid w:val="008C509B"/>
    <w:rsid w:val="008C52E1"/>
    <w:rsid w:val="008C5466"/>
    <w:rsid w:val="008D1E48"/>
    <w:rsid w:val="008D6C07"/>
    <w:rsid w:val="008D763C"/>
    <w:rsid w:val="008E0F84"/>
    <w:rsid w:val="008E4039"/>
    <w:rsid w:val="008E43B8"/>
    <w:rsid w:val="008E7F07"/>
    <w:rsid w:val="008F1A98"/>
    <w:rsid w:val="008F2E19"/>
    <w:rsid w:val="008F34BC"/>
    <w:rsid w:val="008F4A1A"/>
    <w:rsid w:val="008F5A6B"/>
    <w:rsid w:val="008F6683"/>
    <w:rsid w:val="008F67BA"/>
    <w:rsid w:val="00903434"/>
    <w:rsid w:val="00905082"/>
    <w:rsid w:val="00905355"/>
    <w:rsid w:val="009066CF"/>
    <w:rsid w:val="0090729A"/>
    <w:rsid w:val="009073D9"/>
    <w:rsid w:val="00914DD5"/>
    <w:rsid w:val="00916ABE"/>
    <w:rsid w:val="00916EE8"/>
    <w:rsid w:val="00917119"/>
    <w:rsid w:val="00920A65"/>
    <w:rsid w:val="00920C6F"/>
    <w:rsid w:val="009224E8"/>
    <w:rsid w:val="00923158"/>
    <w:rsid w:val="0092780E"/>
    <w:rsid w:val="009313A6"/>
    <w:rsid w:val="009340D2"/>
    <w:rsid w:val="00942F2D"/>
    <w:rsid w:val="00945097"/>
    <w:rsid w:val="0094522A"/>
    <w:rsid w:val="0094632E"/>
    <w:rsid w:val="00950532"/>
    <w:rsid w:val="00951695"/>
    <w:rsid w:val="009524A5"/>
    <w:rsid w:val="009526F6"/>
    <w:rsid w:val="009538A5"/>
    <w:rsid w:val="00956232"/>
    <w:rsid w:val="0096204F"/>
    <w:rsid w:val="009652A9"/>
    <w:rsid w:val="00966882"/>
    <w:rsid w:val="00967FCC"/>
    <w:rsid w:val="00971EE5"/>
    <w:rsid w:val="009721AF"/>
    <w:rsid w:val="00974AC5"/>
    <w:rsid w:val="00974D0A"/>
    <w:rsid w:val="0097544F"/>
    <w:rsid w:val="009769BB"/>
    <w:rsid w:val="00976E95"/>
    <w:rsid w:val="00976F7E"/>
    <w:rsid w:val="009776CE"/>
    <w:rsid w:val="0098246B"/>
    <w:rsid w:val="00985D48"/>
    <w:rsid w:val="0098620D"/>
    <w:rsid w:val="009871B3"/>
    <w:rsid w:val="0099219F"/>
    <w:rsid w:val="0099399E"/>
    <w:rsid w:val="0099424E"/>
    <w:rsid w:val="0099459E"/>
    <w:rsid w:val="00996D71"/>
    <w:rsid w:val="0099790F"/>
    <w:rsid w:val="009A0422"/>
    <w:rsid w:val="009A09FB"/>
    <w:rsid w:val="009A4084"/>
    <w:rsid w:val="009A7FB7"/>
    <w:rsid w:val="009B0D63"/>
    <w:rsid w:val="009B1581"/>
    <w:rsid w:val="009B1A81"/>
    <w:rsid w:val="009B1F63"/>
    <w:rsid w:val="009B3966"/>
    <w:rsid w:val="009B47B0"/>
    <w:rsid w:val="009B670E"/>
    <w:rsid w:val="009C0151"/>
    <w:rsid w:val="009C034C"/>
    <w:rsid w:val="009C3247"/>
    <w:rsid w:val="009C4DEF"/>
    <w:rsid w:val="009C6069"/>
    <w:rsid w:val="009D08DC"/>
    <w:rsid w:val="009D2083"/>
    <w:rsid w:val="009D2D92"/>
    <w:rsid w:val="009D3A1D"/>
    <w:rsid w:val="009D4EC5"/>
    <w:rsid w:val="009D62BE"/>
    <w:rsid w:val="009E257B"/>
    <w:rsid w:val="009E6FFE"/>
    <w:rsid w:val="009F0F9D"/>
    <w:rsid w:val="009F3B2E"/>
    <w:rsid w:val="009F44C3"/>
    <w:rsid w:val="009F6625"/>
    <w:rsid w:val="009F6B28"/>
    <w:rsid w:val="009F6E95"/>
    <w:rsid w:val="009F7434"/>
    <w:rsid w:val="00A02216"/>
    <w:rsid w:val="00A0598B"/>
    <w:rsid w:val="00A07343"/>
    <w:rsid w:val="00A10308"/>
    <w:rsid w:val="00A117C2"/>
    <w:rsid w:val="00A1310A"/>
    <w:rsid w:val="00A14852"/>
    <w:rsid w:val="00A17E7B"/>
    <w:rsid w:val="00A20467"/>
    <w:rsid w:val="00A205A2"/>
    <w:rsid w:val="00A227F5"/>
    <w:rsid w:val="00A22DCE"/>
    <w:rsid w:val="00A2496E"/>
    <w:rsid w:val="00A30CA3"/>
    <w:rsid w:val="00A32054"/>
    <w:rsid w:val="00A339D6"/>
    <w:rsid w:val="00A35576"/>
    <w:rsid w:val="00A366C6"/>
    <w:rsid w:val="00A37158"/>
    <w:rsid w:val="00A4386E"/>
    <w:rsid w:val="00A44F2C"/>
    <w:rsid w:val="00A4510E"/>
    <w:rsid w:val="00A46577"/>
    <w:rsid w:val="00A46904"/>
    <w:rsid w:val="00A5341C"/>
    <w:rsid w:val="00A550F0"/>
    <w:rsid w:val="00A620A9"/>
    <w:rsid w:val="00A6294D"/>
    <w:rsid w:val="00A6327D"/>
    <w:rsid w:val="00A66046"/>
    <w:rsid w:val="00A66AF1"/>
    <w:rsid w:val="00A66F65"/>
    <w:rsid w:val="00A676E6"/>
    <w:rsid w:val="00A74183"/>
    <w:rsid w:val="00A7426C"/>
    <w:rsid w:val="00A74F4A"/>
    <w:rsid w:val="00A767AC"/>
    <w:rsid w:val="00A7741D"/>
    <w:rsid w:val="00A77F7F"/>
    <w:rsid w:val="00A865FE"/>
    <w:rsid w:val="00A86AB7"/>
    <w:rsid w:val="00A86FD1"/>
    <w:rsid w:val="00A91135"/>
    <w:rsid w:val="00A9135E"/>
    <w:rsid w:val="00A92C16"/>
    <w:rsid w:val="00A9335E"/>
    <w:rsid w:val="00A93A45"/>
    <w:rsid w:val="00A97D06"/>
    <w:rsid w:val="00AA5291"/>
    <w:rsid w:val="00AA5DCD"/>
    <w:rsid w:val="00AA6781"/>
    <w:rsid w:val="00AA759E"/>
    <w:rsid w:val="00AA7BDC"/>
    <w:rsid w:val="00AB0422"/>
    <w:rsid w:val="00AB09F7"/>
    <w:rsid w:val="00AB0B85"/>
    <w:rsid w:val="00AB1794"/>
    <w:rsid w:val="00AB2B9F"/>
    <w:rsid w:val="00AB3490"/>
    <w:rsid w:val="00AB3F88"/>
    <w:rsid w:val="00AB4029"/>
    <w:rsid w:val="00AB44DC"/>
    <w:rsid w:val="00AB5AD9"/>
    <w:rsid w:val="00AB6279"/>
    <w:rsid w:val="00AB6D91"/>
    <w:rsid w:val="00AC309F"/>
    <w:rsid w:val="00AC50DE"/>
    <w:rsid w:val="00AC5F7E"/>
    <w:rsid w:val="00AD093F"/>
    <w:rsid w:val="00AD1123"/>
    <w:rsid w:val="00AD2030"/>
    <w:rsid w:val="00AD237D"/>
    <w:rsid w:val="00AD3A31"/>
    <w:rsid w:val="00AD59C8"/>
    <w:rsid w:val="00AD5F61"/>
    <w:rsid w:val="00AD6099"/>
    <w:rsid w:val="00AE0C7D"/>
    <w:rsid w:val="00AE5226"/>
    <w:rsid w:val="00AE73F5"/>
    <w:rsid w:val="00AE7643"/>
    <w:rsid w:val="00AF14BB"/>
    <w:rsid w:val="00AF1FC6"/>
    <w:rsid w:val="00AF3EEB"/>
    <w:rsid w:val="00AF5B71"/>
    <w:rsid w:val="00AF6CA7"/>
    <w:rsid w:val="00AF7006"/>
    <w:rsid w:val="00AF7316"/>
    <w:rsid w:val="00AF7DDF"/>
    <w:rsid w:val="00B03E10"/>
    <w:rsid w:val="00B04CA4"/>
    <w:rsid w:val="00B110E0"/>
    <w:rsid w:val="00B11B12"/>
    <w:rsid w:val="00B16F21"/>
    <w:rsid w:val="00B17307"/>
    <w:rsid w:val="00B22C27"/>
    <w:rsid w:val="00B26991"/>
    <w:rsid w:val="00B308A5"/>
    <w:rsid w:val="00B33818"/>
    <w:rsid w:val="00B34C82"/>
    <w:rsid w:val="00B35B40"/>
    <w:rsid w:val="00B403AD"/>
    <w:rsid w:val="00B42E3C"/>
    <w:rsid w:val="00B452ED"/>
    <w:rsid w:val="00B501AD"/>
    <w:rsid w:val="00B55D97"/>
    <w:rsid w:val="00B55F5F"/>
    <w:rsid w:val="00B57685"/>
    <w:rsid w:val="00B579F9"/>
    <w:rsid w:val="00B619B7"/>
    <w:rsid w:val="00B6423D"/>
    <w:rsid w:val="00B6429B"/>
    <w:rsid w:val="00B659F9"/>
    <w:rsid w:val="00B66361"/>
    <w:rsid w:val="00B66990"/>
    <w:rsid w:val="00B66E3C"/>
    <w:rsid w:val="00B705B6"/>
    <w:rsid w:val="00B7063C"/>
    <w:rsid w:val="00B711D2"/>
    <w:rsid w:val="00B76A06"/>
    <w:rsid w:val="00B814C5"/>
    <w:rsid w:val="00B81746"/>
    <w:rsid w:val="00B82392"/>
    <w:rsid w:val="00B83335"/>
    <w:rsid w:val="00B878FB"/>
    <w:rsid w:val="00B87D74"/>
    <w:rsid w:val="00B87E38"/>
    <w:rsid w:val="00B90940"/>
    <w:rsid w:val="00B90E7F"/>
    <w:rsid w:val="00B91A47"/>
    <w:rsid w:val="00B92148"/>
    <w:rsid w:val="00B95084"/>
    <w:rsid w:val="00B9753A"/>
    <w:rsid w:val="00BA2194"/>
    <w:rsid w:val="00BA31C6"/>
    <w:rsid w:val="00BA424D"/>
    <w:rsid w:val="00BA4535"/>
    <w:rsid w:val="00BB028F"/>
    <w:rsid w:val="00BB67B4"/>
    <w:rsid w:val="00BB73EC"/>
    <w:rsid w:val="00BB7ED3"/>
    <w:rsid w:val="00BC0CAF"/>
    <w:rsid w:val="00BC0EB2"/>
    <w:rsid w:val="00BC30CB"/>
    <w:rsid w:val="00BC38D9"/>
    <w:rsid w:val="00BC5582"/>
    <w:rsid w:val="00BC591E"/>
    <w:rsid w:val="00BD262B"/>
    <w:rsid w:val="00BD4615"/>
    <w:rsid w:val="00BD4CBF"/>
    <w:rsid w:val="00BD6707"/>
    <w:rsid w:val="00BD7263"/>
    <w:rsid w:val="00BD73C3"/>
    <w:rsid w:val="00BD7840"/>
    <w:rsid w:val="00BE5810"/>
    <w:rsid w:val="00BE5AAE"/>
    <w:rsid w:val="00BE5B83"/>
    <w:rsid w:val="00BE608D"/>
    <w:rsid w:val="00BE69A1"/>
    <w:rsid w:val="00BF07A6"/>
    <w:rsid w:val="00BF1D04"/>
    <w:rsid w:val="00BF29C3"/>
    <w:rsid w:val="00BF2C6C"/>
    <w:rsid w:val="00BF2D93"/>
    <w:rsid w:val="00BF3250"/>
    <w:rsid w:val="00BF4B8D"/>
    <w:rsid w:val="00BF5635"/>
    <w:rsid w:val="00BF6A3B"/>
    <w:rsid w:val="00C0007B"/>
    <w:rsid w:val="00C015B9"/>
    <w:rsid w:val="00C06D06"/>
    <w:rsid w:val="00C06DBD"/>
    <w:rsid w:val="00C076AD"/>
    <w:rsid w:val="00C101BB"/>
    <w:rsid w:val="00C11135"/>
    <w:rsid w:val="00C12679"/>
    <w:rsid w:val="00C14640"/>
    <w:rsid w:val="00C15AF1"/>
    <w:rsid w:val="00C15B00"/>
    <w:rsid w:val="00C15C17"/>
    <w:rsid w:val="00C16657"/>
    <w:rsid w:val="00C17B9B"/>
    <w:rsid w:val="00C17FB4"/>
    <w:rsid w:val="00C20817"/>
    <w:rsid w:val="00C21839"/>
    <w:rsid w:val="00C2289F"/>
    <w:rsid w:val="00C22FEC"/>
    <w:rsid w:val="00C23379"/>
    <w:rsid w:val="00C2416F"/>
    <w:rsid w:val="00C247DB"/>
    <w:rsid w:val="00C25550"/>
    <w:rsid w:val="00C27CB3"/>
    <w:rsid w:val="00C301CB"/>
    <w:rsid w:val="00C30D5D"/>
    <w:rsid w:val="00C32EC8"/>
    <w:rsid w:val="00C364B7"/>
    <w:rsid w:val="00C405D0"/>
    <w:rsid w:val="00C40E33"/>
    <w:rsid w:val="00C41A91"/>
    <w:rsid w:val="00C41D7B"/>
    <w:rsid w:val="00C42BF7"/>
    <w:rsid w:val="00C4363C"/>
    <w:rsid w:val="00C43D35"/>
    <w:rsid w:val="00C45C0C"/>
    <w:rsid w:val="00C4684A"/>
    <w:rsid w:val="00C47DAF"/>
    <w:rsid w:val="00C56A3D"/>
    <w:rsid w:val="00C56B78"/>
    <w:rsid w:val="00C615E6"/>
    <w:rsid w:val="00C62014"/>
    <w:rsid w:val="00C62814"/>
    <w:rsid w:val="00C62DE2"/>
    <w:rsid w:val="00C63997"/>
    <w:rsid w:val="00C64F46"/>
    <w:rsid w:val="00C66A33"/>
    <w:rsid w:val="00C7296D"/>
    <w:rsid w:val="00C72A99"/>
    <w:rsid w:val="00C77B01"/>
    <w:rsid w:val="00C81688"/>
    <w:rsid w:val="00C817B9"/>
    <w:rsid w:val="00C82297"/>
    <w:rsid w:val="00C82CAA"/>
    <w:rsid w:val="00C83A44"/>
    <w:rsid w:val="00C84BD3"/>
    <w:rsid w:val="00C86FA5"/>
    <w:rsid w:val="00C90FD9"/>
    <w:rsid w:val="00C91C3E"/>
    <w:rsid w:val="00C91FD1"/>
    <w:rsid w:val="00C921D6"/>
    <w:rsid w:val="00C9315C"/>
    <w:rsid w:val="00C945D4"/>
    <w:rsid w:val="00C96014"/>
    <w:rsid w:val="00C97C15"/>
    <w:rsid w:val="00CA455D"/>
    <w:rsid w:val="00CA7820"/>
    <w:rsid w:val="00CB07A4"/>
    <w:rsid w:val="00CB098E"/>
    <w:rsid w:val="00CB1FA5"/>
    <w:rsid w:val="00CB39FA"/>
    <w:rsid w:val="00CB5676"/>
    <w:rsid w:val="00CB6901"/>
    <w:rsid w:val="00CB6C02"/>
    <w:rsid w:val="00CB72CE"/>
    <w:rsid w:val="00CB7731"/>
    <w:rsid w:val="00CC0EC3"/>
    <w:rsid w:val="00CC1A7C"/>
    <w:rsid w:val="00CC41AC"/>
    <w:rsid w:val="00CC6BB5"/>
    <w:rsid w:val="00CC7DBE"/>
    <w:rsid w:val="00CD2973"/>
    <w:rsid w:val="00CD5ED0"/>
    <w:rsid w:val="00CD6C72"/>
    <w:rsid w:val="00CE01A5"/>
    <w:rsid w:val="00CE0863"/>
    <w:rsid w:val="00CE22D3"/>
    <w:rsid w:val="00CE4208"/>
    <w:rsid w:val="00CE5F5F"/>
    <w:rsid w:val="00CE6B10"/>
    <w:rsid w:val="00CE7185"/>
    <w:rsid w:val="00CF2D04"/>
    <w:rsid w:val="00CF34B1"/>
    <w:rsid w:val="00D01241"/>
    <w:rsid w:val="00D01E1E"/>
    <w:rsid w:val="00D02098"/>
    <w:rsid w:val="00D0395C"/>
    <w:rsid w:val="00D055F6"/>
    <w:rsid w:val="00D100CB"/>
    <w:rsid w:val="00D10D89"/>
    <w:rsid w:val="00D14BFB"/>
    <w:rsid w:val="00D14DF7"/>
    <w:rsid w:val="00D23AA7"/>
    <w:rsid w:val="00D24B59"/>
    <w:rsid w:val="00D305D4"/>
    <w:rsid w:val="00D30A76"/>
    <w:rsid w:val="00D3357E"/>
    <w:rsid w:val="00D339A5"/>
    <w:rsid w:val="00D33BE0"/>
    <w:rsid w:val="00D37579"/>
    <w:rsid w:val="00D40C89"/>
    <w:rsid w:val="00D4148A"/>
    <w:rsid w:val="00D41FB7"/>
    <w:rsid w:val="00D42D77"/>
    <w:rsid w:val="00D4330D"/>
    <w:rsid w:val="00D435EA"/>
    <w:rsid w:val="00D53F81"/>
    <w:rsid w:val="00D5483D"/>
    <w:rsid w:val="00D57DFB"/>
    <w:rsid w:val="00D638B7"/>
    <w:rsid w:val="00D64681"/>
    <w:rsid w:val="00D66984"/>
    <w:rsid w:val="00D75C82"/>
    <w:rsid w:val="00D76C41"/>
    <w:rsid w:val="00D77375"/>
    <w:rsid w:val="00D90B8C"/>
    <w:rsid w:val="00D91CF9"/>
    <w:rsid w:val="00D92F9A"/>
    <w:rsid w:val="00D94084"/>
    <w:rsid w:val="00D955A3"/>
    <w:rsid w:val="00D96E9D"/>
    <w:rsid w:val="00D97DAE"/>
    <w:rsid w:val="00DA178A"/>
    <w:rsid w:val="00DA32F0"/>
    <w:rsid w:val="00DA5956"/>
    <w:rsid w:val="00DB0F76"/>
    <w:rsid w:val="00DB125F"/>
    <w:rsid w:val="00DB195D"/>
    <w:rsid w:val="00DB19D7"/>
    <w:rsid w:val="00DB2922"/>
    <w:rsid w:val="00DB3311"/>
    <w:rsid w:val="00DB37E5"/>
    <w:rsid w:val="00DB3BAD"/>
    <w:rsid w:val="00DB4395"/>
    <w:rsid w:val="00DC0633"/>
    <w:rsid w:val="00DC3DE5"/>
    <w:rsid w:val="00DC5AF9"/>
    <w:rsid w:val="00DD0141"/>
    <w:rsid w:val="00DD083B"/>
    <w:rsid w:val="00DD0BC4"/>
    <w:rsid w:val="00DD0EE1"/>
    <w:rsid w:val="00DD3533"/>
    <w:rsid w:val="00DD39CC"/>
    <w:rsid w:val="00DD6ED9"/>
    <w:rsid w:val="00DE0633"/>
    <w:rsid w:val="00DE0DB5"/>
    <w:rsid w:val="00DE370E"/>
    <w:rsid w:val="00DE4CF0"/>
    <w:rsid w:val="00DE60AA"/>
    <w:rsid w:val="00DE7BDE"/>
    <w:rsid w:val="00DF06B7"/>
    <w:rsid w:val="00DF668A"/>
    <w:rsid w:val="00DF758E"/>
    <w:rsid w:val="00E008B1"/>
    <w:rsid w:val="00E02C2E"/>
    <w:rsid w:val="00E03325"/>
    <w:rsid w:val="00E0385D"/>
    <w:rsid w:val="00E04668"/>
    <w:rsid w:val="00E063BF"/>
    <w:rsid w:val="00E07FBF"/>
    <w:rsid w:val="00E12AFA"/>
    <w:rsid w:val="00E1325C"/>
    <w:rsid w:val="00E16B14"/>
    <w:rsid w:val="00E17077"/>
    <w:rsid w:val="00E20668"/>
    <w:rsid w:val="00E20D0A"/>
    <w:rsid w:val="00E210E1"/>
    <w:rsid w:val="00E2154B"/>
    <w:rsid w:val="00E24099"/>
    <w:rsid w:val="00E2443E"/>
    <w:rsid w:val="00E255A0"/>
    <w:rsid w:val="00E25B4A"/>
    <w:rsid w:val="00E30955"/>
    <w:rsid w:val="00E32A78"/>
    <w:rsid w:val="00E33F9A"/>
    <w:rsid w:val="00E36D74"/>
    <w:rsid w:val="00E40B15"/>
    <w:rsid w:val="00E426A3"/>
    <w:rsid w:val="00E4378D"/>
    <w:rsid w:val="00E4492A"/>
    <w:rsid w:val="00E52082"/>
    <w:rsid w:val="00E525E7"/>
    <w:rsid w:val="00E54823"/>
    <w:rsid w:val="00E571FE"/>
    <w:rsid w:val="00E617B8"/>
    <w:rsid w:val="00E61DF7"/>
    <w:rsid w:val="00E63730"/>
    <w:rsid w:val="00E63BB3"/>
    <w:rsid w:val="00E67942"/>
    <w:rsid w:val="00E67D97"/>
    <w:rsid w:val="00E67EA3"/>
    <w:rsid w:val="00E71CDF"/>
    <w:rsid w:val="00E74E37"/>
    <w:rsid w:val="00E77971"/>
    <w:rsid w:val="00E81A1A"/>
    <w:rsid w:val="00E879BE"/>
    <w:rsid w:val="00E87A9C"/>
    <w:rsid w:val="00E87AE1"/>
    <w:rsid w:val="00E91001"/>
    <w:rsid w:val="00E92A15"/>
    <w:rsid w:val="00EA0230"/>
    <w:rsid w:val="00EA26CC"/>
    <w:rsid w:val="00EA4A62"/>
    <w:rsid w:val="00EA720F"/>
    <w:rsid w:val="00EB448E"/>
    <w:rsid w:val="00EC02BF"/>
    <w:rsid w:val="00EC16DD"/>
    <w:rsid w:val="00EC3406"/>
    <w:rsid w:val="00EC6E8B"/>
    <w:rsid w:val="00ED0148"/>
    <w:rsid w:val="00ED0A8A"/>
    <w:rsid w:val="00ED0B44"/>
    <w:rsid w:val="00ED1EC9"/>
    <w:rsid w:val="00ED2120"/>
    <w:rsid w:val="00ED2A18"/>
    <w:rsid w:val="00ED3B8A"/>
    <w:rsid w:val="00ED3E75"/>
    <w:rsid w:val="00ED44E4"/>
    <w:rsid w:val="00ED46EB"/>
    <w:rsid w:val="00ED60BF"/>
    <w:rsid w:val="00ED6C14"/>
    <w:rsid w:val="00EE0CEC"/>
    <w:rsid w:val="00EE1784"/>
    <w:rsid w:val="00EE2307"/>
    <w:rsid w:val="00EE2790"/>
    <w:rsid w:val="00EE2C2A"/>
    <w:rsid w:val="00EE40F6"/>
    <w:rsid w:val="00EE56BA"/>
    <w:rsid w:val="00EE67C6"/>
    <w:rsid w:val="00EE6BD0"/>
    <w:rsid w:val="00EF2635"/>
    <w:rsid w:val="00F03FB2"/>
    <w:rsid w:val="00F04F60"/>
    <w:rsid w:val="00F12A58"/>
    <w:rsid w:val="00F14546"/>
    <w:rsid w:val="00F16762"/>
    <w:rsid w:val="00F179C6"/>
    <w:rsid w:val="00F17A81"/>
    <w:rsid w:val="00F21172"/>
    <w:rsid w:val="00F2316F"/>
    <w:rsid w:val="00F23718"/>
    <w:rsid w:val="00F2535D"/>
    <w:rsid w:val="00F25788"/>
    <w:rsid w:val="00F260C6"/>
    <w:rsid w:val="00F26433"/>
    <w:rsid w:val="00F264BD"/>
    <w:rsid w:val="00F26AB8"/>
    <w:rsid w:val="00F30220"/>
    <w:rsid w:val="00F30A8D"/>
    <w:rsid w:val="00F30C30"/>
    <w:rsid w:val="00F34171"/>
    <w:rsid w:val="00F342C7"/>
    <w:rsid w:val="00F35AB2"/>
    <w:rsid w:val="00F36CBD"/>
    <w:rsid w:val="00F37200"/>
    <w:rsid w:val="00F4158C"/>
    <w:rsid w:val="00F4197C"/>
    <w:rsid w:val="00F43395"/>
    <w:rsid w:val="00F433D4"/>
    <w:rsid w:val="00F43C0D"/>
    <w:rsid w:val="00F43CBF"/>
    <w:rsid w:val="00F44710"/>
    <w:rsid w:val="00F45374"/>
    <w:rsid w:val="00F46918"/>
    <w:rsid w:val="00F53643"/>
    <w:rsid w:val="00F543AA"/>
    <w:rsid w:val="00F56C78"/>
    <w:rsid w:val="00F57811"/>
    <w:rsid w:val="00F60D54"/>
    <w:rsid w:val="00F6161B"/>
    <w:rsid w:val="00F62423"/>
    <w:rsid w:val="00F64224"/>
    <w:rsid w:val="00F660CF"/>
    <w:rsid w:val="00F700E5"/>
    <w:rsid w:val="00F73305"/>
    <w:rsid w:val="00F73E8A"/>
    <w:rsid w:val="00F75F19"/>
    <w:rsid w:val="00F80E49"/>
    <w:rsid w:val="00F812EF"/>
    <w:rsid w:val="00F813C9"/>
    <w:rsid w:val="00F8405A"/>
    <w:rsid w:val="00F906C3"/>
    <w:rsid w:val="00F90A7A"/>
    <w:rsid w:val="00F93B6E"/>
    <w:rsid w:val="00F93BCC"/>
    <w:rsid w:val="00F945C7"/>
    <w:rsid w:val="00F9657B"/>
    <w:rsid w:val="00F978B7"/>
    <w:rsid w:val="00F97E22"/>
    <w:rsid w:val="00FA1627"/>
    <w:rsid w:val="00FA2A13"/>
    <w:rsid w:val="00FA3161"/>
    <w:rsid w:val="00FA32DD"/>
    <w:rsid w:val="00FA3978"/>
    <w:rsid w:val="00FA3CB6"/>
    <w:rsid w:val="00FA798D"/>
    <w:rsid w:val="00FA7BD8"/>
    <w:rsid w:val="00FB0458"/>
    <w:rsid w:val="00FB0EF8"/>
    <w:rsid w:val="00FB2035"/>
    <w:rsid w:val="00FB2A1D"/>
    <w:rsid w:val="00FB2F17"/>
    <w:rsid w:val="00FB6822"/>
    <w:rsid w:val="00FB6DD5"/>
    <w:rsid w:val="00FB741D"/>
    <w:rsid w:val="00FC198C"/>
    <w:rsid w:val="00FC1B88"/>
    <w:rsid w:val="00FC2CD8"/>
    <w:rsid w:val="00FC3440"/>
    <w:rsid w:val="00FC36E4"/>
    <w:rsid w:val="00FC708B"/>
    <w:rsid w:val="00FC76CE"/>
    <w:rsid w:val="00FD04F6"/>
    <w:rsid w:val="00FD743E"/>
    <w:rsid w:val="00FE2B8A"/>
    <w:rsid w:val="00FE3EA0"/>
    <w:rsid w:val="00FE696E"/>
    <w:rsid w:val="00FF0FA2"/>
    <w:rsid w:val="00FF2438"/>
    <w:rsid w:val="00FF2509"/>
    <w:rsid w:val="00FF2D7D"/>
    <w:rsid w:val="00FF3BB2"/>
    <w:rsid w:val="00FF3C7B"/>
    <w:rsid w:val="00FF47A2"/>
    <w:rsid w:val="00FF4996"/>
    <w:rsid w:val="00FF52B0"/>
    <w:rsid w:val="00FF645D"/>
    <w:rsid w:val="00FF7EE0"/>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EDDE6"/>
  <w15:docId w15:val="{D88AA593-8997-4239-8683-C25DF727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87A9C"/>
  </w:style>
  <w:style w:type="paragraph" w:styleId="Ttulo1">
    <w:name w:val="heading 1"/>
    <w:basedOn w:val="Prrafodelista"/>
    <w:next w:val="Normal"/>
    <w:link w:val="Ttulo1Car"/>
    <w:qFormat/>
    <w:rsid w:val="00C41A91"/>
    <w:pPr>
      <w:spacing w:after="0" w:line="360" w:lineRule="auto"/>
      <w:ind w:left="0"/>
      <w:jc w:val="both"/>
      <w:outlineLvl w:val="0"/>
    </w:pPr>
    <w:rPr>
      <w:rFonts w:ascii="Arial" w:hAnsi="Arial" w:cs="Arial"/>
      <w:b/>
      <w:sz w:val="28"/>
      <w:szCs w:val="24"/>
    </w:rPr>
  </w:style>
  <w:style w:type="paragraph" w:styleId="Ttulo2">
    <w:name w:val="heading 2"/>
    <w:basedOn w:val="Prrafodelista"/>
    <w:next w:val="Normal"/>
    <w:link w:val="Ttulo2Car"/>
    <w:qFormat/>
    <w:rsid w:val="00C41A91"/>
    <w:pPr>
      <w:numPr>
        <w:numId w:val="1"/>
      </w:numPr>
      <w:spacing w:after="0" w:line="360" w:lineRule="auto"/>
      <w:jc w:val="both"/>
      <w:outlineLvl w:val="1"/>
    </w:pPr>
    <w:rPr>
      <w:rFonts w:ascii="Arial" w:hAnsi="Arial" w:cs="Arial"/>
      <w:b/>
      <w:sz w:val="24"/>
    </w:rPr>
  </w:style>
  <w:style w:type="paragraph" w:styleId="Ttulo3">
    <w:name w:val="heading 3"/>
    <w:basedOn w:val="Normal"/>
    <w:next w:val="Normal"/>
    <w:link w:val="Ttulo3Car"/>
    <w:uiPriority w:val="9"/>
    <w:unhideWhenUsed/>
    <w:qFormat/>
    <w:rsid w:val="008D1E4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6C30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41A91"/>
    <w:rPr>
      <w:rFonts w:ascii="Arial" w:hAnsi="Arial" w:cs="Arial"/>
      <w:b/>
      <w:sz w:val="28"/>
      <w:szCs w:val="24"/>
    </w:rPr>
  </w:style>
  <w:style w:type="character" w:customStyle="1" w:styleId="Ttulo2Car">
    <w:name w:val="Título 2 Car"/>
    <w:basedOn w:val="Fuentedeprrafopredeter"/>
    <w:link w:val="Ttulo2"/>
    <w:rsid w:val="00C41A91"/>
    <w:rPr>
      <w:rFonts w:ascii="Arial" w:hAnsi="Arial" w:cs="Arial"/>
      <w:b/>
      <w:sz w:val="24"/>
    </w:rPr>
  </w:style>
  <w:style w:type="paragraph" w:styleId="Prrafodelista">
    <w:name w:val="List Paragraph"/>
    <w:basedOn w:val="Normal"/>
    <w:link w:val="PrrafodelistaCar"/>
    <w:uiPriority w:val="34"/>
    <w:qFormat/>
    <w:rsid w:val="00C41A91"/>
    <w:pPr>
      <w:ind w:left="720"/>
      <w:contextualSpacing/>
    </w:pPr>
  </w:style>
  <w:style w:type="paragraph" w:styleId="Textonotapie">
    <w:name w:val="footnote text"/>
    <w:aliases w:val="fn,fn Car Car,ALTS FOOTNOTE,Footnote Text 2,Footnote ak"/>
    <w:basedOn w:val="Normal"/>
    <w:link w:val="TextonotapieCar1"/>
    <w:qFormat/>
    <w:rsid w:val="00F179C6"/>
    <w:pPr>
      <w:spacing w:after="0" w:line="240" w:lineRule="auto"/>
      <w:jc w:val="both"/>
    </w:pPr>
    <w:rPr>
      <w:rFonts w:ascii="Times New Roman" w:eastAsia="Calibri" w:hAnsi="Times New Roman" w:cs="Times New Roman"/>
      <w:sz w:val="20"/>
      <w:szCs w:val="20"/>
      <w:lang w:eastAsia="es-ES"/>
    </w:rPr>
  </w:style>
  <w:style w:type="character" w:customStyle="1" w:styleId="TextonotapieCar">
    <w:name w:val="Texto nota pie Car"/>
    <w:basedOn w:val="Fuentedeprrafopredeter"/>
    <w:semiHidden/>
    <w:rsid w:val="00F179C6"/>
    <w:rPr>
      <w:sz w:val="20"/>
      <w:szCs w:val="20"/>
      <w:lang w:val="es-ES"/>
    </w:rPr>
  </w:style>
  <w:style w:type="character" w:customStyle="1" w:styleId="TextonotapieCar1">
    <w:name w:val="Texto nota pie Car1"/>
    <w:aliases w:val="fn Car,fn Car Car Car,ALTS FOOTNOTE Car,Footnote Text 2 Car,Footnote ak Car"/>
    <w:basedOn w:val="Fuentedeprrafopredeter"/>
    <w:link w:val="Textonotapie"/>
    <w:locked/>
    <w:rsid w:val="00F179C6"/>
    <w:rPr>
      <w:rFonts w:ascii="Times New Roman" w:eastAsia="Calibri" w:hAnsi="Times New Roman" w:cs="Times New Roman"/>
      <w:sz w:val="20"/>
      <w:szCs w:val="20"/>
      <w:lang w:val="es-ES" w:eastAsia="es-ES"/>
    </w:rPr>
  </w:style>
  <w:style w:type="character" w:styleId="Refdenotaalpie">
    <w:name w:val="footnote reference"/>
    <w:aliases w:val="(Ref. de nota al pie),Ref,de nota al pie"/>
    <w:basedOn w:val="Fuentedeprrafopredeter"/>
    <w:qFormat/>
    <w:rsid w:val="00F179C6"/>
    <w:rPr>
      <w:rFonts w:cs="Times New Roman"/>
      <w:vertAlign w:val="superscript"/>
    </w:rPr>
  </w:style>
  <w:style w:type="character" w:customStyle="1" w:styleId="PrrafodelistaCar">
    <w:name w:val="Párrafo de lista Car"/>
    <w:link w:val="Prrafodelista"/>
    <w:uiPriority w:val="34"/>
    <w:rsid w:val="00F179C6"/>
    <w:rPr>
      <w:lang w:val="es-ES"/>
    </w:rPr>
  </w:style>
  <w:style w:type="table" w:styleId="Tablaconcuadrcula">
    <w:name w:val="Table Grid"/>
    <w:basedOn w:val="Tablanormal"/>
    <w:uiPriority w:val="59"/>
    <w:rsid w:val="00F179C6"/>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D1E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1E48"/>
    <w:rPr>
      <w:rFonts w:ascii="Tahoma" w:hAnsi="Tahoma" w:cs="Tahoma"/>
      <w:sz w:val="16"/>
      <w:szCs w:val="16"/>
      <w:lang w:val="es-ES"/>
    </w:rPr>
  </w:style>
  <w:style w:type="character" w:customStyle="1" w:styleId="Ttulo3Car">
    <w:name w:val="Título 3 Car"/>
    <w:basedOn w:val="Fuentedeprrafopredeter"/>
    <w:link w:val="Ttulo3"/>
    <w:uiPriority w:val="9"/>
    <w:rsid w:val="008D1E48"/>
    <w:rPr>
      <w:rFonts w:asciiTheme="majorHAnsi" w:eastAsiaTheme="majorEastAsia" w:hAnsiTheme="majorHAnsi" w:cstheme="majorBidi"/>
      <w:b/>
      <w:bCs/>
      <w:color w:val="4F81BD" w:themeColor="accent1"/>
      <w:lang w:val="es-ES"/>
    </w:rPr>
  </w:style>
  <w:style w:type="paragraph" w:styleId="Textoindependiente">
    <w:name w:val="Body Text"/>
    <w:basedOn w:val="Normal"/>
    <w:link w:val="TextoindependienteCar"/>
    <w:uiPriority w:val="99"/>
    <w:semiHidden/>
    <w:unhideWhenUsed/>
    <w:rsid w:val="008D1E48"/>
    <w:pPr>
      <w:spacing w:after="120" w:line="240" w:lineRule="auto"/>
      <w:jc w:val="both"/>
    </w:pPr>
    <w:rPr>
      <w:rFonts w:ascii="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8D1E48"/>
    <w:rPr>
      <w:rFonts w:ascii="Times New Roman" w:hAnsi="Times New Roman" w:cs="Times New Roman"/>
      <w:sz w:val="24"/>
      <w:szCs w:val="24"/>
      <w:lang w:eastAsia="es-SV"/>
    </w:rPr>
  </w:style>
  <w:style w:type="paragraph" w:styleId="Sangra2detindependiente">
    <w:name w:val="Body Text Indent 2"/>
    <w:basedOn w:val="Normal"/>
    <w:link w:val="Sangra2detindependienteCar"/>
    <w:uiPriority w:val="99"/>
    <w:unhideWhenUsed/>
    <w:rsid w:val="003B0AF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B0AF0"/>
    <w:rPr>
      <w:lang w:val="es-ES"/>
    </w:rPr>
  </w:style>
  <w:style w:type="paragraph" w:styleId="NormalWeb">
    <w:name w:val="Normal (Web)"/>
    <w:basedOn w:val="Normal"/>
    <w:rsid w:val="004D66E7"/>
    <w:pPr>
      <w:spacing w:before="100" w:beforeAutospacing="1" w:after="100" w:afterAutospacing="1" w:line="240" w:lineRule="auto"/>
      <w:jc w:val="both"/>
    </w:pPr>
    <w:rPr>
      <w:rFonts w:ascii="Times New Roman" w:eastAsia="Calibri" w:hAnsi="Times New Roman" w:cs="Times New Roman"/>
      <w:sz w:val="24"/>
      <w:szCs w:val="24"/>
      <w:lang w:eastAsia="es-ES"/>
    </w:rPr>
  </w:style>
  <w:style w:type="character" w:styleId="nfasis">
    <w:name w:val="Emphasis"/>
    <w:basedOn w:val="Fuentedeprrafopredeter"/>
    <w:uiPriority w:val="20"/>
    <w:qFormat/>
    <w:rsid w:val="004D66E7"/>
    <w:rPr>
      <w:rFonts w:cs="Times New Roman"/>
      <w:i/>
      <w:iCs/>
    </w:rPr>
  </w:style>
  <w:style w:type="paragraph" w:customStyle="1" w:styleId="listparagraph">
    <w:name w:val="listparagraph"/>
    <w:basedOn w:val="Normal"/>
    <w:uiPriority w:val="99"/>
    <w:rsid w:val="004D66E7"/>
    <w:pPr>
      <w:ind w:left="720"/>
    </w:pPr>
    <w:rPr>
      <w:rFonts w:ascii="Calibri" w:eastAsia="Calibri" w:hAnsi="Calibri" w:cs="Calibri"/>
    </w:rPr>
  </w:style>
  <w:style w:type="character" w:styleId="Textoennegrita">
    <w:name w:val="Strong"/>
    <w:basedOn w:val="Fuentedeprrafopredeter"/>
    <w:uiPriority w:val="22"/>
    <w:qFormat/>
    <w:rsid w:val="00BF07A6"/>
    <w:rPr>
      <w:b/>
      <w:bCs/>
    </w:rPr>
  </w:style>
  <w:style w:type="character" w:customStyle="1" w:styleId="Ttulo4Car">
    <w:name w:val="Título 4 Car"/>
    <w:basedOn w:val="Fuentedeprrafopredeter"/>
    <w:link w:val="Ttulo4"/>
    <w:uiPriority w:val="9"/>
    <w:rsid w:val="006C301E"/>
    <w:rPr>
      <w:rFonts w:asciiTheme="majorHAnsi" w:eastAsiaTheme="majorEastAsia" w:hAnsiTheme="majorHAnsi" w:cstheme="majorBidi"/>
      <w:b/>
      <w:bCs/>
      <w:i/>
      <w:iCs/>
      <w:color w:val="4F81BD" w:themeColor="accent1"/>
    </w:rPr>
  </w:style>
  <w:style w:type="character" w:styleId="Refdecomentario">
    <w:name w:val="annotation reference"/>
    <w:basedOn w:val="Fuentedeprrafopredeter"/>
    <w:uiPriority w:val="99"/>
    <w:semiHidden/>
    <w:unhideWhenUsed/>
    <w:rsid w:val="006C301E"/>
    <w:rPr>
      <w:sz w:val="16"/>
      <w:szCs w:val="16"/>
    </w:rPr>
  </w:style>
  <w:style w:type="paragraph" w:styleId="Textocomentario">
    <w:name w:val="annotation text"/>
    <w:basedOn w:val="Normal"/>
    <w:link w:val="TextocomentarioCar"/>
    <w:uiPriority w:val="99"/>
    <w:semiHidden/>
    <w:unhideWhenUsed/>
    <w:rsid w:val="006C301E"/>
    <w:pPr>
      <w:spacing w:line="240" w:lineRule="auto"/>
    </w:pPr>
    <w:rPr>
      <w:rFonts w:ascii="Arial" w:eastAsiaTheme="minorHAnsi" w:hAnsi="Arial"/>
      <w:sz w:val="20"/>
      <w:szCs w:val="20"/>
      <w:lang w:val="es-ES" w:eastAsia="en-US"/>
    </w:rPr>
  </w:style>
  <w:style w:type="character" w:customStyle="1" w:styleId="TextocomentarioCar">
    <w:name w:val="Texto comentario Car"/>
    <w:basedOn w:val="Fuentedeprrafopredeter"/>
    <w:link w:val="Textocomentario"/>
    <w:uiPriority w:val="99"/>
    <w:semiHidden/>
    <w:rsid w:val="006C301E"/>
    <w:rPr>
      <w:rFonts w:ascii="Arial" w:eastAsiaTheme="minorHAnsi" w:hAnsi="Arial"/>
      <w:sz w:val="20"/>
      <w:szCs w:val="20"/>
      <w:lang w:val="es-ES" w:eastAsia="en-US"/>
    </w:rPr>
  </w:style>
  <w:style w:type="paragraph" w:customStyle="1" w:styleId="Default">
    <w:name w:val="Default"/>
    <w:rsid w:val="00EA4A62"/>
    <w:pPr>
      <w:autoSpaceDE w:val="0"/>
      <w:autoSpaceDN w:val="0"/>
      <w:adjustRightInd w:val="0"/>
      <w:spacing w:after="0" w:line="240" w:lineRule="auto"/>
    </w:pPr>
    <w:rPr>
      <w:rFonts w:ascii="Arial" w:hAnsi="Arial" w:cs="Arial"/>
      <w:color w:val="000000"/>
      <w:sz w:val="24"/>
      <w:szCs w:val="24"/>
      <w:lang w:val="es-ES"/>
    </w:rPr>
  </w:style>
  <w:style w:type="paragraph" w:customStyle="1" w:styleId="Textocomentario1">
    <w:name w:val="Texto comentario1"/>
    <w:basedOn w:val="Normal"/>
    <w:next w:val="Textocomentario"/>
    <w:uiPriority w:val="99"/>
    <w:unhideWhenUsed/>
    <w:rsid w:val="00E36D74"/>
    <w:pPr>
      <w:spacing w:line="240" w:lineRule="auto"/>
    </w:pPr>
    <w:rPr>
      <w:rFonts w:ascii="Arial" w:eastAsia="Calibri" w:hAnsi="Arial"/>
      <w:sz w:val="20"/>
      <w:szCs w:val="20"/>
      <w:lang w:val="es-ES" w:eastAsia="en-US"/>
    </w:rPr>
  </w:style>
  <w:style w:type="character" w:customStyle="1" w:styleId="TextocomentarioCar1">
    <w:name w:val="Texto comentario Car1"/>
    <w:basedOn w:val="Fuentedeprrafopredeter"/>
    <w:uiPriority w:val="99"/>
    <w:semiHidden/>
    <w:rsid w:val="0097544F"/>
    <w:rPr>
      <w:sz w:val="20"/>
      <w:szCs w:val="20"/>
    </w:rPr>
  </w:style>
  <w:style w:type="character" w:styleId="Hipervnculo">
    <w:name w:val="Hyperlink"/>
    <w:basedOn w:val="Fuentedeprrafopredeter"/>
    <w:uiPriority w:val="99"/>
    <w:unhideWhenUsed/>
    <w:rsid w:val="00C45C0C"/>
    <w:rPr>
      <w:color w:val="0563C1"/>
      <w:u w:val="single"/>
    </w:rPr>
  </w:style>
  <w:style w:type="paragraph" w:styleId="Textosinformato">
    <w:name w:val="Plain Text"/>
    <w:basedOn w:val="Normal"/>
    <w:link w:val="TextosinformatoCar"/>
    <w:uiPriority w:val="99"/>
    <w:semiHidden/>
    <w:unhideWhenUsed/>
    <w:rsid w:val="00F36CBD"/>
    <w:pPr>
      <w:spacing w:after="0" w:line="240" w:lineRule="auto"/>
    </w:pPr>
    <w:rPr>
      <w:rFonts w:ascii="Courier New" w:eastAsiaTheme="minorHAnsi" w:hAnsi="Courier New" w:cs="Courier New"/>
      <w:sz w:val="20"/>
      <w:szCs w:val="20"/>
    </w:rPr>
  </w:style>
  <w:style w:type="character" w:customStyle="1" w:styleId="TextosinformatoCar">
    <w:name w:val="Texto sin formato Car"/>
    <w:basedOn w:val="Fuentedeprrafopredeter"/>
    <w:link w:val="Textosinformato"/>
    <w:uiPriority w:val="99"/>
    <w:semiHidden/>
    <w:rsid w:val="00F36CBD"/>
    <w:rPr>
      <w:rFonts w:ascii="Courier New" w:eastAsiaTheme="minorHAnsi" w:hAnsi="Courier New" w:cs="Courier New"/>
      <w:sz w:val="20"/>
      <w:szCs w:val="20"/>
    </w:rPr>
  </w:style>
  <w:style w:type="paragraph" w:styleId="Encabezado">
    <w:name w:val="header"/>
    <w:basedOn w:val="Normal"/>
    <w:link w:val="EncabezadoCar"/>
    <w:uiPriority w:val="99"/>
    <w:unhideWhenUsed/>
    <w:rsid w:val="00064C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4C1B"/>
  </w:style>
  <w:style w:type="paragraph" w:styleId="Piedepgina">
    <w:name w:val="footer"/>
    <w:basedOn w:val="Normal"/>
    <w:link w:val="PiedepginaCar"/>
    <w:uiPriority w:val="99"/>
    <w:unhideWhenUsed/>
    <w:rsid w:val="00064C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4C1B"/>
  </w:style>
  <w:style w:type="paragraph" w:styleId="TtuloTDC">
    <w:name w:val="TOC Heading"/>
    <w:basedOn w:val="Ttulo1"/>
    <w:next w:val="Normal"/>
    <w:uiPriority w:val="39"/>
    <w:unhideWhenUsed/>
    <w:qFormat/>
    <w:rsid w:val="00FB2F17"/>
    <w:pPr>
      <w:keepNext/>
      <w:keepLines/>
      <w:spacing w:before="240" w:line="259" w:lineRule="auto"/>
      <w:contextualSpacing w:val="0"/>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B2F17"/>
    <w:pPr>
      <w:spacing w:after="100"/>
    </w:pPr>
  </w:style>
  <w:style w:type="paragraph" w:styleId="TDC2">
    <w:name w:val="toc 2"/>
    <w:basedOn w:val="Normal"/>
    <w:next w:val="Normal"/>
    <w:autoRedefine/>
    <w:uiPriority w:val="39"/>
    <w:unhideWhenUsed/>
    <w:rsid w:val="002F6D2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2828">
      <w:bodyDiv w:val="1"/>
      <w:marLeft w:val="0"/>
      <w:marRight w:val="0"/>
      <w:marTop w:val="0"/>
      <w:marBottom w:val="0"/>
      <w:divBdr>
        <w:top w:val="none" w:sz="0" w:space="0" w:color="auto"/>
        <w:left w:val="none" w:sz="0" w:space="0" w:color="auto"/>
        <w:bottom w:val="none" w:sz="0" w:space="0" w:color="auto"/>
        <w:right w:val="none" w:sz="0" w:space="0" w:color="auto"/>
      </w:divBdr>
    </w:div>
    <w:div w:id="49501708">
      <w:bodyDiv w:val="1"/>
      <w:marLeft w:val="0"/>
      <w:marRight w:val="0"/>
      <w:marTop w:val="0"/>
      <w:marBottom w:val="0"/>
      <w:divBdr>
        <w:top w:val="none" w:sz="0" w:space="0" w:color="auto"/>
        <w:left w:val="none" w:sz="0" w:space="0" w:color="auto"/>
        <w:bottom w:val="none" w:sz="0" w:space="0" w:color="auto"/>
        <w:right w:val="none" w:sz="0" w:space="0" w:color="auto"/>
      </w:divBdr>
    </w:div>
    <w:div w:id="79180268">
      <w:bodyDiv w:val="1"/>
      <w:marLeft w:val="0"/>
      <w:marRight w:val="0"/>
      <w:marTop w:val="0"/>
      <w:marBottom w:val="0"/>
      <w:divBdr>
        <w:top w:val="none" w:sz="0" w:space="0" w:color="auto"/>
        <w:left w:val="none" w:sz="0" w:space="0" w:color="auto"/>
        <w:bottom w:val="none" w:sz="0" w:space="0" w:color="auto"/>
        <w:right w:val="none" w:sz="0" w:space="0" w:color="auto"/>
      </w:divBdr>
    </w:div>
    <w:div w:id="92241612">
      <w:bodyDiv w:val="1"/>
      <w:marLeft w:val="0"/>
      <w:marRight w:val="0"/>
      <w:marTop w:val="0"/>
      <w:marBottom w:val="0"/>
      <w:divBdr>
        <w:top w:val="none" w:sz="0" w:space="0" w:color="auto"/>
        <w:left w:val="none" w:sz="0" w:space="0" w:color="auto"/>
        <w:bottom w:val="none" w:sz="0" w:space="0" w:color="auto"/>
        <w:right w:val="none" w:sz="0" w:space="0" w:color="auto"/>
      </w:divBdr>
    </w:div>
    <w:div w:id="100876471">
      <w:bodyDiv w:val="1"/>
      <w:marLeft w:val="0"/>
      <w:marRight w:val="0"/>
      <w:marTop w:val="0"/>
      <w:marBottom w:val="0"/>
      <w:divBdr>
        <w:top w:val="none" w:sz="0" w:space="0" w:color="auto"/>
        <w:left w:val="none" w:sz="0" w:space="0" w:color="auto"/>
        <w:bottom w:val="none" w:sz="0" w:space="0" w:color="auto"/>
        <w:right w:val="none" w:sz="0" w:space="0" w:color="auto"/>
      </w:divBdr>
    </w:div>
    <w:div w:id="161090417">
      <w:bodyDiv w:val="1"/>
      <w:marLeft w:val="0"/>
      <w:marRight w:val="0"/>
      <w:marTop w:val="0"/>
      <w:marBottom w:val="0"/>
      <w:divBdr>
        <w:top w:val="none" w:sz="0" w:space="0" w:color="auto"/>
        <w:left w:val="none" w:sz="0" w:space="0" w:color="auto"/>
        <w:bottom w:val="none" w:sz="0" w:space="0" w:color="auto"/>
        <w:right w:val="none" w:sz="0" w:space="0" w:color="auto"/>
      </w:divBdr>
    </w:div>
    <w:div w:id="228077606">
      <w:bodyDiv w:val="1"/>
      <w:marLeft w:val="0"/>
      <w:marRight w:val="0"/>
      <w:marTop w:val="0"/>
      <w:marBottom w:val="0"/>
      <w:divBdr>
        <w:top w:val="none" w:sz="0" w:space="0" w:color="auto"/>
        <w:left w:val="none" w:sz="0" w:space="0" w:color="auto"/>
        <w:bottom w:val="none" w:sz="0" w:space="0" w:color="auto"/>
        <w:right w:val="none" w:sz="0" w:space="0" w:color="auto"/>
      </w:divBdr>
    </w:div>
    <w:div w:id="253170990">
      <w:bodyDiv w:val="1"/>
      <w:marLeft w:val="0"/>
      <w:marRight w:val="0"/>
      <w:marTop w:val="0"/>
      <w:marBottom w:val="0"/>
      <w:divBdr>
        <w:top w:val="none" w:sz="0" w:space="0" w:color="auto"/>
        <w:left w:val="none" w:sz="0" w:space="0" w:color="auto"/>
        <w:bottom w:val="none" w:sz="0" w:space="0" w:color="auto"/>
        <w:right w:val="none" w:sz="0" w:space="0" w:color="auto"/>
      </w:divBdr>
    </w:div>
    <w:div w:id="284314970">
      <w:bodyDiv w:val="1"/>
      <w:marLeft w:val="0"/>
      <w:marRight w:val="0"/>
      <w:marTop w:val="0"/>
      <w:marBottom w:val="0"/>
      <w:divBdr>
        <w:top w:val="none" w:sz="0" w:space="0" w:color="auto"/>
        <w:left w:val="none" w:sz="0" w:space="0" w:color="auto"/>
        <w:bottom w:val="none" w:sz="0" w:space="0" w:color="auto"/>
        <w:right w:val="none" w:sz="0" w:space="0" w:color="auto"/>
      </w:divBdr>
      <w:divsChild>
        <w:div w:id="753160719">
          <w:marLeft w:val="446"/>
          <w:marRight w:val="0"/>
          <w:marTop w:val="0"/>
          <w:marBottom w:val="0"/>
          <w:divBdr>
            <w:top w:val="none" w:sz="0" w:space="0" w:color="auto"/>
            <w:left w:val="none" w:sz="0" w:space="0" w:color="auto"/>
            <w:bottom w:val="none" w:sz="0" w:space="0" w:color="auto"/>
            <w:right w:val="none" w:sz="0" w:space="0" w:color="auto"/>
          </w:divBdr>
        </w:div>
        <w:div w:id="1952710880">
          <w:marLeft w:val="446"/>
          <w:marRight w:val="0"/>
          <w:marTop w:val="0"/>
          <w:marBottom w:val="0"/>
          <w:divBdr>
            <w:top w:val="none" w:sz="0" w:space="0" w:color="auto"/>
            <w:left w:val="none" w:sz="0" w:space="0" w:color="auto"/>
            <w:bottom w:val="none" w:sz="0" w:space="0" w:color="auto"/>
            <w:right w:val="none" w:sz="0" w:space="0" w:color="auto"/>
          </w:divBdr>
        </w:div>
      </w:divsChild>
    </w:div>
    <w:div w:id="306134966">
      <w:bodyDiv w:val="1"/>
      <w:marLeft w:val="0"/>
      <w:marRight w:val="0"/>
      <w:marTop w:val="0"/>
      <w:marBottom w:val="0"/>
      <w:divBdr>
        <w:top w:val="none" w:sz="0" w:space="0" w:color="auto"/>
        <w:left w:val="none" w:sz="0" w:space="0" w:color="auto"/>
        <w:bottom w:val="none" w:sz="0" w:space="0" w:color="auto"/>
        <w:right w:val="none" w:sz="0" w:space="0" w:color="auto"/>
      </w:divBdr>
    </w:div>
    <w:div w:id="343938995">
      <w:bodyDiv w:val="1"/>
      <w:marLeft w:val="0"/>
      <w:marRight w:val="0"/>
      <w:marTop w:val="0"/>
      <w:marBottom w:val="0"/>
      <w:divBdr>
        <w:top w:val="none" w:sz="0" w:space="0" w:color="auto"/>
        <w:left w:val="none" w:sz="0" w:space="0" w:color="auto"/>
        <w:bottom w:val="none" w:sz="0" w:space="0" w:color="auto"/>
        <w:right w:val="none" w:sz="0" w:space="0" w:color="auto"/>
      </w:divBdr>
    </w:div>
    <w:div w:id="424882964">
      <w:bodyDiv w:val="1"/>
      <w:marLeft w:val="0"/>
      <w:marRight w:val="0"/>
      <w:marTop w:val="0"/>
      <w:marBottom w:val="0"/>
      <w:divBdr>
        <w:top w:val="none" w:sz="0" w:space="0" w:color="auto"/>
        <w:left w:val="none" w:sz="0" w:space="0" w:color="auto"/>
        <w:bottom w:val="none" w:sz="0" w:space="0" w:color="auto"/>
        <w:right w:val="none" w:sz="0" w:space="0" w:color="auto"/>
      </w:divBdr>
    </w:div>
    <w:div w:id="458570540">
      <w:bodyDiv w:val="1"/>
      <w:marLeft w:val="0"/>
      <w:marRight w:val="0"/>
      <w:marTop w:val="0"/>
      <w:marBottom w:val="0"/>
      <w:divBdr>
        <w:top w:val="none" w:sz="0" w:space="0" w:color="auto"/>
        <w:left w:val="none" w:sz="0" w:space="0" w:color="auto"/>
        <w:bottom w:val="none" w:sz="0" w:space="0" w:color="auto"/>
        <w:right w:val="none" w:sz="0" w:space="0" w:color="auto"/>
      </w:divBdr>
    </w:div>
    <w:div w:id="475880511">
      <w:bodyDiv w:val="1"/>
      <w:marLeft w:val="0"/>
      <w:marRight w:val="0"/>
      <w:marTop w:val="0"/>
      <w:marBottom w:val="0"/>
      <w:divBdr>
        <w:top w:val="none" w:sz="0" w:space="0" w:color="auto"/>
        <w:left w:val="none" w:sz="0" w:space="0" w:color="auto"/>
        <w:bottom w:val="none" w:sz="0" w:space="0" w:color="auto"/>
        <w:right w:val="none" w:sz="0" w:space="0" w:color="auto"/>
      </w:divBdr>
    </w:div>
    <w:div w:id="506870156">
      <w:bodyDiv w:val="1"/>
      <w:marLeft w:val="0"/>
      <w:marRight w:val="0"/>
      <w:marTop w:val="0"/>
      <w:marBottom w:val="0"/>
      <w:divBdr>
        <w:top w:val="none" w:sz="0" w:space="0" w:color="auto"/>
        <w:left w:val="none" w:sz="0" w:space="0" w:color="auto"/>
        <w:bottom w:val="none" w:sz="0" w:space="0" w:color="auto"/>
        <w:right w:val="none" w:sz="0" w:space="0" w:color="auto"/>
      </w:divBdr>
    </w:div>
    <w:div w:id="515534616">
      <w:bodyDiv w:val="1"/>
      <w:marLeft w:val="0"/>
      <w:marRight w:val="0"/>
      <w:marTop w:val="0"/>
      <w:marBottom w:val="0"/>
      <w:divBdr>
        <w:top w:val="none" w:sz="0" w:space="0" w:color="auto"/>
        <w:left w:val="none" w:sz="0" w:space="0" w:color="auto"/>
        <w:bottom w:val="none" w:sz="0" w:space="0" w:color="auto"/>
        <w:right w:val="none" w:sz="0" w:space="0" w:color="auto"/>
      </w:divBdr>
    </w:div>
    <w:div w:id="579944387">
      <w:bodyDiv w:val="1"/>
      <w:marLeft w:val="0"/>
      <w:marRight w:val="0"/>
      <w:marTop w:val="0"/>
      <w:marBottom w:val="0"/>
      <w:divBdr>
        <w:top w:val="none" w:sz="0" w:space="0" w:color="auto"/>
        <w:left w:val="none" w:sz="0" w:space="0" w:color="auto"/>
        <w:bottom w:val="none" w:sz="0" w:space="0" w:color="auto"/>
        <w:right w:val="none" w:sz="0" w:space="0" w:color="auto"/>
      </w:divBdr>
    </w:div>
    <w:div w:id="605618553">
      <w:bodyDiv w:val="1"/>
      <w:marLeft w:val="0"/>
      <w:marRight w:val="0"/>
      <w:marTop w:val="0"/>
      <w:marBottom w:val="0"/>
      <w:divBdr>
        <w:top w:val="none" w:sz="0" w:space="0" w:color="auto"/>
        <w:left w:val="none" w:sz="0" w:space="0" w:color="auto"/>
        <w:bottom w:val="none" w:sz="0" w:space="0" w:color="auto"/>
        <w:right w:val="none" w:sz="0" w:space="0" w:color="auto"/>
      </w:divBdr>
    </w:div>
    <w:div w:id="640156463">
      <w:bodyDiv w:val="1"/>
      <w:marLeft w:val="0"/>
      <w:marRight w:val="0"/>
      <w:marTop w:val="0"/>
      <w:marBottom w:val="0"/>
      <w:divBdr>
        <w:top w:val="none" w:sz="0" w:space="0" w:color="auto"/>
        <w:left w:val="none" w:sz="0" w:space="0" w:color="auto"/>
        <w:bottom w:val="none" w:sz="0" w:space="0" w:color="auto"/>
        <w:right w:val="none" w:sz="0" w:space="0" w:color="auto"/>
      </w:divBdr>
    </w:div>
    <w:div w:id="661397063">
      <w:bodyDiv w:val="1"/>
      <w:marLeft w:val="0"/>
      <w:marRight w:val="0"/>
      <w:marTop w:val="0"/>
      <w:marBottom w:val="0"/>
      <w:divBdr>
        <w:top w:val="none" w:sz="0" w:space="0" w:color="auto"/>
        <w:left w:val="none" w:sz="0" w:space="0" w:color="auto"/>
        <w:bottom w:val="none" w:sz="0" w:space="0" w:color="auto"/>
        <w:right w:val="none" w:sz="0" w:space="0" w:color="auto"/>
      </w:divBdr>
    </w:div>
    <w:div w:id="678389101">
      <w:bodyDiv w:val="1"/>
      <w:marLeft w:val="0"/>
      <w:marRight w:val="0"/>
      <w:marTop w:val="0"/>
      <w:marBottom w:val="0"/>
      <w:divBdr>
        <w:top w:val="none" w:sz="0" w:space="0" w:color="auto"/>
        <w:left w:val="none" w:sz="0" w:space="0" w:color="auto"/>
        <w:bottom w:val="none" w:sz="0" w:space="0" w:color="auto"/>
        <w:right w:val="none" w:sz="0" w:space="0" w:color="auto"/>
      </w:divBdr>
    </w:div>
    <w:div w:id="709452483">
      <w:bodyDiv w:val="1"/>
      <w:marLeft w:val="0"/>
      <w:marRight w:val="0"/>
      <w:marTop w:val="0"/>
      <w:marBottom w:val="0"/>
      <w:divBdr>
        <w:top w:val="none" w:sz="0" w:space="0" w:color="auto"/>
        <w:left w:val="none" w:sz="0" w:space="0" w:color="auto"/>
        <w:bottom w:val="none" w:sz="0" w:space="0" w:color="auto"/>
        <w:right w:val="none" w:sz="0" w:space="0" w:color="auto"/>
      </w:divBdr>
    </w:div>
    <w:div w:id="718284298">
      <w:bodyDiv w:val="1"/>
      <w:marLeft w:val="0"/>
      <w:marRight w:val="0"/>
      <w:marTop w:val="0"/>
      <w:marBottom w:val="0"/>
      <w:divBdr>
        <w:top w:val="none" w:sz="0" w:space="0" w:color="auto"/>
        <w:left w:val="none" w:sz="0" w:space="0" w:color="auto"/>
        <w:bottom w:val="none" w:sz="0" w:space="0" w:color="auto"/>
        <w:right w:val="none" w:sz="0" w:space="0" w:color="auto"/>
      </w:divBdr>
    </w:div>
    <w:div w:id="735014458">
      <w:bodyDiv w:val="1"/>
      <w:marLeft w:val="0"/>
      <w:marRight w:val="0"/>
      <w:marTop w:val="0"/>
      <w:marBottom w:val="0"/>
      <w:divBdr>
        <w:top w:val="none" w:sz="0" w:space="0" w:color="auto"/>
        <w:left w:val="none" w:sz="0" w:space="0" w:color="auto"/>
        <w:bottom w:val="none" w:sz="0" w:space="0" w:color="auto"/>
        <w:right w:val="none" w:sz="0" w:space="0" w:color="auto"/>
      </w:divBdr>
    </w:div>
    <w:div w:id="775179495">
      <w:bodyDiv w:val="1"/>
      <w:marLeft w:val="0"/>
      <w:marRight w:val="0"/>
      <w:marTop w:val="0"/>
      <w:marBottom w:val="0"/>
      <w:divBdr>
        <w:top w:val="none" w:sz="0" w:space="0" w:color="auto"/>
        <w:left w:val="none" w:sz="0" w:space="0" w:color="auto"/>
        <w:bottom w:val="none" w:sz="0" w:space="0" w:color="auto"/>
        <w:right w:val="none" w:sz="0" w:space="0" w:color="auto"/>
      </w:divBdr>
    </w:div>
    <w:div w:id="794719488">
      <w:bodyDiv w:val="1"/>
      <w:marLeft w:val="0"/>
      <w:marRight w:val="0"/>
      <w:marTop w:val="0"/>
      <w:marBottom w:val="0"/>
      <w:divBdr>
        <w:top w:val="none" w:sz="0" w:space="0" w:color="auto"/>
        <w:left w:val="none" w:sz="0" w:space="0" w:color="auto"/>
        <w:bottom w:val="none" w:sz="0" w:space="0" w:color="auto"/>
        <w:right w:val="none" w:sz="0" w:space="0" w:color="auto"/>
      </w:divBdr>
    </w:div>
    <w:div w:id="804784875">
      <w:bodyDiv w:val="1"/>
      <w:marLeft w:val="0"/>
      <w:marRight w:val="0"/>
      <w:marTop w:val="0"/>
      <w:marBottom w:val="0"/>
      <w:divBdr>
        <w:top w:val="none" w:sz="0" w:space="0" w:color="auto"/>
        <w:left w:val="none" w:sz="0" w:space="0" w:color="auto"/>
        <w:bottom w:val="none" w:sz="0" w:space="0" w:color="auto"/>
        <w:right w:val="none" w:sz="0" w:space="0" w:color="auto"/>
      </w:divBdr>
    </w:div>
    <w:div w:id="839269916">
      <w:bodyDiv w:val="1"/>
      <w:marLeft w:val="0"/>
      <w:marRight w:val="0"/>
      <w:marTop w:val="0"/>
      <w:marBottom w:val="0"/>
      <w:divBdr>
        <w:top w:val="none" w:sz="0" w:space="0" w:color="auto"/>
        <w:left w:val="none" w:sz="0" w:space="0" w:color="auto"/>
        <w:bottom w:val="none" w:sz="0" w:space="0" w:color="auto"/>
        <w:right w:val="none" w:sz="0" w:space="0" w:color="auto"/>
      </w:divBdr>
    </w:div>
    <w:div w:id="852231476">
      <w:bodyDiv w:val="1"/>
      <w:marLeft w:val="0"/>
      <w:marRight w:val="0"/>
      <w:marTop w:val="0"/>
      <w:marBottom w:val="0"/>
      <w:divBdr>
        <w:top w:val="none" w:sz="0" w:space="0" w:color="auto"/>
        <w:left w:val="none" w:sz="0" w:space="0" w:color="auto"/>
        <w:bottom w:val="none" w:sz="0" w:space="0" w:color="auto"/>
        <w:right w:val="none" w:sz="0" w:space="0" w:color="auto"/>
      </w:divBdr>
    </w:div>
    <w:div w:id="909072438">
      <w:bodyDiv w:val="1"/>
      <w:marLeft w:val="0"/>
      <w:marRight w:val="0"/>
      <w:marTop w:val="0"/>
      <w:marBottom w:val="0"/>
      <w:divBdr>
        <w:top w:val="none" w:sz="0" w:space="0" w:color="auto"/>
        <w:left w:val="none" w:sz="0" w:space="0" w:color="auto"/>
        <w:bottom w:val="none" w:sz="0" w:space="0" w:color="auto"/>
        <w:right w:val="none" w:sz="0" w:space="0" w:color="auto"/>
      </w:divBdr>
    </w:div>
    <w:div w:id="956259901">
      <w:bodyDiv w:val="1"/>
      <w:marLeft w:val="0"/>
      <w:marRight w:val="0"/>
      <w:marTop w:val="0"/>
      <w:marBottom w:val="0"/>
      <w:divBdr>
        <w:top w:val="none" w:sz="0" w:space="0" w:color="auto"/>
        <w:left w:val="none" w:sz="0" w:space="0" w:color="auto"/>
        <w:bottom w:val="none" w:sz="0" w:space="0" w:color="auto"/>
        <w:right w:val="none" w:sz="0" w:space="0" w:color="auto"/>
      </w:divBdr>
    </w:div>
    <w:div w:id="1013410568">
      <w:bodyDiv w:val="1"/>
      <w:marLeft w:val="0"/>
      <w:marRight w:val="0"/>
      <w:marTop w:val="0"/>
      <w:marBottom w:val="0"/>
      <w:divBdr>
        <w:top w:val="none" w:sz="0" w:space="0" w:color="auto"/>
        <w:left w:val="none" w:sz="0" w:space="0" w:color="auto"/>
        <w:bottom w:val="none" w:sz="0" w:space="0" w:color="auto"/>
        <w:right w:val="none" w:sz="0" w:space="0" w:color="auto"/>
      </w:divBdr>
    </w:div>
    <w:div w:id="1050108578">
      <w:bodyDiv w:val="1"/>
      <w:marLeft w:val="0"/>
      <w:marRight w:val="0"/>
      <w:marTop w:val="0"/>
      <w:marBottom w:val="0"/>
      <w:divBdr>
        <w:top w:val="none" w:sz="0" w:space="0" w:color="auto"/>
        <w:left w:val="none" w:sz="0" w:space="0" w:color="auto"/>
        <w:bottom w:val="none" w:sz="0" w:space="0" w:color="auto"/>
        <w:right w:val="none" w:sz="0" w:space="0" w:color="auto"/>
      </w:divBdr>
    </w:div>
    <w:div w:id="1051074081">
      <w:bodyDiv w:val="1"/>
      <w:marLeft w:val="0"/>
      <w:marRight w:val="0"/>
      <w:marTop w:val="0"/>
      <w:marBottom w:val="0"/>
      <w:divBdr>
        <w:top w:val="none" w:sz="0" w:space="0" w:color="auto"/>
        <w:left w:val="none" w:sz="0" w:space="0" w:color="auto"/>
        <w:bottom w:val="none" w:sz="0" w:space="0" w:color="auto"/>
        <w:right w:val="none" w:sz="0" w:space="0" w:color="auto"/>
      </w:divBdr>
    </w:div>
    <w:div w:id="1057388345">
      <w:bodyDiv w:val="1"/>
      <w:marLeft w:val="0"/>
      <w:marRight w:val="0"/>
      <w:marTop w:val="0"/>
      <w:marBottom w:val="0"/>
      <w:divBdr>
        <w:top w:val="none" w:sz="0" w:space="0" w:color="auto"/>
        <w:left w:val="none" w:sz="0" w:space="0" w:color="auto"/>
        <w:bottom w:val="none" w:sz="0" w:space="0" w:color="auto"/>
        <w:right w:val="none" w:sz="0" w:space="0" w:color="auto"/>
      </w:divBdr>
    </w:div>
    <w:div w:id="1198352960">
      <w:bodyDiv w:val="1"/>
      <w:marLeft w:val="0"/>
      <w:marRight w:val="0"/>
      <w:marTop w:val="0"/>
      <w:marBottom w:val="0"/>
      <w:divBdr>
        <w:top w:val="none" w:sz="0" w:space="0" w:color="auto"/>
        <w:left w:val="none" w:sz="0" w:space="0" w:color="auto"/>
        <w:bottom w:val="none" w:sz="0" w:space="0" w:color="auto"/>
        <w:right w:val="none" w:sz="0" w:space="0" w:color="auto"/>
      </w:divBdr>
    </w:div>
    <w:div w:id="1202327646">
      <w:bodyDiv w:val="1"/>
      <w:marLeft w:val="0"/>
      <w:marRight w:val="0"/>
      <w:marTop w:val="0"/>
      <w:marBottom w:val="0"/>
      <w:divBdr>
        <w:top w:val="none" w:sz="0" w:space="0" w:color="auto"/>
        <w:left w:val="none" w:sz="0" w:space="0" w:color="auto"/>
        <w:bottom w:val="none" w:sz="0" w:space="0" w:color="auto"/>
        <w:right w:val="none" w:sz="0" w:space="0" w:color="auto"/>
      </w:divBdr>
    </w:div>
    <w:div w:id="1203902030">
      <w:bodyDiv w:val="1"/>
      <w:marLeft w:val="0"/>
      <w:marRight w:val="0"/>
      <w:marTop w:val="0"/>
      <w:marBottom w:val="0"/>
      <w:divBdr>
        <w:top w:val="none" w:sz="0" w:space="0" w:color="auto"/>
        <w:left w:val="none" w:sz="0" w:space="0" w:color="auto"/>
        <w:bottom w:val="none" w:sz="0" w:space="0" w:color="auto"/>
        <w:right w:val="none" w:sz="0" w:space="0" w:color="auto"/>
      </w:divBdr>
    </w:div>
    <w:div w:id="1209298001">
      <w:bodyDiv w:val="1"/>
      <w:marLeft w:val="0"/>
      <w:marRight w:val="0"/>
      <w:marTop w:val="0"/>
      <w:marBottom w:val="0"/>
      <w:divBdr>
        <w:top w:val="none" w:sz="0" w:space="0" w:color="auto"/>
        <w:left w:val="none" w:sz="0" w:space="0" w:color="auto"/>
        <w:bottom w:val="none" w:sz="0" w:space="0" w:color="auto"/>
        <w:right w:val="none" w:sz="0" w:space="0" w:color="auto"/>
      </w:divBdr>
    </w:div>
    <w:div w:id="1240214002">
      <w:bodyDiv w:val="1"/>
      <w:marLeft w:val="0"/>
      <w:marRight w:val="0"/>
      <w:marTop w:val="0"/>
      <w:marBottom w:val="0"/>
      <w:divBdr>
        <w:top w:val="none" w:sz="0" w:space="0" w:color="auto"/>
        <w:left w:val="none" w:sz="0" w:space="0" w:color="auto"/>
        <w:bottom w:val="none" w:sz="0" w:space="0" w:color="auto"/>
        <w:right w:val="none" w:sz="0" w:space="0" w:color="auto"/>
      </w:divBdr>
    </w:div>
    <w:div w:id="1269393983">
      <w:bodyDiv w:val="1"/>
      <w:marLeft w:val="0"/>
      <w:marRight w:val="0"/>
      <w:marTop w:val="0"/>
      <w:marBottom w:val="0"/>
      <w:divBdr>
        <w:top w:val="none" w:sz="0" w:space="0" w:color="auto"/>
        <w:left w:val="none" w:sz="0" w:space="0" w:color="auto"/>
        <w:bottom w:val="none" w:sz="0" w:space="0" w:color="auto"/>
        <w:right w:val="none" w:sz="0" w:space="0" w:color="auto"/>
      </w:divBdr>
    </w:div>
    <w:div w:id="1306737025">
      <w:bodyDiv w:val="1"/>
      <w:marLeft w:val="0"/>
      <w:marRight w:val="0"/>
      <w:marTop w:val="0"/>
      <w:marBottom w:val="0"/>
      <w:divBdr>
        <w:top w:val="none" w:sz="0" w:space="0" w:color="auto"/>
        <w:left w:val="none" w:sz="0" w:space="0" w:color="auto"/>
        <w:bottom w:val="none" w:sz="0" w:space="0" w:color="auto"/>
        <w:right w:val="none" w:sz="0" w:space="0" w:color="auto"/>
      </w:divBdr>
    </w:div>
    <w:div w:id="1344287591">
      <w:bodyDiv w:val="1"/>
      <w:marLeft w:val="0"/>
      <w:marRight w:val="0"/>
      <w:marTop w:val="0"/>
      <w:marBottom w:val="0"/>
      <w:divBdr>
        <w:top w:val="none" w:sz="0" w:space="0" w:color="auto"/>
        <w:left w:val="none" w:sz="0" w:space="0" w:color="auto"/>
        <w:bottom w:val="none" w:sz="0" w:space="0" w:color="auto"/>
        <w:right w:val="none" w:sz="0" w:space="0" w:color="auto"/>
      </w:divBdr>
    </w:div>
    <w:div w:id="1352028764">
      <w:bodyDiv w:val="1"/>
      <w:marLeft w:val="0"/>
      <w:marRight w:val="0"/>
      <w:marTop w:val="0"/>
      <w:marBottom w:val="0"/>
      <w:divBdr>
        <w:top w:val="none" w:sz="0" w:space="0" w:color="auto"/>
        <w:left w:val="none" w:sz="0" w:space="0" w:color="auto"/>
        <w:bottom w:val="none" w:sz="0" w:space="0" w:color="auto"/>
        <w:right w:val="none" w:sz="0" w:space="0" w:color="auto"/>
      </w:divBdr>
    </w:div>
    <w:div w:id="1361859978">
      <w:bodyDiv w:val="1"/>
      <w:marLeft w:val="0"/>
      <w:marRight w:val="0"/>
      <w:marTop w:val="0"/>
      <w:marBottom w:val="0"/>
      <w:divBdr>
        <w:top w:val="none" w:sz="0" w:space="0" w:color="auto"/>
        <w:left w:val="none" w:sz="0" w:space="0" w:color="auto"/>
        <w:bottom w:val="none" w:sz="0" w:space="0" w:color="auto"/>
        <w:right w:val="none" w:sz="0" w:space="0" w:color="auto"/>
      </w:divBdr>
    </w:div>
    <w:div w:id="1426462693">
      <w:bodyDiv w:val="1"/>
      <w:marLeft w:val="0"/>
      <w:marRight w:val="0"/>
      <w:marTop w:val="0"/>
      <w:marBottom w:val="0"/>
      <w:divBdr>
        <w:top w:val="none" w:sz="0" w:space="0" w:color="auto"/>
        <w:left w:val="none" w:sz="0" w:space="0" w:color="auto"/>
        <w:bottom w:val="none" w:sz="0" w:space="0" w:color="auto"/>
        <w:right w:val="none" w:sz="0" w:space="0" w:color="auto"/>
      </w:divBdr>
    </w:div>
    <w:div w:id="1433085989">
      <w:bodyDiv w:val="1"/>
      <w:marLeft w:val="0"/>
      <w:marRight w:val="0"/>
      <w:marTop w:val="0"/>
      <w:marBottom w:val="0"/>
      <w:divBdr>
        <w:top w:val="none" w:sz="0" w:space="0" w:color="auto"/>
        <w:left w:val="none" w:sz="0" w:space="0" w:color="auto"/>
        <w:bottom w:val="none" w:sz="0" w:space="0" w:color="auto"/>
        <w:right w:val="none" w:sz="0" w:space="0" w:color="auto"/>
      </w:divBdr>
    </w:div>
    <w:div w:id="1454594474">
      <w:bodyDiv w:val="1"/>
      <w:marLeft w:val="0"/>
      <w:marRight w:val="0"/>
      <w:marTop w:val="0"/>
      <w:marBottom w:val="0"/>
      <w:divBdr>
        <w:top w:val="none" w:sz="0" w:space="0" w:color="auto"/>
        <w:left w:val="none" w:sz="0" w:space="0" w:color="auto"/>
        <w:bottom w:val="none" w:sz="0" w:space="0" w:color="auto"/>
        <w:right w:val="none" w:sz="0" w:space="0" w:color="auto"/>
      </w:divBdr>
    </w:div>
    <w:div w:id="1493062258">
      <w:bodyDiv w:val="1"/>
      <w:marLeft w:val="0"/>
      <w:marRight w:val="0"/>
      <w:marTop w:val="0"/>
      <w:marBottom w:val="0"/>
      <w:divBdr>
        <w:top w:val="none" w:sz="0" w:space="0" w:color="auto"/>
        <w:left w:val="none" w:sz="0" w:space="0" w:color="auto"/>
        <w:bottom w:val="none" w:sz="0" w:space="0" w:color="auto"/>
        <w:right w:val="none" w:sz="0" w:space="0" w:color="auto"/>
      </w:divBdr>
    </w:div>
    <w:div w:id="1530146682">
      <w:bodyDiv w:val="1"/>
      <w:marLeft w:val="0"/>
      <w:marRight w:val="0"/>
      <w:marTop w:val="0"/>
      <w:marBottom w:val="0"/>
      <w:divBdr>
        <w:top w:val="none" w:sz="0" w:space="0" w:color="auto"/>
        <w:left w:val="none" w:sz="0" w:space="0" w:color="auto"/>
        <w:bottom w:val="none" w:sz="0" w:space="0" w:color="auto"/>
        <w:right w:val="none" w:sz="0" w:space="0" w:color="auto"/>
      </w:divBdr>
    </w:div>
    <w:div w:id="1552570374">
      <w:bodyDiv w:val="1"/>
      <w:marLeft w:val="0"/>
      <w:marRight w:val="0"/>
      <w:marTop w:val="0"/>
      <w:marBottom w:val="0"/>
      <w:divBdr>
        <w:top w:val="none" w:sz="0" w:space="0" w:color="auto"/>
        <w:left w:val="none" w:sz="0" w:space="0" w:color="auto"/>
        <w:bottom w:val="none" w:sz="0" w:space="0" w:color="auto"/>
        <w:right w:val="none" w:sz="0" w:space="0" w:color="auto"/>
      </w:divBdr>
    </w:div>
    <w:div w:id="1594822387">
      <w:bodyDiv w:val="1"/>
      <w:marLeft w:val="0"/>
      <w:marRight w:val="0"/>
      <w:marTop w:val="0"/>
      <w:marBottom w:val="0"/>
      <w:divBdr>
        <w:top w:val="none" w:sz="0" w:space="0" w:color="auto"/>
        <w:left w:val="none" w:sz="0" w:space="0" w:color="auto"/>
        <w:bottom w:val="none" w:sz="0" w:space="0" w:color="auto"/>
        <w:right w:val="none" w:sz="0" w:space="0" w:color="auto"/>
      </w:divBdr>
    </w:div>
    <w:div w:id="1612200886">
      <w:bodyDiv w:val="1"/>
      <w:marLeft w:val="0"/>
      <w:marRight w:val="0"/>
      <w:marTop w:val="0"/>
      <w:marBottom w:val="0"/>
      <w:divBdr>
        <w:top w:val="none" w:sz="0" w:space="0" w:color="auto"/>
        <w:left w:val="none" w:sz="0" w:space="0" w:color="auto"/>
        <w:bottom w:val="none" w:sz="0" w:space="0" w:color="auto"/>
        <w:right w:val="none" w:sz="0" w:space="0" w:color="auto"/>
      </w:divBdr>
    </w:div>
    <w:div w:id="1640304190">
      <w:bodyDiv w:val="1"/>
      <w:marLeft w:val="0"/>
      <w:marRight w:val="0"/>
      <w:marTop w:val="0"/>
      <w:marBottom w:val="0"/>
      <w:divBdr>
        <w:top w:val="none" w:sz="0" w:space="0" w:color="auto"/>
        <w:left w:val="none" w:sz="0" w:space="0" w:color="auto"/>
        <w:bottom w:val="none" w:sz="0" w:space="0" w:color="auto"/>
        <w:right w:val="none" w:sz="0" w:space="0" w:color="auto"/>
      </w:divBdr>
    </w:div>
    <w:div w:id="1644193280">
      <w:bodyDiv w:val="1"/>
      <w:marLeft w:val="0"/>
      <w:marRight w:val="0"/>
      <w:marTop w:val="0"/>
      <w:marBottom w:val="0"/>
      <w:divBdr>
        <w:top w:val="none" w:sz="0" w:space="0" w:color="auto"/>
        <w:left w:val="none" w:sz="0" w:space="0" w:color="auto"/>
        <w:bottom w:val="none" w:sz="0" w:space="0" w:color="auto"/>
        <w:right w:val="none" w:sz="0" w:space="0" w:color="auto"/>
      </w:divBdr>
    </w:div>
    <w:div w:id="1648513948">
      <w:bodyDiv w:val="1"/>
      <w:marLeft w:val="0"/>
      <w:marRight w:val="0"/>
      <w:marTop w:val="0"/>
      <w:marBottom w:val="0"/>
      <w:divBdr>
        <w:top w:val="none" w:sz="0" w:space="0" w:color="auto"/>
        <w:left w:val="none" w:sz="0" w:space="0" w:color="auto"/>
        <w:bottom w:val="none" w:sz="0" w:space="0" w:color="auto"/>
        <w:right w:val="none" w:sz="0" w:space="0" w:color="auto"/>
      </w:divBdr>
    </w:div>
    <w:div w:id="1652247747">
      <w:bodyDiv w:val="1"/>
      <w:marLeft w:val="0"/>
      <w:marRight w:val="0"/>
      <w:marTop w:val="0"/>
      <w:marBottom w:val="0"/>
      <w:divBdr>
        <w:top w:val="none" w:sz="0" w:space="0" w:color="auto"/>
        <w:left w:val="none" w:sz="0" w:space="0" w:color="auto"/>
        <w:bottom w:val="none" w:sz="0" w:space="0" w:color="auto"/>
        <w:right w:val="none" w:sz="0" w:space="0" w:color="auto"/>
      </w:divBdr>
    </w:div>
    <w:div w:id="1654066063">
      <w:bodyDiv w:val="1"/>
      <w:marLeft w:val="0"/>
      <w:marRight w:val="0"/>
      <w:marTop w:val="0"/>
      <w:marBottom w:val="0"/>
      <w:divBdr>
        <w:top w:val="none" w:sz="0" w:space="0" w:color="auto"/>
        <w:left w:val="none" w:sz="0" w:space="0" w:color="auto"/>
        <w:bottom w:val="none" w:sz="0" w:space="0" w:color="auto"/>
        <w:right w:val="none" w:sz="0" w:space="0" w:color="auto"/>
      </w:divBdr>
    </w:div>
    <w:div w:id="1664311660">
      <w:bodyDiv w:val="1"/>
      <w:marLeft w:val="0"/>
      <w:marRight w:val="0"/>
      <w:marTop w:val="0"/>
      <w:marBottom w:val="0"/>
      <w:divBdr>
        <w:top w:val="none" w:sz="0" w:space="0" w:color="auto"/>
        <w:left w:val="none" w:sz="0" w:space="0" w:color="auto"/>
        <w:bottom w:val="none" w:sz="0" w:space="0" w:color="auto"/>
        <w:right w:val="none" w:sz="0" w:space="0" w:color="auto"/>
      </w:divBdr>
    </w:div>
    <w:div w:id="1689867378">
      <w:bodyDiv w:val="1"/>
      <w:marLeft w:val="0"/>
      <w:marRight w:val="0"/>
      <w:marTop w:val="0"/>
      <w:marBottom w:val="0"/>
      <w:divBdr>
        <w:top w:val="none" w:sz="0" w:space="0" w:color="auto"/>
        <w:left w:val="none" w:sz="0" w:space="0" w:color="auto"/>
        <w:bottom w:val="none" w:sz="0" w:space="0" w:color="auto"/>
        <w:right w:val="none" w:sz="0" w:space="0" w:color="auto"/>
      </w:divBdr>
    </w:div>
    <w:div w:id="1714688766">
      <w:bodyDiv w:val="1"/>
      <w:marLeft w:val="0"/>
      <w:marRight w:val="0"/>
      <w:marTop w:val="0"/>
      <w:marBottom w:val="0"/>
      <w:divBdr>
        <w:top w:val="none" w:sz="0" w:space="0" w:color="auto"/>
        <w:left w:val="none" w:sz="0" w:space="0" w:color="auto"/>
        <w:bottom w:val="none" w:sz="0" w:space="0" w:color="auto"/>
        <w:right w:val="none" w:sz="0" w:space="0" w:color="auto"/>
      </w:divBdr>
    </w:div>
    <w:div w:id="1718629598">
      <w:bodyDiv w:val="1"/>
      <w:marLeft w:val="0"/>
      <w:marRight w:val="0"/>
      <w:marTop w:val="0"/>
      <w:marBottom w:val="0"/>
      <w:divBdr>
        <w:top w:val="none" w:sz="0" w:space="0" w:color="auto"/>
        <w:left w:val="none" w:sz="0" w:space="0" w:color="auto"/>
        <w:bottom w:val="none" w:sz="0" w:space="0" w:color="auto"/>
        <w:right w:val="none" w:sz="0" w:space="0" w:color="auto"/>
      </w:divBdr>
    </w:div>
    <w:div w:id="1727144218">
      <w:bodyDiv w:val="1"/>
      <w:marLeft w:val="0"/>
      <w:marRight w:val="0"/>
      <w:marTop w:val="0"/>
      <w:marBottom w:val="0"/>
      <w:divBdr>
        <w:top w:val="none" w:sz="0" w:space="0" w:color="auto"/>
        <w:left w:val="none" w:sz="0" w:space="0" w:color="auto"/>
        <w:bottom w:val="none" w:sz="0" w:space="0" w:color="auto"/>
        <w:right w:val="none" w:sz="0" w:space="0" w:color="auto"/>
      </w:divBdr>
    </w:div>
    <w:div w:id="1738090200">
      <w:bodyDiv w:val="1"/>
      <w:marLeft w:val="0"/>
      <w:marRight w:val="0"/>
      <w:marTop w:val="0"/>
      <w:marBottom w:val="0"/>
      <w:divBdr>
        <w:top w:val="none" w:sz="0" w:space="0" w:color="auto"/>
        <w:left w:val="none" w:sz="0" w:space="0" w:color="auto"/>
        <w:bottom w:val="none" w:sz="0" w:space="0" w:color="auto"/>
        <w:right w:val="none" w:sz="0" w:space="0" w:color="auto"/>
      </w:divBdr>
    </w:div>
    <w:div w:id="1739787295">
      <w:bodyDiv w:val="1"/>
      <w:marLeft w:val="0"/>
      <w:marRight w:val="0"/>
      <w:marTop w:val="0"/>
      <w:marBottom w:val="0"/>
      <w:divBdr>
        <w:top w:val="none" w:sz="0" w:space="0" w:color="auto"/>
        <w:left w:val="none" w:sz="0" w:space="0" w:color="auto"/>
        <w:bottom w:val="none" w:sz="0" w:space="0" w:color="auto"/>
        <w:right w:val="none" w:sz="0" w:space="0" w:color="auto"/>
      </w:divBdr>
    </w:div>
    <w:div w:id="1781220103">
      <w:bodyDiv w:val="1"/>
      <w:marLeft w:val="0"/>
      <w:marRight w:val="0"/>
      <w:marTop w:val="0"/>
      <w:marBottom w:val="0"/>
      <w:divBdr>
        <w:top w:val="none" w:sz="0" w:space="0" w:color="auto"/>
        <w:left w:val="none" w:sz="0" w:space="0" w:color="auto"/>
        <w:bottom w:val="none" w:sz="0" w:space="0" w:color="auto"/>
        <w:right w:val="none" w:sz="0" w:space="0" w:color="auto"/>
      </w:divBdr>
    </w:div>
    <w:div w:id="1796361708">
      <w:bodyDiv w:val="1"/>
      <w:marLeft w:val="0"/>
      <w:marRight w:val="0"/>
      <w:marTop w:val="0"/>
      <w:marBottom w:val="0"/>
      <w:divBdr>
        <w:top w:val="none" w:sz="0" w:space="0" w:color="auto"/>
        <w:left w:val="none" w:sz="0" w:space="0" w:color="auto"/>
        <w:bottom w:val="none" w:sz="0" w:space="0" w:color="auto"/>
        <w:right w:val="none" w:sz="0" w:space="0" w:color="auto"/>
      </w:divBdr>
    </w:div>
    <w:div w:id="1806921142">
      <w:bodyDiv w:val="1"/>
      <w:marLeft w:val="0"/>
      <w:marRight w:val="0"/>
      <w:marTop w:val="0"/>
      <w:marBottom w:val="0"/>
      <w:divBdr>
        <w:top w:val="none" w:sz="0" w:space="0" w:color="auto"/>
        <w:left w:val="none" w:sz="0" w:space="0" w:color="auto"/>
        <w:bottom w:val="none" w:sz="0" w:space="0" w:color="auto"/>
        <w:right w:val="none" w:sz="0" w:space="0" w:color="auto"/>
      </w:divBdr>
    </w:div>
    <w:div w:id="1840850157">
      <w:bodyDiv w:val="1"/>
      <w:marLeft w:val="0"/>
      <w:marRight w:val="0"/>
      <w:marTop w:val="0"/>
      <w:marBottom w:val="0"/>
      <w:divBdr>
        <w:top w:val="none" w:sz="0" w:space="0" w:color="auto"/>
        <w:left w:val="none" w:sz="0" w:space="0" w:color="auto"/>
        <w:bottom w:val="none" w:sz="0" w:space="0" w:color="auto"/>
        <w:right w:val="none" w:sz="0" w:space="0" w:color="auto"/>
      </w:divBdr>
    </w:div>
    <w:div w:id="1842423628">
      <w:bodyDiv w:val="1"/>
      <w:marLeft w:val="0"/>
      <w:marRight w:val="0"/>
      <w:marTop w:val="0"/>
      <w:marBottom w:val="0"/>
      <w:divBdr>
        <w:top w:val="none" w:sz="0" w:space="0" w:color="auto"/>
        <w:left w:val="none" w:sz="0" w:space="0" w:color="auto"/>
        <w:bottom w:val="none" w:sz="0" w:space="0" w:color="auto"/>
        <w:right w:val="none" w:sz="0" w:space="0" w:color="auto"/>
      </w:divBdr>
    </w:div>
    <w:div w:id="1866669371">
      <w:bodyDiv w:val="1"/>
      <w:marLeft w:val="0"/>
      <w:marRight w:val="0"/>
      <w:marTop w:val="0"/>
      <w:marBottom w:val="0"/>
      <w:divBdr>
        <w:top w:val="none" w:sz="0" w:space="0" w:color="auto"/>
        <w:left w:val="none" w:sz="0" w:space="0" w:color="auto"/>
        <w:bottom w:val="none" w:sz="0" w:space="0" w:color="auto"/>
        <w:right w:val="none" w:sz="0" w:space="0" w:color="auto"/>
      </w:divBdr>
    </w:div>
    <w:div w:id="1879390561">
      <w:bodyDiv w:val="1"/>
      <w:marLeft w:val="0"/>
      <w:marRight w:val="0"/>
      <w:marTop w:val="0"/>
      <w:marBottom w:val="0"/>
      <w:divBdr>
        <w:top w:val="none" w:sz="0" w:space="0" w:color="auto"/>
        <w:left w:val="none" w:sz="0" w:space="0" w:color="auto"/>
        <w:bottom w:val="none" w:sz="0" w:space="0" w:color="auto"/>
        <w:right w:val="none" w:sz="0" w:space="0" w:color="auto"/>
      </w:divBdr>
    </w:div>
    <w:div w:id="1892959321">
      <w:bodyDiv w:val="1"/>
      <w:marLeft w:val="0"/>
      <w:marRight w:val="0"/>
      <w:marTop w:val="0"/>
      <w:marBottom w:val="0"/>
      <w:divBdr>
        <w:top w:val="none" w:sz="0" w:space="0" w:color="auto"/>
        <w:left w:val="none" w:sz="0" w:space="0" w:color="auto"/>
        <w:bottom w:val="none" w:sz="0" w:space="0" w:color="auto"/>
        <w:right w:val="none" w:sz="0" w:space="0" w:color="auto"/>
      </w:divBdr>
    </w:div>
    <w:div w:id="1897466853">
      <w:bodyDiv w:val="1"/>
      <w:marLeft w:val="0"/>
      <w:marRight w:val="0"/>
      <w:marTop w:val="0"/>
      <w:marBottom w:val="0"/>
      <w:divBdr>
        <w:top w:val="none" w:sz="0" w:space="0" w:color="auto"/>
        <w:left w:val="none" w:sz="0" w:space="0" w:color="auto"/>
        <w:bottom w:val="none" w:sz="0" w:space="0" w:color="auto"/>
        <w:right w:val="none" w:sz="0" w:space="0" w:color="auto"/>
      </w:divBdr>
    </w:div>
    <w:div w:id="1918979885">
      <w:bodyDiv w:val="1"/>
      <w:marLeft w:val="0"/>
      <w:marRight w:val="0"/>
      <w:marTop w:val="0"/>
      <w:marBottom w:val="0"/>
      <w:divBdr>
        <w:top w:val="none" w:sz="0" w:space="0" w:color="auto"/>
        <w:left w:val="none" w:sz="0" w:space="0" w:color="auto"/>
        <w:bottom w:val="none" w:sz="0" w:space="0" w:color="auto"/>
        <w:right w:val="none" w:sz="0" w:space="0" w:color="auto"/>
      </w:divBdr>
    </w:div>
    <w:div w:id="1925996147">
      <w:bodyDiv w:val="1"/>
      <w:marLeft w:val="0"/>
      <w:marRight w:val="0"/>
      <w:marTop w:val="0"/>
      <w:marBottom w:val="0"/>
      <w:divBdr>
        <w:top w:val="none" w:sz="0" w:space="0" w:color="auto"/>
        <w:left w:val="none" w:sz="0" w:space="0" w:color="auto"/>
        <w:bottom w:val="none" w:sz="0" w:space="0" w:color="auto"/>
        <w:right w:val="none" w:sz="0" w:space="0" w:color="auto"/>
      </w:divBdr>
    </w:div>
    <w:div w:id="1926761179">
      <w:bodyDiv w:val="1"/>
      <w:marLeft w:val="0"/>
      <w:marRight w:val="0"/>
      <w:marTop w:val="0"/>
      <w:marBottom w:val="0"/>
      <w:divBdr>
        <w:top w:val="none" w:sz="0" w:space="0" w:color="auto"/>
        <w:left w:val="none" w:sz="0" w:space="0" w:color="auto"/>
        <w:bottom w:val="none" w:sz="0" w:space="0" w:color="auto"/>
        <w:right w:val="none" w:sz="0" w:space="0" w:color="auto"/>
      </w:divBdr>
    </w:div>
    <w:div w:id="1945724970">
      <w:bodyDiv w:val="1"/>
      <w:marLeft w:val="0"/>
      <w:marRight w:val="0"/>
      <w:marTop w:val="0"/>
      <w:marBottom w:val="0"/>
      <w:divBdr>
        <w:top w:val="none" w:sz="0" w:space="0" w:color="auto"/>
        <w:left w:val="none" w:sz="0" w:space="0" w:color="auto"/>
        <w:bottom w:val="none" w:sz="0" w:space="0" w:color="auto"/>
        <w:right w:val="none" w:sz="0" w:space="0" w:color="auto"/>
      </w:divBdr>
    </w:div>
    <w:div w:id="2016951583">
      <w:bodyDiv w:val="1"/>
      <w:marLeft w:val="0"/>
      <w:marRight w:val="0"/>
      <w:marTop w:val="0"/>
      <w:marBottom w:val="0"/>
      <w:divBdr>
        <w:top w:val="none" w:sz="0" w:space="0" w:color="auto"/>
        <w:left w:val="none" w:sz="0" w:space="0" w:color="auto"/>
        <w:bottom w:val="none" w:sz="0" w:space="0" w:color="auto"/>
        <w:right w:val="none" w:sz="0" w:space="0" w:color="auto"/>
      </w:divBdr>
    </w:div>
    <w:div w:id="2048942416">
      <w:bodyDiv w:val="1"/>
      <w:marLeft w:val="0"/>
      <w:marRight w:val="0"/>
      <w:marTop w:val="0"/>
      <w:marBottom w:val="0"/>
      <w:divBdr>
        <w:top w:val="none" w:sz="0" w:space="0" w:color="auto"/>
        <w:left w:val="none" w:sz="0" w:space="0" w:color="auto"/>
        <w:bottom w:val="none" w:sz="0" w:space="0" w:color="auto"/>
        <w:right w:val="none" w:sz="0" w:space="0" w:color="auto"/>
      </w:divBdr>
    </w:div>
    <w:div w:id="2060282236">
      <w:bodyDiv w:val="1"/>
      <w:marLeft w:val="0"/>
      <w:marRight w:val="0"/>
      <w:marTop w:val="0"/>
      <w:marBottom w:val="0"/>
      <w:divBdr>
        <w:top w:val="none" w:sz="0" w:space="0" w:color="auto"/>
        <w:left w:val="none" w:sz="0" w:space="0" w:color="auto"/>
        <w:bottom w:val="none" w:sz="0" w:space="0" w:color="auto"/>
        <w:right w:val="none" w:sz="0" w:space="0" w:color="auto"/>
      </w:divBdr>
    </w:div>
    <w:div w:id="2070642200">
      <w:bodyDiv w:val="1"/>
      <w:marLeft w:val="0"/>
      <w:marRight w:val="0"/>
      <w:marTop w:val="0"/>
      <w:marBottom w:val="0"/>
      <w:divBdr>
        <w:top w:val="none" w:sz="0" w:space="0" w:color="auto"/>
        <w:left w:val="none" w:sz="0" w:space="0" w:color="auto"/>
        <w:bottom w:val="none" w:sz="0" w:space="0" w:color="auto"/>
        <w:right w:val="none" w:sz="0" w:space="0" w:color="auto"/>
      </w:divBdr>
    </w:div>
    <w:div w:id="2071616919">
      <w:bodyDiv w:val="1"/>
      <w:marLeft w:val="0"/>
      <w:marRight w:val="0"/>
      <w:marTop w:val="0"/>
      <w:marBottom w:val="0"/>
      <w:divBdr>
        <w:top w:val="none" w:sz="0" w:space="0" w:color="auto"/>
        <w:left w:val="none" w:sz="0" w:space="0" w:color="auto"/>
        <w:bottom w:val="none" w:sz="0" w:space="0" w:color="auto"/>
        <w:right w:val="none" w:sz="0" w:space="0" w:color="auto"/>
      </w:divBdr>
    </w:div>
    <w:div w:id="2122914341">
      <w:bodyDiv w:val="1"/>
      <w:marLeft w:val="0"/>
      <w:marRight w:val="0"/>
      <w:marTop w:val="0"/>
      <w:marBottom w:val="0"/>
      <w:divBdr>
        <w:top w:val="none" w:sz="0" w:space="0" w:color="auto"/>
        <w:left w:val="none" w:sz="0" w:space="0" w:color="auto"/>
        <w:bottom w:val="none" w:sz="0" w:space="0" w:color="auto"/>
        <w:right w:val="none" w:sz="0" w:space="0" w:color="auto"/>
      </w:divBdr>
    </w:div>
    <w:div w:id="2134516567">
      <w:bodyDiv w:val="1"/>
      <w:marLeft w:val="0"/>
      <w:marRight w:val="0"/>
      <w:marTop w:val="0"/>
      <w:marBottom w:val="0"/>
      <w:divBdr>
        <w:top w:val="none" w:sz="0" w:space="0" w:color="auto"/>
        <w:left w:val="none" w:sz="0" w:space="0" w:color="auto"/>
        <w:bottom w:val="none" w:sz="0" w:space="0" w:color="auto"/>
        <w:right w:val="none" w:sz="0" w:space="0" w:color="auto"/>
      </w:divBdr>
    </w:div>
    <w:div w:id="214546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F6512-CB7A-413A-9F46-83A368EDA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1</Pages>
  <Words>5166</Words>
  <Characters>28415</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Martinez</dc:creator>
  <cp:lastModifiedBy>Roxana Martinez</cp:lastModifiedBy>
  <cp:revision>52</cp:revision>
  <cp:lastPrinted>2018-08-27T20:24:00Z</cp:lastPrinted>
  <dcterms:created xsi:type="dcterms:W3CDTF">2018-08-10T19:11:00Z</dcterms:created>
  <dcterms:modified xsi:type="dcterms:W3CDTF">2019-10-03T15:23:00Z</dcterms:modified>
</cp:coreProperties>
</file>