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91" w:rsidRPr="007C08A0" w:rsidRDefault="00856091" w:rsidP="00CB61AC">
      <w:pPr>
        <w:rPr>
          <w:rFonts w:cstheme="minorHAnsi"/>
          <w:b/>
          <w:sz w:val="24"/>
          <w:szCs w:val="24"/>
        </w:rPr>
      </w:pPr>
      <w:r w:rsidRPr="007C08A0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1992249</wp:posOffset>
            </wp:positionH>
            <wp:positionV relativeFrom="paragraph">
              <wp:posOffset>80442</wp:posOffset>
            </wp:positionV>
            <wp:extent cx="1389888" cy="1163117"/>
            <wp:effectExtent l="19050" t="0" r="762" b="0"/>
            <wp:wrapNone/>
            <wp:docPr id="11" name="Imagen 1" descr="C:\Documents and Settings\lhurtado\Configuración local\Archivos temporales de Internet\Content.Outlook\EKFFFY03\LOGOTIPO SC VERTIC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hurtado\Configuración local\Archivos temporales de Internet\Content.Outlook\EKFFFY03\LOGOTIPO SC VERTIC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88" cy="116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091" w:rsidRPr="007C08A0" w:rsidRDefault="00856091" w:rsidP="001F0384">
      <w:pPr>
        <w:jc w:val="both"/>
        <w:rPr>
          <w:rFonts w:cstheme="minorHAnsi"/>
          <w:sz w:val="24"/>
          <w:szCs w:val="24"/>
        </w:rPr>
      </w:pPr>
    </w:p>
    <w:p w:rsidR="00856091" w:rsidRPr="007C08A0" w:rsidRDefault="00856091" w:rsidP="001F0384">
      <w:pPr>
        <w:jc w:val="both"/>
        <w:rPr>
          <w:rFonts w:cstheme="minorHAnsi"/>
          <w:sz w:val="24"/>
          <w:szCs w:val="24"/>
        </w:rPr>
      </w:pPr>
    </w:p>
    <w:p w:rsidR="00856091" w:rsidRPr="007C08A0" w:rsidRDefault="00856091" w:rsidP="001F0384">
      <w:pPr>
        <w:jc w:val="both"/>
        <w:rPr>
          <w:rFonts w:cstheme="minorHAnsi"/>
          <w:sz w:val="24"/>
          <w:szCs w:val="24"/>
        </w:rPr>
      </w:pPr>
    </w:p>
    <w:p w:rsidR="00856091" w:rsidRPr="007C08A0" w:rsidRDefault="00856091" w:rsidP="001F0384">
      <w:pPr>
        <w:jc w:val="both"/>
        <w:rPr>
          <w:rFonts w:cstheme="minorHAnsi"/>
          <w:sz w:val="24"/>
          <w:szCs w:val="24"/>
        </w:rPr>
      </w:pPr>
    </w:p>
    <w:p w:rsidR="00856091" w:rsidRPr="007C08A0" w:rsidRDefault="00856091" w:rsidP="001F0384">
      <w:pPr>
        <w:jc w:val="both"/>
        <w:rPr>
          <w:rFonts w:cstheme="minorHAnsi"/>
          <w:sz w:val="24"/>
          <w:szCs w:val="24"/>
        </w:rPr>
      </w:pPr>
    </w:p>
    <w:p w:rsidR="007C08A0" w:rsidRDefault="007C08A0" w:rsidP="001F0384">
      <w:pPr>
        <w:jc w:val="both"/>
        <w:rPr>
          <w:rFonts w:cstheme="minorHAnsi"/>
          <w:b/>
          <w:sz w:val="24"/>
          <w:szCs w:val="24"/>
        </w:rPr>
      </w:pPr>
    </w:p>
    <w:p w:rsidR="007C08A0" w:rsidRDefault="007C08A0" w:rsidP="001F0384">
      <w:pPr>
        <w:jc w:val="both"/>
        <w:rPr>
          <w:rFonts w:cstheme="minorHAnsi"/>
          <w:b/>
          <w:sz w:val="24"/>
          <w:szCs w:val="24"/>
        </w:rPr>
      </w:pPr>
    </w:p>
    <w:p w:rsidR="007C08A0" w:rsidRDefault="007C08A0" w:rsidP="001F0384">
      <w:pPr>
        <w:jc w:val="both"/>
        <w:rPr>
          <w:rFonts w:cstheme="minorHAnsi"/>
          <w:b/>
          <w:sz w:val="24"/>
          <w:szCs w:val="24"/>
        </w:rPr>
      </w:pPr>
    </w:p>
    <w:p w:rsidR="007C08A0" w:rsidRDefault="007C08A0" w:rsidP="001F0384">
      <w:pPr>
        <w:jc w:val="both"/>
        <w:rPr>
          <w:rFonts w:cstheme="minorHAnsi"/>
          <w:b/>
          <w:sz w:val="24"/>
          <w:szCs w:val="24"/>
        </w:rPr>
      </w:pPr>
    </w:p>
    <w:p w:rsidR="007C08A0" w:rsidRDefault="007C08A0" w:rsidP="001F0384">
      <w:pPr>
        <w:jc w:val="both"/>
        <w:rPr>
          <w:rFonts w:cstheme="minorHAnsi"/>
          <w:b/>
          <w:sz w:val="24"/>
          <w:szCs w:val="24"/>
        </w:rPr>
      </w:pPr>
    </w:p>
    <w:p w:rsidR="00F35AB2" w:rsidRPr="006C7644" w:rsidRDefault="00DB19D7" w:rsidP="007568B1">
      <w:pPr>
        <w:jc w:val="center"/>
        <w:rPr>
          <w:rFonts w:cstheme="minorHAnsi"/>
          <w:b/>
          <w:sz w:val="40"/>
          <w:szCs w:val="24"/>
        </w:rPr>
      </w:pPr>
      <w:r w:rsidRPr="006A3B6A">
        <w:rPr>
          <w:rFonts w:ascii="Arial" w:hAnsi="Arial" w:cs="Arial"/>
          <w:b/>
          <w:sz w:val="40"/>
          <w:szCs w:val="24"/>
        </w:rPr>
        <w:t xml:space="preserve">Informe de </w:t>
      </w:r>
      <w:r w:rsidR="00FA3978">
        <w:rPr>
          <w:rFonts w:ascii="Arial" w:hAnsi="Arial" w:cs="Arial"/>
          <w:b/>
          <w:sz w:val="40"/>
          <w:szCs w:val="24"/>
        </w:rPr>
        <w:t xml:space="preserve">seguimiento </w:t>
      </w:r>
      <w:r w:rsidR="00B055C8">
        <w:rPr>
          <w:rFonts w:ascii="Arial" w:hAnsi="Arial" w:cs="Arial"/>
          <w:b/>
          <w:sz w:val="40"/>
          <w:szCs w:val="24"/>
        </w:rPr>
        <w:t xml:space="preserve">y evaluación de </w:t>
      </w:r>
      <w:r w:rsidR="00241B9D">
        <w:rPr>
          <w:rFonts w:ascii="Arial" w:hAnsi="Arial" w:cs="Arial"/>
          <w:b/>
          <w:sz w:val="40"/>
          <w:szCs w:val="24"/>
        </w:rPr>
        <w:t xml:space="preserve">POA </w:t>
      </w:r>
      <w:r w:rsidR="00B055C8">
        <w:rPr>
          <w:rFonts w:ascii="Arial" w:hAnsi="Arial" w:cs="Arial"/>
          <w:b/>
          <w:sz w:val="40"/>
          <w:szCs w:val="24"/>
        </w:rPr>
        <w:t xml:space="preserve">de T1 a T3 </w:t>
      </w:r>
      <w:r w:rsidR="00F35AB2" w:rsidRPr="006A3B6A">
        <w:rPr>
          <w:rFonts w:ascii="Arial" w:hAnsi="Arial" w:cs="Arial"/>
          <w:b/>
          <w:sz w:val="40"/>
          <w:szCs w:val="24"/>
        </w:rPr>
        <w:t>201</w:t>
      </w:r>
      <w:r w:rsidR="00EC02BF">
        <w:rPr>
          <w:rFonts w:ascii="Arial" w:hAnsi="Arial" w:cs="Arial"/>
          <w:b/>
          <w:sz w:val="40"/>
          <w:szCs w:val="24"/>
        </w:rPr>
        <w:t>7</w:t>
      </w:r>
    </w:p>
    <w:p w:rsidR="0074366F" w:rsidRPr="007C08A0" w:rsidRDefault="00856091" w:rsidP="001F038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C08A0">
        <w:rPr>
          <w:rFonts w:cstheme="minorHAnsi"/>
          <w:b/>
          <w:bCs/>
          <w:sz w:val="24"/>
          <w:szCs w:val="24"/>
        </w:rPr>
        <w:br w:type="page"/>
      </w:r>
    </w:p>
    <w:p w:rsidR="00BE5AAE" w:rsidRDefault="00566F00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3B6A">
        <w:rPr>
          <w:rFonts w:ascii="Arial" w:hAnsi="Arial" w:cs="Arial"/>
          <w:b/>
          <w:sz w:val="24"/>
          <w:szCs w:val="24"/>
        </w:rPr>
        <w:t>Int</w:t>
      </w:r>
      <w:r w:rsidR="006A3B6A">
        <w:rPr>
          <w:rFonts w:ascii="Arial" w:hAnsi="Arial" w:cs="Arial"/>
          <w:b/>
          <w:sz w:val="24"/>
          <w:szCs w:val="24"/>
        </w:rPr>
        <w:t>roducción.</w:t>
      </w:r>
    </w:p>
    <w:p w:rsidR="006A3B6A" w:rsidRPr="006A3B6A" w:rsidRDefault="006A3B6A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9F7" w:rsidRDefault="00B87E38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B6A">
        <w:rPr>
          <w:rFonts w:ascii="Arial" w:hAnsi="Arial" w:cs="Arial"/>
          <w:sz w:val="24"/>
          <w:szCs w:val="24"/>
        </w:rPr>
        <w:t>E</w:t>
      </w:r>
      <w:r w:rsidR="00AB09F7">
        <w:rPr>
          <w:rFonts w:ascii="Arial" w:hAnsi="Arial" w:cs="Arial"/>
          <w:sz w:val="24"/>
          <w:szCs w:val="24"/>
        </w:rPr>
        <w:t xml:space="preserve">n cumplimiento de la función de monitorear, dar seguimiento y evaluar sus actuaciones, la Superintendencia de Competencia (SC) presenta el siguiente </w:t>
      </w:r>
      <w:r w:rsidRPr="006A3B6A">
        <w:rPr>
          <w:rFonts w:ascii="Arial" w:hAnsi="Arial" w:cs="Arial"/>
          <w:sz w:val="24"/>
          <w:szCs w:val="24"/>
        </w:rPr>
        <w:t>documento</w:t>
      </w:r>
      <w:r w:rsidR="00AB09F7">
        <w:rPr>
          <w:rFonts w:ascii="Arial" w:hAnsi="Arial" w:cs="Arial"/>
          <w:sz w:val="24"/>
          <w:szCs w:val="24"/>
        </w:rPr>
        <w:t>,</w:t>
      </w:r>
      <w:r w:rsidRPr="006A3B6A">
        <w:rPr>
          <w:rFonts w:ascii="Arial" w:hAnsi="Arial" w:cs="Arial"/>
          <w:sz w:val="24"/>
          <w:szCs w:val="24"/>
        </w:rPr>
        <w:t xml:space="preserve"> </w:t>
      </w:r>
      <w:r w:rsidR="00AB09F7">
        <w:rPr>
          <w:rFonts w:ascii="Arial" w:hAnsi="Arial" w:cs="Arial"/>
          <w:sz w:val="24"/>
          <w:szCs w:val="24"/>
        </w:rPr>
        <w:t xml:space="preserve">que </w:t>
      </w:r>
      <w:r w:rsidRPr="006A3B6A">
        <w:rPr>
          <w:rFonts w:ascii="Arial" w:hAnsi="Arial" w:cs="Arial"/>
          <w:sz w:val="24"/>
          <w:szCs w:val="24"/>
        </w:rPr>
        <w:t xml:space="preserve">contiene los resultados obtenidos </w:t>
      </w:r>
      <w:r w:rsidR="00AB09F7">
        <w:rPr>
          <w:rFonts w:ascii="Arial" w:hAnsi="Arial" w:cs="Arial"/>
          <w:sz w:val="24"/>
          <w:szCs w:val="24"/>
        </w:rPr>
        <w:t xml:space="preserve">en la evaluación del cumplimiento </w:t>
      </w:r>
      <w:r w:rsidRPr="006A3B6A">
        <w:rPr>
          <w:rFonts w:ascii="Arial" w:hAnsi="Arial" w:cs="Arial"/>
          <w:sz w:val="24"/>
          <w:szCs w:val="24"/>
        </w:rPr>
        <w:t xml:space="preserve">del </w:t>
      </w:r>
      <w:r w:rsidR="00EE56BA">
        <w:rPr>
          <w:rFonts w:ascii="Arial" w:hAnsi="Arial" w:cs="Arial"/>
          <w:sz w:val="24"/>
          <w:szCs w:val="24"/>
        </w:rPr>
        <w:t>p</w:t>
      </w:r>
      <w:r w:rsidRPr="006A3B6A">
        <w:rPr>
          <w:rFonts w:ascii="Arial" w:hAnsi="Arial" w:cs="Arial"/>
          <w:sz w:val="24"/>
          <w:szCs w:val="24"/>
        </w:rPr>
        <w:t xml:space="preserve">lan </w:t>
      </w:r>
      <w:r w:rsidR="00EE56BA">
        <w:rPr>
          <w:rFonts w:ascii="Arial" w:hAnsi="Arial" w:cs="Arial"/>
          <w:sz w:val="24"/>
          <w:szCs w:val="24"/>
        </w:rPr>
        <w:t>o</w:t>
      </w:r>
      <w:r w:rsidRPr="006A3B6A">
        <w:rPr>
          <w:rFonts w:ascii="Arial" w:hAnsi="Arial" w:cs="Arial"/>
          <w:sz w:val="24"/>
          <w:szCs w:val="24"/>
        </w:rPr>
        <w:t xml:space="preserve">perativo </w:t>
      </w:r>
      <w:r w:rsidR="00FC198C">
        <w:rPr>
          <w:rFonts w:ascii="Arial" w:hAnsi="Arial" w:cs="Arial"/>
          <w:sz w:val="24"/>
          <w:szCs w:val="24"/>
        </w:rPr>
        <w:t xml:space="preserve">y del Plan Estratégico </w:t>
      </w:r>
      <w:r w:rsidR="00414DD1" w:rsidRPr="006A3B6A">
        <w:rPr>
          <w:rFonts w:ascii="Arial" w:hAnsi="Arial" w:cs="Arial"/>
          <w:sz w:val="24"/>
          <w:szCs w:val="24"/>
        </w:rPr>
        <w:t xml:space="preserve">de la </w:t>
      </w:r>
      <w:r w:rsidR="00414DD1">
        <w:rPr>
          <w:rFonts w:ascii="Arial" w:hAnsi="Arial" w:cs="Arial"/>
          <w:sz w:val="24"/>
          <w:szCs w:val="24"/>
        </w:rPr>
        <w:t xml:space="preserve">institución </w:t>
      </w:r>
      <w:r w:rsidR="00AB09F7">
        <w:rPr>
          <w:rFonts w:ascii="Arial" w:hAnsi="Arial" w:cs="Arial"/>
          <w:sz w:val="24"/>
          <w:szCs w:val="24"/>
        </w:rPr>
        <w:t xml:space="preserve">durante </w:t>
      </w:r>
      <w:r w:rsidR="00AF43EF">
        <w:rPr>
          <w:rFonts w:ascii="Arial" w:hAnsi="Arial" w:cs="Arial"/>
          <w:sz w:val="24"/>
          <w:szCs w:val="24"/>
        </w:rPr>
        <w:t>los tres primeros trimestres de</w:t>
      </w:r>
      <w:r w:rsidR="00EC02BF">
        <w:rPr>
          <w:rFonts w:ascii="Arial" w:hAnsi="Arial" w:cs="Arial"/>
          <w:sz w:val="24"/>
          <w:szCs w:val="24"/>
        </w:rPr>
        <w:t xml:space="preserve"> 2017</w:t>
      </w:r>
      <w:r w:rsidR="00AB09F7">
        <w:rPr>
          <w:rFonts w:ascii="Arial" w:hAnsi="Arial" w:cs="Arial"/>
          <w:sz w:val="24"/>
          <w:szCs w:val="24"/>
        </w:rPr>
        <w:t>.</w:t>
      </w:r>
    </w:p>
    <w:p w:rsidR="00AB09F7" w:rsidRDefault="00AB09F7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56BA" w:rsidRDefault="00EE56BA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un mejor desarrollo y comprensión de ese proceso</w:t>
      </w:r>
      <w:r w:rsidR="00B87E38" w:rsidRPr="006A3B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ha realizado</w:t>
      </w:r>
      <w:r w:rsidR="00B87E38" w:rsidRPr="006A3B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 evaluación del plan operativo que se complementa con la evaluación de las unidades organizativas y así se ha preparado este informe.</w:t>
      </w:r>
    </w:p>
    <w:p w:rsidR="00EE56BA" w:rsidRDefault="00EE56BA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7B0" w:rsidRDefault="00EE56BA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8B1">
        <w:rPr>
          <w:rFonts w:ascii="Arial" w:hAnsi="Arial" w:cs="Arial"/>
          <w:sz w:val="24"/>
          <w:szCs w:val="24"/>
        </w:rPr>
        <w:t>El plan de</w:t>
      </w:r>
      <w:r w:rsidR="00BD73C3" w:rsidRPr="007568B1">
        <w:rPr>
          <w:rFonts w:ascii="Arial" w:hAnsi="Arial" w:cs="Arial"/>
          <w:sz w:val="24"/>
          <w:szCs w:val="24"/>
        </w:rPr>
        <w:t xml:space="preserve"> trabajo de</w:t>
      </w:r>
      <w:r w:rsidRPr="007568B1">
        <w:rPr>
          <w:rFonts w:ascii="Arial" w:hAnsi="Arial" w:cs="Arial"/>
          <w:sz w:val="24"/>
          <w:szCs w:val="24"/>
        </w:rPr>
        <w:t xml:space="preserve"> la SC define objetivos est</w:t>
      </w:r>
      <w:r w:rsidR="009B47B0" w:rsidRPr="007568B1">
        <w:rPr>
          <w:rFonts w:ascii="Arial" w:hAnsi="Arial" w:cs="Arial"/>
          <w:sz w:val="24"/>
          <w:szCs w:val="24"/>
        </w:rPr>
        <w:t>r</w:t>
      </w:r>
      <w:r w:rsidRPr="007568B1">
        <w:rPr>
          <w:rFonts w:ascii="Arial" w:hAnsi="Arial" w:cs="Arial"/>
          <w:sz w:val="24"/>
          <w:szCs w:val="24"/>
        </w:rPr>
        <w:t>atégicos</w:t>
      </w:r>
      <w:r w:rsidR="009B47B0" w:rsidRPr="007568B1">
        <w:rPr>
          <w:rFonts w:ascii="Arial" w:hAnsi="Arial" w:cs="Arial"/>
          <w:sz w:val="24"/>
          <w:szCs w:val="24"/>
        </w:rPr>
        <w:t xml:space="preserve">, los que se </w:t>
      </w:r>
      <w:r w:rsidR="00050EE6" w:rsidRPr="007568B1">
        <w:rPr>
          <w:rFonts w:ascii="Arial" w:hAnsi="Arial" w:cs="Arial"/>
          <w:sz w:val="24"/>
          <w:szCs w:val="24"/>
        </w:rPr>
        <w:t xml:space="preserve">despliegan </w:t>
      </w:r>
      <w:r w:rsidR="009B47B0" w:rsidRPr="007568B1">
        <w:rPr>
          <w:rFonts w:ascii="Arial" w:hAnsi="Arial" w:cs="Arial"/>
          <w:sz w:val="24"/>
          <w:szCs w:val="24"/>
        </w:rPr>
        <w:t>a través de acciones estratégicas, las que a su vez aterrizan por medio de actividades</w:t>
      </w:r>
      <w:r w:rsidR="00BD73C3" w:rsidRPr="007568B1">
        <w:rPr>
          <w:rFonts w:ascii="Arial" w:hAnsi="Arial" w:cs="Arial"/>
          <w:sz w:val="24"/>
          <w:szCs w:val="24"/>
        </w:rPr>
        <w:t>.</w:t>
      </w:r>
      <w:r w:rsidR="00050EE6" w:rsidRPr="007568B1">
        <w:rPr>
          <w:rFonts w:ascii="Arial" w:hAnsi="Arial" w:cs="Arial"/>
          <w:sz w:val="24"/>
          <w:szCs w:val="24"/>
        </w:rPr>
        <w:t xml:space="preserve"> El proceso seguido evalúa el cumplimiento de las actividades y desde ahí se dispone de una mirada clara sobre el avance en el cumplimiento de las acciones y objetivos estratégicos.</w:t>
      </w:r>
    </w:p>
    <w:p w:rsidR="009B47B0" w:rsidRDefault="009B47B0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6025" w:rsidRDefault="005D62BF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objetivo de lograr una buena visualización del nivel de cumplimiento de</w:t>
      </w:r>
      <w:r w:rsidR="00A97D06">
        <w:rPr>
          <w:rFonts w:ascii="Arial" w:hAnsi="Arial" w:cs="Arial"/>
          <w:sz w:val="24"/>
          <w:szCs w:val="24"/>
        </w:rPr>
        <w:t xml:space="preserve"> las actividades</w:t>
      </w:r>
      <w:r w:rsidRPr="006A3B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 el informe </w:t>
      </w:r>
      <w:r w:rsidRPr="006A3B6A">
        <w:rPr>
          <w:rFonts w:ascii="Arial" w:hAnsi="Arial" w:cs="Arial"/>
          <w:sz w:val="24"/>
          <w:szCs w:val="24"/>
        </w:rPr>
        <w:t xml:space="preserve">se muestra </w:t>
      </w:r>
      <w:r>
        <w:rPr>
          <w:rFonts w:ascii="Arial" w:hAnsi="Arial" w:cs="Arial"/>
          <w:sz w:val="24"/>
          <w:szCs w:val="24"/>
        </w:rPr>
        <w:t xml:space="preserve">el </w:t>
      </w:r>
      <w:r w:rsidRPr="00063034">
        <w:rPr>
          <w:rFonts w:ascii="Arial" w:hAnsi="Arial" w:cs="Arial"/>
          <w:sz w:val="24"/>
          <w:szCs w:val="24"/>
        </w:rPr>
        <w:t>porcentaje de ejecución por medio de colores</w:t>
      </w:r>
      <w:r w:rsidRPr="006A3B6A">
        <w:rPr>
          <w:rFonts w:ascii="Arial" w:hAnsi="Arial" w:cs="Arial"/>
          <w:sz w:val="24"/>
          <w:szCs w:val="24"/>
        </w:rPr>
        <w:t xml:space="preserve">, utilizando la </w:t>
      </w:r>
      <w:r w:rsidR="00063034">
        <w:rPr>
          <w:rFonts w:ascii="Arial" w:hAnsi="Arial" w:cs="Arial"/>
          <w:sz w:val="24"/>
          <w:szCs w:val="24"/>
        </w:rPr>
        <w:t xml:space="preserve">técnica </w:t>
      </w:r>
      <w:r w:rsidRPr="006A3B6A">
        <w:rPr>
          <w:rFonts w:ascii="Arial" w:hAnsi="Arial" w:cs="Arial"/>
          <w:sz w:val="24"/>
          <w:szCs w:val="24"/>
        </w:rPr>
        <w:t>del semáforo</w:t>
      </w:r>
      <w:r w:rsidR="00063034">
        <w:rPr>
          <w:rFonts w:ascii="Arial" w:hAnsi="Arial" w:cs="Arial"/>
          <w:sz w:val="24"/>
          <w:szCs w:val="24"/>
        </w:rPr>
        <w:t xml:space="preserve"> así</w:t>
      </w:r>
      <w:r w:rsidR="001B6025">
        <w:rPr>
          <w:rFonts w:ascii="Arial" w:hAnsi="Arial" w:cs="Arial"/>
          <w:sz w:val="24"/>
          <w:szCs w:val="24"/>
        </w:rPr>
        <w:t>:</w:t>
      </w:r>
    </w:p>
    <w:p w:rsidR="00F9657B" w:rsidRDefault="00F9657B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75"/>
        <w:gridCol w:w="2711"/>
        <w:gridCol w:w="2942"/>
      </w:tblGrid>
      <w:tr w:rsidR="00F9657B" w:rsidTr="00F9657B">
        <w:tc>
          <w:tcPr>
            <w:tcW w:w="3175" w:type="dxa"/>
          </w:tcPr>
          <w:p w:rsidR="00F9657B" w:rsidRPr="00F9657B" w:rsidRDefault="00F9657B" w:rsidP="00F96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9657B">
              <w:rPr>
                <w:rFonts w:ascii="Arial" w:hAnsi="Arial" w:cs="Arial"/>
                <w:b/>
                <w:sz w:val="24"/>
                <w:szCs w:val="24"/>
              </w:rPr>
              <w:t>Rango</w:t>
            </w:r>
            <w:proofErr w:type="spellEnd"/>
            <w:r w:rsidRPr="00F9657B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F9657B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  <w:proofErr w:type="spellEnd"/>
          </w:p>
        </w:tc>
        <w:tc>
          <w:tcPr>
            <w:tcW w:w="2711" w:type="dxa"/>
          </w:tcPr>
          <w:p w:rsidR="00F9657B" w:rsidRPr="00F9657B" w:rsidRDefault="00F9657B" w:rsidP="00F96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57B">
              <w:rPr>
                <w:rFonts w:ascii="Arial" w:hAnsi="Arial" w:cs="Arial"/>
                <w:b/>
                <w:sz w:val="24"/>
                <w:szCs w:val="24"/>
              </w:rPr>
              <w:t>Color</w:t>
            </w:r>
          </w:p>
        </w:tc>
        <w:tc>
          <w:tcPr>
            <w:tcW w:w="2942" w:type="dxa"/>
          </w:tcPr>
          <w:p w:rsidR="00F9657B" w:rsidRPr="00F9657B" w:rsidRDefault="00F9657B" w:rsidP="00F96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9657B">
              <w:rPr>
                <w:rFonts w:ascii="Arial" w:hAnsi="Arial" w:cs="Arial"/>
                <w:b/>
                <w:sz w:val="24"/>
                <w:szCs w:val="24"/>
              </w:rPr>
              <w:t>Ejecución</w:t>
            </w:r>
            <w:proofErr w:type="spellEnd"/>
          </w:p>
        </w:tc>
      </w:tr>
      <w:tr w:rsidR="00F9657B" w:rsidTr="00F9657B">
        <w:tc>
          <w:tcPr>
            <w:tcW w:w="3175" w:type="dxa"/>
          </w:tcPr>
          <w:p w:rsidR="00F9657B" w:rsidRPr="00F9657B" w:rsidRDefault="00F9657B" w:rsidP="001F0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657B">
              <w:rPr>
                <w:rFonts w:ascii="Arial" w:hAnsi="Arial" w:cs="Arial"/>
                <w:b/>
                <w:sz w:val="24"/>
                <w:szCs w:val="24"/>
              </w:rPr>
              <w:t>Más de 75%</w:t>
            </w:r>
          </w:p>
        </w:tc>
        <w:tc>
          <w:tcPr>
            <w:tcW w:w="2711" w:type="dxa"/>
            <w:shd w:val="clear" w:color="auto" w:fill="92D050"/>
          </w:tcPr>
          <w:p w:rsidR="00F9657B" w:rsidRDefault="00F9657B" w:rsidP="001F0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F9657B" w:rsidRDefault="00F9657B" w:rsidP="001F0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Satisfactoria</w:t>
            </w:r>
            <w:proofErr w:type="spellEnd"/>
          </w:p>
        </w:tc>
      </w:tr>
      <w:tr w:rsidR="00F9657B" w:rsidTr="00F9657B">
        <w:tc>
          <w:tcPr>
            <w:tcW w:w="3175" w:type="dxa"/>
          </w:tcPr>
          <w:p w:rsidR="00F9657B" w:rsidRPr="00F9657B" w:rsidRDefault="00F9657B" w:rsidP="001F0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657B">
              <w:rPr>
                <w:rFonts w:ascii="Arial" w:hAnsi="Arial" w:cs="Arial"/>
                <w:b/>
                <w:sz w:val="24"/>
                <w:szCs w:val="24"/>
              </w:rPr>
              <w:t>Entre 49.99% y 74.99%</w:t>
            </w:r>
          </w:p>
        </w:tc>
        <w:tc>
          <w:tcPr>
            <w:tcW w:w="2711" w:type="dxa"/>
            <w:shd w:val="clear" w:color="auto" w:fill="FFFF00"/>
          </w:tcPr>
          <w:p w:rsidR="00F9657B" w:rsidRDefault="00F9657B" w:rsidP="001F0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F9657B" w:rsidRDefault="00F9657B" w:rsidP="001F0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</w:t>
            </w:r>
          </w:p>
        </w:tc>
      </w:tr>
      <w:tr w:rsidR="00F9657B" w:rsidTr="00F9657B">
        <w:tc>
          <w:tcPr>
            <w:tcW w:w="3175" w:type="dxa"/>
            <w:shd w:val="clear" w:color="auto" w:fill="auto"/>
          </w:tcPr>
          <w:p w:rsidR="00F9657B" w:rsidRPr="00F9657B" w:rsidRDefault="00F9657B" w:rsidP="001F0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657B">
              <w:rPr>
                <w:rFonts w:ascii="Arial" w:hAnsi="Arial" w:cs="Arial"/>
                <w:b/>
                <w:sz w:val="24"/>
                <w:szCs w:val="24"/>
              </w:rPr>
              <w:t>Entre 0% y 49.99%</w:t>
            </w:r>
          </w:p>
        </w:tc>
        <w:tc>
          <w:tcPr>
            <w:tcW w:w="2711" w:type="dxa"/>
            <w:shd w:val="clear" w:color="auto" w:fill="FF0000"/>
          </w:tcPr>
          <w:p w:rsidR="00F9657B" w:rsidRDefault="00F9657B" w:rsidP="001F0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F9657B" w:rsidRDefault="00F9657B" w:rsidP="001F0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Baja</w:t>
            </w:r>
          </w:p>
        </w:tc>
      </w:tr>
    </w:tbl>
    <w:p w:rsidR="005D62BF" w:rsidRDefault="00063034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13757" w:rsidRDefault="00BA424D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establecer el desempeño de las 1</w:t>
      </w:r>
      <w:r w:rsidR="00414DD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unidades organizativas institucionales, </w:t>
      </w:r>
      <w:r w:rsidR="00113757">
        <w:rPr>
          <w:rFonts w:ascii="Arial" w:hAnsi="Arial" w:cs="Arial"/>
          <w:sz w:val="24"/>
          <w:szCs w:val="24"/>
        </w:rPr>
        <w:t xml:space="preserve">se ha verificado el </w:t>
      </w:r>
      <w:r w:rsidR="00C66A33">
        <w:rPr>
          <w:rFonts w:ascii="Arial" w:hAnsi="Arial" w:cs="Arial"/>
          <w:sz w:val="24"/>
          <w:szCs w:val="24"/>
        </w:rPr>
        <w:t xml:space="preserve">cumplimiento de sus actividades </w:t>
      </w:r>
      <w:r w:rsidR="00113757">
        <w:rPr>
          <w:rFonts w:ascii="Arial" w:hAnsi="Arial" w:cs="Arial"/>
          <w:sz w:val="24"/>
          <w:szCs w:val="24"/>
        </w:rPr>
        <w:t>y el resultado de esa evaluación se presenta en el consolidado que se incorpora también en este documento.</w:t>
      </w:r>
    </w:p>
    <w:p w:rsidR="00113757" w:rsidRDefault="00113757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7F0" w:rsidRDefault="000D67F0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la consecución de estos resultados, la SC </w:t>
      </w:r>
      <w:r w:rsidR="00AC309F">
        <w:rPr>
          <w:rFonts w:ascii="Arial" w:hAnsi="Arial" w:cs="Arial"/>
          <w:sz w:val="24"/>
          <w:szCs w:val="24"/>
        </w:rPr>
        <w:t>avanza más como</w:t>
      </w:r>
      <w:r>
        <w:rPr>
          <w:rFonts w:ascii="Arial" w:hAnsi="Arial" w:cs="Arial"/>
          <w:sz w:val="24"/>
          <w:szCs w:val="24"/>
        </w:rPr>
        <w:t xml:space="preserve"> una institución eficiente y eficaz</w:t>
      </w:r>
      <w:r w:rsidR="00AC30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C309F">
        <w:rPr>
          <w:rFonts w:ascii="Arial" w:hAnsi="Arial" w:cs="Arial"/>
          <w:sz w:val="24"/>
          <w:szCs w:val="24"/>
        </w:rPr>
        <w:t xml:space="preserve">que promueve y protege la competencia buscando incrementar la </w:t>
      </w:r>
      <w:r>
        <w:rPr>
          <w:rFonts w:ascii="Arial" w:hAnsi="Arial" w:cs="Arial"/>
          <w:sz w:val="24"/>
          <w:szCs w:val="24"/>
        </w:rPr>
        <w:t>eficiencia económica y el bienestar de los consumidores</w:t>
      </w:r>
      <w:r w:rsidR="00AC309F">
        <w:rPr>
          <w:rFonts w:ascii="Arial" w:hAnsi="Arial" w:cs="Arial"/>
          <w:sz w:val="24"/>
          <w:szCs w:val="24"/>
        </w:rPr>
        <w:t>.</w:t>
      </w:r>
    </w:p>
    <w:p w:rsidR="00AC309F" w:rsidRDefault="00AC309F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309F" w:rsidRDefault="00AC309F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7F0" w:rsidRDefault="000D67F0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7F0" w:rsidRDefault="000D67F0" w:rsidP="001F03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440" w:rsidRPr="006A3B6A" w:rsidRDefault="00FC3440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B6A" w:rsidRDefault="006A3B6A" w:rsidP="001F03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41A91" w:rsidRPr="00F04F60" w:rsidRDefault="00CB5676" w:rsidP="00F04F60">
      <w:pPr>
        <w:pStyle w:val="Ttulo1"/>
        <w:numPr>
          <w:ilvl w:val="0"/>
          <w:numId w:val="32"/>
        </w:numPr>
      </w:pPr>
      <w:r w:rsidRPr="00F04F60">
        <w:t xml:space="preserve">Resultados de </w:t>
      </w:r>
      <w:r w:rsidR="004450CB" w:rsidRPr="00F04F60">
        <w:t xml:space="preserve">la </w:t>
      </w:r>
      <w:r w:rsidRPr="00F04F60">
        <w:t>evaluación de plan operativo</w:t>
      </w:r>
      <w:r w:rsidR="00D01241">
        <w:t xml:space="preserve"> por unidad</w:t>
      </w:r>
    </w:p>
    <w:p w:rsidR="007251B9" w:rsidRPr="006A3B6A" w:rsidRDefault="007251B9" w:rsidP="001F0384">
      <w:pPr>
        <w:tabs>
          <w:tab w:val="left" w:pos="-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6BD0" w:rsidRDefault="00EE6BD0" w:rsidP="001F0384">
      <w:pPr>
        <w:tabs>
          <w:tab w:val="left" w:pos="-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ya se ha indicado, el plan de la SC </w:t>
      </w:r>
      <w:r w:rsidR="00C615E6">
        <w:rPr>
          <w:rFonts w:ascii="Arial" w:hAnsi="Arial" w:cs="Arial"/>
          <w:sz w:val="24"/>
          <w:szCs w:val="24"/>
        </w:rPr>
        <w:t>establece</w:t>
      </w:r>
      <w:r>
        <w:rPr>
          <w:rFonts w:ascii="Arial" w:hAnsi="Arial" w:cs="Arial"/>
          <w:sz w:val="24"/>
          <w:szCs w:val="24"/>
        </w:rPr>
        <w:t xml:space="preserve"> objetivos estratégicos, acciones estratégicas y actividades. Para darle cumplimiento a la evaluación del plan operativo es necesario determinar cómo se cumplieron las actividades contenidas en cada una de las acciones estratégicas</w:t>
      </w:r>
      <w:r w:rsidR="00414DD1">
        <w:rPr>
          <w:rFonts w:ascii="Arial" w:hAnsi="Arial" w:cs="Arial"/>
          <w:sz w:val="24"/>
          <w:szCs w:val="24"/>
        </w:rPr>
        <w:t xml:space="preserve"> por unidad organizativa</w:t>
      </w:r>
      <w:r w:rsidR="00D90B8C">
        <w:rPr>
          <w:rFonts w:ascii="Arial" w:hAnsi="Arial" w:cs="Arial"/>
          <w:sz w:val="24"/>
          <w:szCs w:val="24"/>
        </w:rPr>
        <w:t xml:space="preserve">. A </w:t>
      </w:r>
      <w:r w:rsidR="009B1F63">
        <w:rPr>
          <w:rFonts w:ascii="Arial" w:hAnsi="Arial" w:cs="Arial"/>
          <w:sz w:val="24"/>
          <w:szCs w:val="24"/>
        </w:rPr>
        <w:t>continuación,</w:t>
      </w:r>
      <w:r w:rsidR="00D90B8C">
        <w:rPr>
          <w:rFonts w:ascii="Arial" w:hAnsi="Arial" w:cs="Arial"/>
          <w:sz w:val="24"/>
          <w:szCs w:val="24"/>
        </w:rPr>
        <w:t xml:space="preserve"> se describen por medio de los cuadros la</w:t>
      </w:r>
      <w:r w:rsidR="009B1F63">
        <w:rPr>
          <w:rFonts w:ascii="Arial" w:hAnsi="Arial" w:cs="Arial"/>
          <w:sz w:val="24"/>
          <w:szCs w:val="24"/>
        </w:rPr>
        <w:t>s</w:t>
      </w:r>
      <w:r w:rsidR="00D90B8C">
        <w:rPr>
          <w:rFonts w:ascii="Arial" w:hAnsi="Arial" w:cs="Arial"/>
          <w:sz w:val="24"/>
          <w:szCs w:val="24"/>
        </w:rPr>
        <w:t xml:space="preserve"> actividades que se desempeñaron con una ejecución “media” o “baja”, y se relatan las actividades más sustantivas ejecutadas exitosamente.</w:t>
      </w:r>
    </w:p>
    <w:p w:rsidR="00F04F60" w:rsidRDefault="00F04F60" w:rsidP="00F04F60">
      <w:pPr>
        <w:pStyle w:val="Ttulo1"/>
      </w:pPr>
    </w:p>
    <w:p w:rsidR="00414DD1" w:rsidRPr="00DB195D" w:rsidRDefault="00414DD1" w:rsidP="00F04F60">
      <w:pPr>
        <w:pStyle w:val="Ttulo1"/>
        <w:numPr>
          <w:ilvl w:val="0"/>
          <w:numId w:val="33"/>
        </w:numPr>
      </w:pPr>
      <w:r w:rsidRPr="00DB195D">
        <w:t>Intendencia de Abogacía de la Competencia (IAC)</w:t>
      </w:r>
    </w:p>
    <w:p w:rsidR="00414DD1" w:rsidRDefault="00B055C8" w:rsidP="001F0384">
      <w:pPr>
        <w:tabs>
          <w:tab w:val="left" w:pos="-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4003878</wp:posOffset>
            </wp:positionH>
            <wp:positionV relativeFrom="paragraph">
              <wp:posOffset>38100</wp:posOffset>
            </wp:positionV>
            <wp:extent cx="1770380" cy="432435"/>
            <wp:effectExtent l="0" t="0" r="1270" b="5715"/>
            <wp:wrapTight wrapText="bothSides">
              <wp:wrapPolygon edited="0">
                <wp:start x="0" y="0"/>
                <wp:lineTo x="0" y="20934"/>
                <wp:lineTo x="21383" y="20934"/>
                <wp:lineTo x="21383" y="0"/>
                <wp:lineTo x="0" y="0"/>
              </wp:wrapPolygon>
            </wp:wrapTight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4DD1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57E50CD" wp14:editId="79EE8875">
            <wp:extent cx="2017186" cy="471761"/>
            <wp:effectExtent l="0" t="0" r="2540" b="508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01" cy="490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4DD1">
        <w:rPr>
          <w:rFonts w:ascii="Arial" w:hAnsi="Arial" w:cs="Arial"/>
          <w:sz w:val="24"/>
          <w:szCs w:val="24"/>
        </w:rPr>
        <w:t xml:space="preserve">         </w:t>
      </w:r>
    </w:p>
    <w:p w:rsidR="00DA5956" w:rsidRPr="006A3B6A" w:rsidRDefault="00B055C8" w:rsidP="001F0384">
      <w:pPr>
        <w:tabs>
          <w:tab w:val="left" w:pos="-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631995</wp:posOffset>
            </wp:positionH>
            <wp:positionV relativeFrom="paragraph">
              <wp:posOffset>28918</wp:posOffset>
            </wp:positionV>
            <wp:extent cx="4694944" cy="1762112"/>
            <wp:effectExtent l="0" t="0" r="0" b="0"/>
            <wp:wrapTight wrapText="bothSides">
              <wp:wrapPolygon edited="0">
                <wp:start x="0" y="0"/>
                <wp:lineTo x="0" y="21257"/>
                <wp:lineTo x="21474" y="21257"/>
                <wp:lineTo x="21474" y="0"/>
                <wp:lineTo x="0" y="0"/>
              </wp:wrapPolygon>
            </wp:wrapTight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944" cy="176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4DD1" w:rsidRDefault="00414DD1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DD1" w:rsidRDefault="00414DD1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DD1" w:rsidRDefault="00414DD1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DD1" w:rsidRDefault="00414DD1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DD1" w:rsidRDefault="00414DD1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5C8" w:rsidRDefault="00B055C8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5C8" w:rsidRDefault="00B055C8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5C8" w:rsidRDefault="00B055C8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5C8" w:rsidRDefault="00B055C8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5C8" w:rsidRDefault="00B055C8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0384" w:rsidRDefault="001F0384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las </w:t>
      </w:r>
      <w:r w:rsidR="00B055C8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 xml:space="preserve"> actividades que tenía programadas la IAC, como lo muestran los cuadros anteriores, ejecuto 2</w:t>
      </w:r>
      <w:r w:rsidR="00B055C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03186F">
        <w:rPr>
          <w:rFonts w:ascii="Arial" w:hAnsi="Arial" w:cs="Arial"/>
          <w:sz w:val="24"/>
          <w:szCs w:val="24"/>
        </w:rPr>
        <w:t>en verde</w:t>
      </w:r>
      <w:r>
        <w:rPr>
          <w:rFonts w:ascii="Arial" w:hAnsi="Arial" w:cs="Arial"/>
          <w:sz w:val="24"/>
          <w:szCs w:val="24"/>
        </w:rPr>
        <w:t xml:space="preserve">, </w:t>
      </w:r>
      <w:r w:rsidR="00B055C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en amarillo y 4 en rojo, teniendo un porcentaje de ejecución del 8</w:t>
      </w:r>
      <w:r w:rsidR="00B055C8">
        <w:rPr>
          <w:rFonts w:ascii="Arial" w:hAnsi="Arial" w:cs="Arial"/>
          <w:sz w:val="24"/>
          <w:szCs w:val="24"/>
        </w:rPr>
        <w:t>8.11</w:t>
      </w:r>
      <w:r>
        <w:rPr>
          <w:rFonts w:ascii="Arial" w:hAnsi="Arial" w:cs="Arial"/>
          <w:sz w:val="24"/>
          <w:szCs w:val="24"/>
        </w:rPr>
        <w:t>%.</w:t>
      </w:r>
    </w:p>
    <w:p w:rsidR="0003186F" w:rsidRDefault="0003186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186F" w:rsidRDefault="0003186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las actividades más relevantes ejecutadas exitosamente se cuenta con: </w:t>
      </w:r>
    </w:p>
    <w:p w:rsidR="0003186F" w:rsidRDefault="0003186F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plan de acción para el cabildeo de la Reformas la Ley de Competencia y su reglamento;</w:t>
      </w:r>
    </w:p>
    <w:p w:rsidR="0003186F" w:rsidRDefault="00BE2DFE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3186F">
        <w:rPr>
          <w:rFonts w:ascii="Arial" w:hAnsi="Arial" w:cs="Arial"/>
          <w:sz w:val="24"/>
          <w:szCs w:val="24"/>
        </w:rPr>
        <w:t xml:space="preserve"> misiones oficiales: </w:t>
      </w:r>
      <w:proofErr w:type="spellStart"/>
      <w:r w:rsidR="0003186F">
        <w:rPr>
          <w:rFonts w:ascii="Arial" w:hAnsi="Arial" w:cs="Arial"/>
          <w:sz w:val="24"/>
          <w:szCs w:val="24"/>
        </w:rPr>
        <w:t>Merger</w:t>
      </w:r>
      <w:proofErr w:type="spellEnd"/>
      <w:r w:rsidR="0003186F">
        <w:rPr>
          <w:rFonts w:ascii="Arial" w:hAnsi="Arial" w:cs="Arial"/>
          <w:sz w:val="24"/>
          <w:szCs w:val="24"/>
        </w:rPr>
        <w:t xml:space="preserve"> Workshop, Taller de actualización en materia de Competencia, Curso de Telecomunicaciones, Foro Latinoamericano e Iberoamericano de Competencia y Seminario en Política de Competencia</w:t>
      </w:r>
      <w:r w:rsidR="00177D5E">
        <w:rPr>
          <w:rFonts w:ascii="Arial" w:hAnsi="Arial" w:cs="Arial"/>
          <w:sz w:val="24"/>
          <w:szCs w:val="24"/>
        </w:rPr>
        <w:t>,</w:t>
      </w:r>
      <w:r w:rsidR="0003186F">
        <w:rPr>
          <w:rFonts w:ascii="Arial" w:hAnsi="Arial" w:cs="Arial"/>
          <w:sz w:val="24"/>
          <w:szCs w:val="24"/>
        </w:rPr>
        <w:t xml:space="preserve"> Cumplimiento de la Ley</w:t>
      </w:r>
      <w:r w:rsidR="00177D5E">
        <w:rPr>
          <w:rFonts w:ascii="Arial" w:hAnsi="Arial" w:cs="Arial"/>
          <w:sz w:val="24"/>
          <w:szCs w:val="24"/>
        </w:rPr>
        <w:t>, EIB de competencia y IGE UNCTAD</w:t>
      </w:r>
      <w:r w:rsidR="0003186F">
        <w:rPr>
          <w:rFonts w:ascii="Arial" w:hAnsi="Arial" w:cs="Arial"/>
          <w:sz w:val="24"/>
          <w:szCs w:val="24"/>
        </w:rPr>
        <w:t>;</w:t>
      </w:r>
    </w:p>
    <w:p w:rsidR="0012731F" w:rsidRDefault="0012731F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formal al Comité del SNPC del estudio de Condiciones de Competencia en la Distribución Minorista de Productos de Consumo Periódico de los Hogares;</w:t>
      </w:r>
    </w:p>
    <w:p w:rsidR="0012731F" w:rsidRDefault="0012731F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de informe final de auditoría ISSS;</w:t>
      </w:r>
    </w:p>
    <w:p w:rsidR="004C637B" w:rsidRDefault="00C22903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 w:rsidR="004C637B">
        <w:rPr>
          <w:rFonts w:ascii="Arial" w:hAnsi="Arial" w:cs="Arial"/>
          <w:sz w:val="24"/>
          <w:szCs w:val="24"/>
        </w:rPr>
        <w:t xml:space="preserve"> eventos desarrollados (presentaciones, </w:t>
      </w:r>
      <w:proofErr w:type="spellStart"/>
      <w:r w:rsidR="004C637B">
        <w:rPr>
          <w:rFonts w:ascii="Arial" w:hAnsi="Arial" w:cs="Arial"/>
          <w:sz w:val="24"/>
          <w:szCs w:val="24"/>
        </w:rPr>
        <w:t>cineforum</w:t>
      </w:r>
      <w:proofErr w:type="spellEnd"/>
      <w:r w:rsidR="004C637B">
        <w:rPr>
          <w:rFonts w:ascii="Arial" w:hAnsi="Arial" w:cs="Arial"/>
          <w:sz w:val="24"/>
          <w:szCs w:val="24"/>
        </w:rPr>
        <w:t>, teatro, punto SC);</w:t>
      </w:r>
    </w:p>
    <w:p w:rsidR="004C637B" w:rsidRDefault="004C637B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Espacios para participación ciudada</w:t>
      </w:r>
      <w:r w:rsidR="00C22903">
        <w:rPr>
          <w:rFonts w:ascii="Arial" w:hAnsi="Arial" w:cs="Arial"/>
          <w:sz w:val="24"/>
          <w:szCs w:val="24"/>
        </w:rPr>
        <w:t>na (4 festivales del Buen Vivir;</w:t>
      </w:r>
      <w:r>
        <w:rPr>
          <w:rFonts w:ascii="Arial" w:hAnsi="Arial" w:cs="Arial"/>
          <w:sz w:val="24"/>
          <w:szCs w:val="24"/>
        </w:rPr>
        <w:t xml:space="preserve"> </w:t>
      </w:r>
      <w:r w:rsidR="00C22903">
        <w:rPr>
          <w:rFonts w:ascii="Arial" w:hAnsi="Arial" w:cs="Arial"/>
          <w:sz w:val="24"/>
          <w:szCs w:val="24"/>
        </w:rPr>
        <w:t>tres</w:t>
      </w:r>
      <w:r>
        <w:rPr>
          <w:rFonts w:ascii="Arial" w:hAnsi="Arial" w:cs="Arial"/>
          <w:sz w:val="24"/>
          <w:szCs w:val="24"/>
        </w:rPr>
        <w:t xml:space="preserve"> feria</w:t>
      </w:r>
      <w:r w:rsidR="00C2290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 expo compras de Gobierno</w:t>
      </w:r>
      <w:r w:rsidR="00C22903">
        <w:rPr>
          <w:rFonts w:ascii="Arial" w:hAnsi="Arial" w:cs="Arial"/>
          <w:sz w:val="24"/>
          <w:szCs w:val="24"/>
        </w:rPr>
        <w:t xml:space="preserve">, una en Ilopango y </w:t>
      </w:r>
      <w:proofErr w:type="spellStart"/>
      <w:r w:rsidR="00C22903">
        <w:rPr>
          <w:rFonts w:ascii="Arial" w:hAnsi="Arial" w:cs="Arial"/>
          <w:sz w:val="24"/>
          <w:szCs w:val="24"/>
        </w:rPr>
        <w:t>Quetzaltepeque</w:t>
      </w:r>
      <w:proofErr w:type="spellEnd"/>
      <w:r w:rsidR="00C22903">
        <w:rPr>
          <w:rFonts w:ascii="Arial" w:hAnsi="Arial" w:cs="Arial"/>
          <w:sz w:val="24"/>
          <w:szCs w:val="24"/>
        </w:rPr>
        <w:t xml:space="preserve">; y </w:t>
      </w:r>
      <w:r>
        <w:rPr>
          <w:rFonts w:ascii="Arial" w:hAnsi="Arial" w:cs="Arial"/>
          <w:sz w:val="24"/>
          <w:szCs w:val="24"/>
        </w:rPr>
        <w:t>13 despachos abiertos);</w:t>
      </w:r>
    </w:p>
    <w:p w:rsidR="0003186F" w:rsidRDefault="0012731F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637B">
        <w:rPr>
          <w:rFonts w:ascii="Arial" w:hAnsi="Arial" w:cs="Arial"/>
          <w:sz w:val="24"/>
          <w:szCs w:val="24"/>
        </w:rPr>
        <w:t>Documento con memoria de labores;</w:t>
      </w:r>
    </w:p>
    <w:p w:rsidR="004C637B" w:rsidRDefault="004C637B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documentos Técnicos elaborados: Denuncias</w:t>
      </w:r>
      <w:r w:rsidR="007621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Actuaciones Previas</w:t>
      </w:r>
      <w:r w:rsidR="007621A7">
        <w:rPr>
          <w:rFonts w:ascii="Arial" w:hAnsi="Arial" w:cs="Arial"/>
          <w:sz w:val="24"/>
          <w:szCs w:val="24"/>
        </w:rPr>
        <w:t xml:space="preserve"> y Herramientas de Investigación</w:t>
      </w:r>
      <w:r>
        <w:rPr>
          <w:rFonts w:ascii="Arial" w:hAnsi="Arial" w:cs="Arial"/>
          <w:sz w:val="24"/>
          <w:szCs w:val="24"/>
        </w:rPr>
        <w:t>;</w:t>
      </w:r>
    </w:p>
    <w:p w:rsidR="004C637B" w:rsidRDefault="00C22903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773AF0">
        <w:rPr>
          <w:rFonts w:ascii="Arial" w:hAnsi="Arial" w:cs="Arial"/>
          <w:sz w:val="24"/>
          <w:szCs w:val="24"/>
        </w:rPr>
        <w:t xml:space="preserve"> pasantías gestionadas; y</w:t>
      </w:r>
    </w:p>
    <w:p w:rsidR="00773AF0" w:rsidRPr="0003186F" w:rsidRDefault="00773AF0" w:rsidP="0003186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Mesa de trabajo Interinstitucional con BCR y presentación de estudio de seguros.</w:t>
      </w:r>
    </w:p>
    <w:p w:rsidR="001F0384" w:rsidRDefault="00773AF0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de los productos pendientes de las actividades con ejecución media o baja:</w:t>
      </w:r>
    </w:p>
    <w:p w:rsidR="005B67D0" w:rsidRDefault="005B24D0" w:rsidP="005B67D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</w:t>
      </w:r>
      <w:r w:rsidR="005B67D0">
        <w:rPr>
          <w:rFonts w:ascii="Arial" w:hAnsi="Arial" w:cs="Arial"/>
          <w:sz w:val="24"/>
          <w:szCs w:val="24"/>
        </w:rPr>
        <w:t>2.3.1.2, lo</w:t>
      </w:r>
      <w:r w:rsidR="005B67D0" w:rsidRPr="005B67D0">
        <w:rPr>
          <w:rFonts w:ascii="Arial" w:hAnsi="Arial" w:cs="Arial"/>
          <w:sz w:val="24"/>
          <w:szCs w:val="24"/>
        </w:rPr>
        <w:t>s dos documentos didácticos aludidos están vinculados con la Etapa II del Proyecto de la Fundación Ford, prevista para ejecutarse dentro del primer y segundo semestre del año 2017, según el cronograma preliminar de la Etapa. En el transcurso de la ejecución de esa Etapa II se elaborarán los respectivos documentos, a partir de los resultados de una consultoría para el diseño de logotipo y piezas gráficas (a contratarse duran</w:t>
      </w:r>
      <w:r w:rsidR="005B67D0">
        <w:rPr>
          <w:rFonts w:ascii="Arial" w:hAnsi="Arial" w:cs="Arial"/>
          <w:sz w:val="24"/>
          <w:szCs w:val="24"/>
        </w:rPr>
        <w:t>te el segundo semestre de 2017), quedando la actividad con una ejecución del 50%.</w:t>
      </w:r>
    </w:p>
    <w:p w:rsidR="00B055C8" w:rsidRDefault="00B055C8" w:rsidP="005B67D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AE.2.3.4.1, </w:t>
      </w:r>
      <w:r w:rsidR="001712DB">
        <w:rPr>
          <w:rFonts w:ascii="Arial" w:hAnsi="Arial" w:cs="Arial"/>
          <w:sz w:val="24"/>
          <w:szCs w:val="24"/>
        </w:rPr>
        <w:t>se procedió al proceso anual de gestión de compra de libros para el CENDOC pero serán recibidos en T4.</w:t>
      </w:r>
    </w:p>
    <w:p w:rsidR="00773AF0" w:rsidRDefault="005B67D0" w:rsidP="005B67D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AE.4.3.1.2, </w:t>
      </w:r>
      <w:r w:rsidR="00A74F4A">
        <w:rPr>
          <w:rFonts w:ascii="Arial" w:hAnsi="Arial" w:cs="Arial"/>
          <w:sz w:val="24"/>
          <w:szCs w:val="24"/>
        </w:rPr>
        <w:t>se realizaron 5 capacitaciones al exterior de 13 programadas, por lo que se ejecutó la actividad en un 64%.</w:t>
      </w:r>
    </w:p>
    <w:p w:rsidR="00A74F4A" w:rsidRDefault="00A74F4A" w:rsidP="00A74F4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AE.1.4.2.4, la actividad se ejecutó en un 25% ya que d</w:t>
      </w:r>
      <w:r w:rsidRPr="00A74F4A">
        <w:rPr>
          <w:rFonts w:ascii="Arial" w:hAnsi="Arial" w:cs="Arial"/>
          <w:sz w:val="24"/>
          <w:szCs w:val="24"/>
        </w:rPr>
        <w:t>ada la labor de actualizar el número total de resoluciones de opiniones tomo un tiempo obtener un listado final depurado</w:t>
      </w:r>
      <w:r>
        <w:rPr>
          <w:rFonts w:ascii="Arial" w:hAnsi="Arial" w:cs="Arial"/>
          <w:sz w:val="24"/>
          <w:szCs w:val="24"/>
        </w:rPr>
        <w:t xml:space="preserve"> y s</w:t>
      </w:r>
      <w:r w:rsidRPr="00A74F4A">
        <w:rPr>
          <w:rFonts w:ascii="Arial" w:hAnsi="Arial" w:cs="Arial"/>
          <w:sz w:val="24"/>
          <w:szCs w:val="24"/>
        </w:rPr>
        <w:t>e encuentra en un estado de depuración las opiniones que ya están vencidas</w:t>
      </w:r>
      <w:r>
        <w:rPr>
          <w:rFonts w:ascii="Arial" w:hAnsi="Arial" w:cs="Arial"/>
          <w:sz w:val="24"/>
          <w:szCs w:val="24"/>
        </w:rPr>
        <w:t xml:space="preserve"> y las </w:t>
      </w:r>
      <w:r w:rsidRPr="00A74F4A">
        <w:rPr>
          <w:rFonts w:ascii="Arial" w:hAnsi="Arial" w:cs="Arial"/>
          <w:sz w:val="24"/>
          <w:szCs w:val="24"/>
        </w:rPr>
        <w:t>que están vigentes por sector para finalizar la elaboración del plan de gestión a alto nivel para la ado</w:t>
      </w:r>
      <w:r>
        <w:rPr>
          <w:rFonts w:ascii="Arial" w:hAnsi="Arial" w:cs="Arial"/>
          <w:sz w:val="24"/>
          <w:szCs w:val="24"/>
        </w:rPr>
        <w:t>pción de recomendaciones de pol</w:t>
      </w:r>
      <w:r w:rsidRPr="00A74F4A">
        <w:rPr>
          <w:rFonts w:ascii="Arial" w:hAnsi="Arial" w:cs="Arial"/>
          <w:sz w:val="24"/>
          <w:szCs w:val="24"/>
        </w:rPr>
        <w:t>ítica pública.</w:t>
      </w:r>
    </w:p>
    <w:p w:rsidR="00A74F4A" w:rsidRDefault="0043599A" w:rsidP="00A74F4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AE.1.4.2.5, por las razones explicadas en la actividad AE.1.4.2.4 no se pudo realizar esta actividad.</w:t>
      </w:r>
    </w:p>
    <w:p w:rsidR="0043599A" w:rsidRDefault="0043599A" w:rsidP="00D14BF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6EE8">
        <w:rPr>
          <w:rFonts w:ascii="Arial" w:hAnsi="Arial" w:cs="Arial"/>
          <w:sz w:val="24"/>
          <w:szCs w:val="24"/>
        </w:rPr>
        <w:t>En la AE.2.3.3.4, actualmente se encuentra en elaboración con un avance del 95% el Resumen de Estudio sobre la distribución y comercialización de energía eléctrica en El Salvador, el cual se presentará en T3</w:t>
      </w:r>
      <w:r w:rsidR="00916EE8" w:rsidRPr="00916EE8">
        <w:rPr>
          <w:rFonts w:ascii="Arial" w:hAnsi="Arial" w:cs="Arial"/>
          <w:sz w:val="24"/>
          <w:szCs w:val="24"/>
        </w:rPr>
        <w:t>, y</w:t>
      </w:r>
      <w:r w:rsidR="00916EE8">
        <w:rPr>
          <w:rFonts w:ascii="Arial" w:hAnsi="Arial" w:cs="Arial"/>
          <w:sz w:val="24"/>
          <w:szCs w:val="24"/>
        </w:rPr>
        <w:t xml:space="preserve"> </w:t>
      </w:r>
      <w:r w:rsidRPr="00916EE8">
        <w:rPr>
          <w:rFonts w:ascii="Arial" w:hAnsi="Arial" w:cs="Arial"/>
          <w:sz w:val="24"/>
          <w:szCs w:val="24"/>
        </w:rPr>
        <w:t>se tiene previsto entregar en T4 el Resumen del Estudio de Frijol.</w:t>
      </w:r>
    </w:p>
    <w:p w:rsidR="00916EE8" w:rsidRPr="00916EE8" w:rsidRDefault="00916EE8" w:rsidP="00916EE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AE.4.1.1.1, n</w:t>
      </w:r>
      <w:r w:rsidRPr="00916EE8">
        <w:rPr>
          <w:rFonts w:ascii="Arial" w:hAnsi="Arial" w:cs="Arial"/>
          <w:sz w:val="24"/>
          <w:szCs w:val="24"/>
        </w:rPr>
        <w:t>o se realizaron renovaciones de convenio ya que actualmente todos los vigentes tienen cláusulas de vigencia indefinida por lo que ya no necesitan renovación, y los que se encuentran vencidos ya no hay necesidad de renovarlos. Para 2018 de eliminará esta actividad y se dejará solo la suscripción de convenios nuevos</w:t>
      </w:r>
      <w:r>
        <w:rPr>
          <w:rFonts w:ascii="Arial" w:hAnsi="Arial" w:cs="Arial"/>
          <w:sz w:val="24"/>
          <w:szCs w:val="24"/>
        </w:rPr>
        <w:t>.</w:t>
      </w:r>
    </w:p>
    <w:p w:rsidR="00414DD1" w:rsidRDefault="001F0384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4DD1">
        <w:rPr>
          <w:rFonts w:ascii="Arial" w:hAnsi="Arial" w:cs="Arial"/>
          <w:sz w:val="24"/>
          <w:szCs w:val="24"/>
        </w:rPr>
        <w:t xml:space="preserve"> </w:t>
      </w:r>
    </w:p>
    <w:p w:rsidR="00414DD1" w:rsidRPr="00F04F60" w:rsidRDefault="008A375C" w:rsidP="00F04F60">
      <w:pPr>
        <w:pStyle w:val="Ttulo1"/>
        <w:numPr>
          <w:ilvl w:val="0"/>
          <w:numId w:val="33"/>
        </w:numPr>
      </w:pPr>
      <w:r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233045</wp:posOffset>
            </wp:positionV>
            <wp:extent cx="2114550" cy="517525"/>
            <wp:effectExtent l="0" t="0" r="0" b="0"/>
            <wp:wrapTight wrapText="bothSides">
              <wp:wrapPolygon edited="0">
                <wp:start x="0" y="0"/>
                <wp:lineTo x="0" y="19877"/>
                <wp:lineTo x="21405" y="19877"/>
                <wp:lineTo x="21405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sz w:val="24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222250</wp:posOffset>
            </wp:positionV>
            <wp:extent cx="2141855" cy="500380"/>
            <wp:effectExtent l="0" t="0" r="0" b="0"/>
            <wp:wrapTight wrapText="bothSides">
              <wp:wrapPolygon edited="0">
                <wp:start x="0" y="0"/>
                <wp:lineTo x="0" y="20558"/>
                <wp:lineTo x="21325" y="20558"/>
                <wp:lineTo x="2132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991" w:rsidRPr="00F04F60">
        <w:t>Intendencia Económica</w:t>
      </w:r>
    </w:p>
    <w:p w:rsidR="00B26991" w:rsidRPr="00B26991" w:rsidRDefault="00B26991" w:rsidP="00B269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5BA2" w:rsidRDefault="000F5BA2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DD1" w:rsidRDefault="00414DD1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12DB" w:rsidRDefault="008A375C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81473</wp:posOffset>
            </wp:positionV>
            <wp:extent cx="5112385" cy="629285"/>
            <wp:effectExtent l="0" t="0" r="0" b="0"/>
            <wp:wrapTight wrapText="bothSides">
              <wp:wrapPolygon edited="0">
                <wp:start x="0" y="0"/>
                <wp:lineTo x="0" y="20924"/>
                <wp:lineTo x="21490" y="20924"/>
                <wp:lineTo x="21490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375C" w:rsidRDefault="008A375C" w:rsidP="00123B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75C" w:rsidRDefault="008A375C" w:rsidP="00123B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75C" w:rsidRDefault="008A375C" w:rsidP="00123B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75C" w:rsidRDefault="008A375C" w:rsidP="00123B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3B28" w:rsidRDefault="00123B28" w:rsidP="00123B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las actividades más relevantes ejecutadas exitosamente se cuenta con: </w:t>
      </w:r>
    </w:p>
    <w:p w:rsidR="00414DD1" w:rsidRPr="00AC50DE" w:rsidRDefault="00AC50DE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técnico sobre “Barreras a la entrada en compras públicas para MYPES”</w:t>
      </w:r>
      <w:r w:rsidR="00F43C0D">
        <w:rPr>
          <w:rFonts w:ascii="Arial" w:hAnsi="Arial" w:cs="Arial"/>
          <w:sz w:val="24"/>
          <w:szCs w:val="24"/>
        </w:rPr>
        <w:t>.</w:t>
      </w:r>
    </w:p>
    <w:p w:rsidR="00AC50DE" w:rsidRPr="00F43C0D" w:rsidRDefault="00F43C0D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sobre “Distribución y comercialización de energía eléctrica en El Salvador”.</w:t>
      </w:r>
    </w:p>
    <w:p w:rsidR="00F43C0D" w:rsidRPr="00F43C0D" w:rsidRDefault="00F43C0D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sobre “La distribución y comercialización de energía eléctrica en El Salvador”.</w:t>
      </w:r>
    </w:p>
    <w:p w:rsidR="00F43C0D" w:rsidRPr="007621A7" w:rsidRDefault="00F43C0D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sobre “Caracterización del mercado de financiamiento a MYPES”.</w:t>
      </w:r>
    </w:p>
    <w:p w:rsidR="00F43C0D" w:rsidRPr="00AB6D91" w:rsidRDefault="00F43C0D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3C0D">
        <w:rPr>
          <w:rFonts w:ascii="Arial" w:hAnsi="Arial" w:cs="Arial"/>
          <w:sz w:val="24"/>
          <w:szCs w:val="24"/>
        </w:rPr>
        <w:t>Sesiones de divulgación donde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43C0D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43C0D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ó en el ESEN y FEPADE</w:t>
      </w:r>
      <w:r w:rsidR="00AB6D91">
        <w:rPr>
          <w:rFonts w:ascii="Arial" w:hAnsi="Arial" w:cs="Arial"/>
          <w:sz w:val="24"/>
          <w:szCs w:val="24"/>
        </w:rPr>
        <w:t xml:space="preserve"> el estudio sobre “Distribución y comercialización de energía eléctrica en El Salvador” y el caso de cervezas.</w:t>
      </w:r>
    </w:p>
    <w:p w:rsidR="00AB6D91" w:rsidRPr="00AB6D91" w:rsidRDefault="00AB6D91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Creación y remisión de boletín sobre precios de combustible</w:t>
      </w:r>
      <w:r w:rsidR="00CB61A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azúcar</w:t>
      </w:r>
      <w:r w:rsidR="00CB61AC">
        <w:rPr>
          <w:rFonts w:ascii="Arial" w:hAnsi="Arial" w:cs="Arial"/>
          <w:sz w:val="24"/>
          <w:szCs w:val="24"/>
        </w:rPr>
        <w:t xml:space="preserve"> </w:t>
      </w:r>
      <w:r w:rsidR="00CB61AC" w:rsidRPr="00E31C47">
        <w:rPr>
          <w:rFonts w:ascii="Arial" w:hAnsi="Arial" w:cs="Arial"/>
          <w:sz w:val="24"/>
          <w:szCs w:val="24"/>
        </w:rPr>
        <w:t>y</w:t>
      </w:r>
      <w:r w:rsidR="001E35CF">
        <w:rPr>
          <w:rFonts w:ascii="Arial" w:hAnsi="Arial" w:cs="Arial"/>
          <w:sz w:val="24"/>
          <w:szCs w:val="24"/>
        </w:rPr>
        <w:t xml:space="preserve"> nuevas publicaciones, análisis de prácticas y acciones de promoción</w:t>
      </w:r>
      <w:r>
        <w:rPr>
          <w:rFonts w:ascii="Arial" w:hAnsi="Arial" w:cs="Arial"/>
          <w:sz w:val="24"/>
          <w:szCs w:val="24"/>
        </w:rPr>
        <w:t>.</w:t>
      </w:r>
    </w:p>
    <w:p w:rsidR="00AB6D91" w:rsidRPr="00AB6D91" w:rsidRDefault="00AB6D91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Artículos sobre cerveza publicado en diario el Mundo</w:t>
      </w:r>
      <w:r w:rsidR="00C63C2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B6D91" w:rsidRPr="00055B6C" w:rsidRDefault="00AB6D91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Emisión de opiniones sobre</w:t>
      </w:r>
      <w:r w:rsidR="00055B6C">
        <w:rPr>
          <w:rFonts w:ascii="Arial" w:hAnsi="Arial" w:cs="Arial"/>
          <w:sz w:val="24"/>
          <w:szCs w:val="24"/>
        </w:rPr>
        <w:t xml:space="preserve"> normativa en el sector de seguros (2</w:t>
      </w:r>
      <w:r w:rsidR="00C63C26">
        <w:rPr>
          <w:rFonts w:ascii="Arial" w:hAnsi="Arial" w:cs="Arial"/>
          <w:sz w:val="24"/>
          <w:szCs w:val="24"/>
        </w:rPr>
        <w:t>), en el sector eléctrico (2)</w:t>
      </w:r>
      <w:r w:rsidR="00297D44">
        <w:rPr>
          <w:rFonts w:ascii="Arial" w:hAnsi="Arial" w:cs="Arial"/>
          <w:sz w:val="24"/>
          <w:szCs w:val="24"/>
        </w:rPr>
        <w:t>,</w:t>
      </w:r>
      <w:r w:rsidR="00055B6C">
        <w:rPr>
          <w:rFonts w:ascii="Arial" w:hAnsi="Arial" w:cs="Arial"/>
          <w:sz w:val="24"/>
          <w:szCs w:val="24"/>
        </w:rPr>
        <w:t xml:space="preserve"> en el sector comercio (</w:t>
      </w:r>
      <w:r w:rsidR="00297D44">
        <w:rPr>
          <w:rFonts w:ascii="Arial" w:hAnsi="Arial" w:cs="Arial"/>
          <w:sz w:val="24"/>
          <w:szCs w:val="24"/>
        </w:rPr>
        <w:t>1</w:t>
      </w:r>
      <w:r w:rsidR="00055B6C">
        <w:rPr>
          <w:rFonts w:ascii="Arial" w:hAnsi="Arial" w:cs="Arial"/>
          <w:sz w:val="24"/>
          <w:szCs w:val="24"/>
        </w:rPr>
        <w:t>)</w:t>
      </w:r>
      <w:r w:rsidR="00297D44">
        <w:rPr>
          <w:rFonts w:ascii="Arial" w:hAnsi="Arial" w:cs="Arial"/>
          <w:sz w:val="24"/>
          <w:szCs w:val="24"/>
        </w:rPr>
        <w:t xml:space="preserve"> y sector transporte (1)</w:t>
      </w:r>
      <w:r w:rsidR="006E0FAA">
        <w:rPr>
          <w:rFonts w:ascii="Arial" w:hAnsi="Arial" w:cs="Arial"/>
          <w:sz w:val="24"/>
          <w:szCs w:val="24"/>
        </w:rPr>
        <w:t>.</w:t>
      </w:r>
    </w:p>
    <w:p w:rsidR="00055B6C" w:rsidRPr="00AB6D91" w:rsidRDefault="00055B6C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Emisión de opiniones de contrataciones públicas en el sector de alumbrado público (2), en servicio de comunicaciones (1</w:t>
      </w:r>
      <w:r w:rsidR="006E0FA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y en adquisición de equipo hospitalario (1). </w:t>
      </w:r>
    </w:p>
    <w:p w:rsidR="00F93B6E" w:rsidRPr="00F93B6E" w:rsidRDefault="00F93B6E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sobre precio de energía eléctrica.</w:t>
      </w:r>
    </w:p>
    <w:p w:rsidR="00F93B6E" w:rsidRPr="00F93B6E" w:rsidRDefault="00F93B6E" w:rsidP="00123B2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E0FA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solicitudes de concentraciones económicas, </w:t>
      </w:r>
      <w:r w:rsidR="006E0FA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improcedentes, 3 inadmisible y dos admitidas a trámite y concluidas (la de </w:t>
      </w:r>
      <w:proofErr w:type="spellStart"/>
      <w:r>
        <w:rPr>
          <w:rFonts w:ascii="Arial" w:hAnsi="Arial" w:cs="Arial"/>
          <w:sz w:val="24"/>
          <w:szCs w:val="24"/>
        </w:rPr>
        <w:t>Telemovil</w:t>
      </w:r>
      <w:proofErr w:type="spellEnd"/>
      <w:r>
        <w:rPr>
          <w:rFonts w:ascii="Arial" w:hAnsi="Arial" w:cs="Arial"/>
          <w:sz w:val="24"/>
          <w:szCs w:val="24"/>
        </w:rPr>
        <w:t xml:space="preserve"> El Salvador-Sociedades Caribeña S.A. de C.V. y autorización de la adquisición por parte de Corporación de Inversiones </w:t>
      </w:r>
      <w:proofErr w:type="spellStart"/>
      <w:r>
        <w:rPr>
          <w:rFonts w:ascii="Arial" w:hAnsi="Arial" w:cs="Arial"/>
          <w:sz w:val="24"/>
          <w:szCs w:val="24"/>
        </w:rPr>
        <w:t>Atlantida</w:t>
      </w:r>
      <w:proofErr w:type="spellEnd"/>
      <w:r>
        <w:rPr>
          <w:rFonts w:ascii="Arial" w:hAnsi="Arial" w:cs="Arial"/>
          <w:sz w:val="24"/>
          <w:szCs w:val="24"/>
        </w:rPr>
        <w:t xml:space="preserve"> S.A. del capital accionario del Banco </w:t>
      </w:r>
      <w:proofErr w:type="spellStart"/>
      <w:r>
        <w:rPr>
          <w:rFonts w:ascii="Arial" w:hAnsi="Arial" w:cs="Arial"/>
          <w:sz w:val="24"/>
          <w:szCs w:val="24"/>
        </w:rPr>
        <w:t>Procredit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8B5487" w:rsidRDefault="008B5487" w:rsidP="008B5487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487" w:rsidRDefault="008B5487" w:rsidP="008B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de los productos pendientes de las actividades con ejecución media o baja:</w:t>
      </w:r>
    </w:p>
    <w:p w:rsidR="008B5487" w:rsidRDefault="001712DB" w:rsidP="008B548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AE.1.4.1.2</w:t>
      </w:r>
      <w:r w:rsidR="008B548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 recibió una solicitud de opinión sobre Aeropuerto y Avianca el 28 de agosto por lo que se resolverá en el cuarto trimestre</w:t>
      </w:r>
      <w:r w:rsidR="008B5487">
        <w:rPr>
          <w:rFonts w:ascii="Arial" w:hAnsi="Arial" w:cs="Arial"/>
          <w:sz w:val="24"/>
          <w:szCs w:val="24"/>
        </w:rPr>
        <w:t>.</w:t>
      </w:r>
    </w:p>
    <w:p w:rsidR="008B5487" w:rsidRPr="004229B0" w:rsidRDefault="008B5487" w:rsidP="004229B0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414DD1" w:rsidRPr="00F04F60" w:rsidRDefault="004229B0" w:rsidP="00F04F60">
      <w:pPr>
        <w:pStyle w:val="Ttulo1"/>
        <w:numPr>
          <w:ilvl w:val="0"/>
          <w:numId w:val="33"/>
        </w:numPr>
      </w:pPr>
      <w:r w:rsidRPr="00F04F60">
        <w:t>Intendencia de Investigaciones</w:t>
      </w:r>
    </w:p>
    <w:p w:rsidR="004229B0" w:rsidRDefault="006E0FAA" w:rsidP="004229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01EB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3050730</wp:posOffset>
            </wp:positionH>
            <wp:positionV relativeFrom="paragraph">
              <wp:posOffset>60960</wp:posOffset>
            </wp:positionV>
            <wp:extent cx="2397760" cy="474345"/>
            <wp:effectExtent l="0" t="0" r="2540" b="1905"/>
            <wp:wrapTight wrapText="bothSides">
              <wp:wrapPolygon edited="0">
                <wp:start x="0" y="0"/>
                <wp:lineTo x="0" y="20819"/>
                <wp:lineTo x="21451" y="20819"/>
                <wp:lineTo x="21451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200672</wp:posOffset>
            </wp:positionH>
            <wp:positionV relativeFrom="paragraph">
              <wp:posOffset>41206</wp:posOffset>
            </wp:positionV>
            <wp:extent cx="2113915" cy="494665"/>
            <wp:effectExtent l="0" t="0" r="635" b="635"/>
            <wp:wrapTight wrapText="bothSides">
              <wp:wrapPolygon edited="0">
                <wp:start x="0" y="0"/>
                <wp:lineTo x="0" y="20796"/>
                <wp:lineTo x="21412" y="20796"/>
                <wp:lineTo x="21412" y="0"/>
                <wp:lineTo x="0" y="0"/>
              </wp:wrapPolygon>
            </wp:wrapTight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49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1EB" w:rsidRPr="005501EB">
        <w:rPr>
          <w:noProof/>
        </w:rPr>
        <w:t xml:space="preserve"> </w:t>
      </w:r>
    </w:p>
    <w:p w:rsidR="00E52082" w:rsidRDefault="00E52082" w:rsidP="004229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0FAA" w:rsidRDefault="006E0FAA" w:rsidP="00422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0FAA" w:rsidRDefault="006E0FAA" w:rsidP="00422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082" w:rsidRDefault="005501EB" w:rsidP="00422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01EB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Intendencia de Investigaciones cumplió exitosamente con las actividades programadas en este </w:t>
      </w:r>
      <w:r w:rsidR="00B31937">
        <w:rPr>
          <w:rFonts w:ascii="Arial" w:hAnsi="Arial" w:cs="Arial"/>
          <w:sz w:val="24"/>
          <w:szCs w:val="24"/>
        </w:rPr>
        <w:t>per</w:t>
      </w:r>
      <w:r w:rsidR="00BB3ECC">
        <w:rPr>
          <w:rFonts w:ascii="Arial" w:hAnsi="Arial" w:cs="Arial"/>
          <w:sz w:val="24"/>
          <w:szCs w:val="24"/>
        </w:rPr>
        <w:t>í</w:t>
      </w:r>
      <w:r w:rsidR="00B31937">
        <w:rPr>
          <w:rFonts w:ascii="Arial" w:hAnsi="Arial" w:cs="Arial"/>
          <w:sz w:val="24"/>
          <w:szCs w:val="24"/>
        </w:rPr>
        <w:t>odo</w:t>
      </w:r>
      <w:r>
        <w:rPr>
          <w:rFonts w:ascii="Arial" w:hAnsi="Arial" w:cs="Arial"/>
          <w:sz w:val="24"/>
          <w:szCs w:val="24"/>
        </w:rPr>
        <w:t>.</w:t>
      </w:r>
    </w:p>
    <w:p w:rsidR="005501EB" w:rsidRDefault="005501EB" w:rsidP="00422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1EB" w:rsidRDefault="005501EB" w:rsidP="00550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las actividades más relevantes ejecutadas exitosamente se cuenta con: </w:t>
      </w:r>
    </w:p>
    <w:p w:rsidR="005501EB" w:rsidRDefault="005501EB" w:rsidP="00D14BF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01EB">
        <w:rPr>
          <w:rFonts w:ascii="Arial" w:hAnsi="Arial" w:cs="Arial"/>
          <w:sz w:val="24"/>
          <w:szCs w:val="24"/>
        </w:rPr>
        <w:t xml:space="preserve">Escritos respecto al caso ODS y caso </w:t>
      </w:r>
      <w:proofErr w:type="spellStart"/>
      <w:r w:rsidRPr="005501EB">
        <w:rPr>
          <w:rFonts w:ascii="Arial" w:hAnsi="Arial" w:cs="Arial"/>
          <w:sz w:val="24"/>
          <w:szCs w:val="24"/>
        </w:rPr>
        <w:t>Utravel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501EB" w:rsidRDefault="005501EB" w:rsidP="005501E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01EB">
        <w:rPr>
          <w:rFonts w:ascii="Arial" w:hAnsi="Arial" w:cs="Arial"/>
          <w:sz w:val="24"/>
          <w:szCs w:val="24"/>
        </w:rPr>
        <w:t>Revisar expedientes de procesos judiciales en las Salas de la Corte Suprema de Justicia</w:t>
      </w:r>
      <w:r>
        <w:rPr>
          <w:rFonts w:ascii="Arial" w:hAnsi="Arial" w:cs="Arial"/>
          <w:sz w:val="24"/>
          <w:szCs w:val="24"/>
        </w:rPr>
        <w:t xml:space="preserve"> de los c</w:t>
      </w:r>
      <w:r w:rsidRPr="005501EB">
        <w:rPr>
          <w:rFonts w:ascii="Arial" w:hAnsi="Arial" w:cs="Arial"/>
          <w:sz w:val="24"/>
          <w:szCs w:val="24"/>
        </w:rPr>
        <w:t>aso</w:t>
      </w:r>
      <w:r>
        <w:rPr>
          <w:rFonts w:ascii="Arial" w:hAnsi="Arial" w:cs="Arial"/>
          <w:sz w:val="24"/>
          <w:szCs w:val="24"/>
        </w:rPr>
        <w:t>s</w:t>
      </w:r>
      <w:r w:rsidRPr="005501EB">
        <w:rPr>
          <w:rFonts w:ascii="Arial" w:hAnsi="Arial" w:cs="Arial"/>
          <w:sz w:val="24"/>
          <w:szCs w:val="24"/>
        </w:rPr>
        <w:t xml:space="preserve"> INGENIO EL ANGEL</w:t>
      </w:r>
      <w:r>
        <w:rPr>
          <w:rFonts w:ascii="Arial" w:hAnsi="Arial" w:cs="Arial"/>
          <w:sz w:val="24"/>
          <w:szCs w:val="24"/>
        </w:rPr>
        <w:t>,</w:t>
      </w:r>
      <w:r w:rsidRPr="005501EB">
        <w:rPr>
          <w:rFonts w:ascii="Arial" w:hAnsi="Arial" w:cs="Arial"/>
          <w:sz w:val="24"/>
          <w:szCs w:val="24"/>
        </w:rPr>
        <w:t xml:space="preserve"> HOTELES E INVERSIONES</w:t>
      </w:r>
      <w:r>
        <w:rPr>
          <w:rFonts w:ascii="Arial" w:hAnsi="Arial" w:cs="Arial"/>
          <w:sz w:val="24"/>
          <w:szCs w:val="24"/>
        </w:rPr>
        <w:t xml:space="preserve">, </w:t>
      </w:r>
      <w:r w:rsidRPr="005501EB">
        <w:rPr>
          <w:rFonts w:ascii="Arial" w:hAnsi="Arial" w:cs="Arial"/>
          <w:sz w:val="24"/>
          <w:szCs w:val="24"/>
        </w:rPr>
        <w:t>caso ODS</w:t>
      </w:r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501EB">
        <w:rPr>
          <w:rFonts w:ascii="Arial" w:hAnsi="Arial" w:cs="Arial"/>
          <w:sz w:val="24"/>
          <w:szCs w:val="24"/>
        </w:rPr>
        <w:t>Dizucar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501EB" w:rsidRDefault="005501EB" w:rsidP="005501E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01EB">
        <w:rPr>
          <w:rFonts w:ascii="Arial" w:hAnsi="Arial" w:cs="Arial"/>
          <w:sz w:val="24"/>
          <w:szCs w:val="24"/>
        </w:rPr>
        <w:t>Evacuar informes</w:t>
      </w:r>
      <w:r>
        <w:rPr>
          <w:rFonts w:ascii="Arial" w:hAnsi="Arial" w:cs="Arial"/>
          <w:sz w:val="24"/>
          <w:szCs w:val="24"/>
        </w:rPr>
        <w:t xml:space="preserve"> de los casos </w:t>
      </w:r>
      <w:r w:rsidRPr="005501EB">
        <w:rPr>
          <w:rFonts w:ascii="Arial" w:hAnsi="Arial" w:cs="Arial"/>
          <w:sz w:val="24"/>
          <w:szCs w:val="24"/>
        </w:rPr>
        <w:t>TELEMOVIL PD</w:t>
      </w:r>
      <w:r>
        <w:rPr>
          <w:rFonts w:ascii="Arial" w:hAnsi="Arial" w:cs="Arial"/>
          <w:sz w:val="24"/>
          <w:szCs w:val="24"/>
        </w:rPr>
        <w:t xml:space="preserve">, </w:t>
      </w:r>
      <w:r w:rsidRPr="005501EB">
        <w:rPr>
          <w:rFonts w:ascii="Arial" w:hAnsi="Arial" w:cs="Arial"/>
          <w:sz w:val="24"/>
          <w:szCs w:val="24"/>
        </w:rPr>
        <w:t>CTE PD</w:t>
      </w:r>
      <w:r>
        <w:rPr>
          <w:rFonts w:ascii="Arial" w:hAnsi="Arial" w:cs="Arial"/>
          <w:sz w:val="24"/>
          <w:szCs w:val="24"/>
        </w:rPr>
        <w:t>,</w:t>
      </w:r>
      <w:r w:rsidRPr="005501EB">
        <w:rPr>
          <w:rFonts w:ascii="Arial" w:hAnsi="Arial" w:cs="Arial"/>
          <w:sz w:val="24"/>
          <w:szCs w:val="24"/>
        </w:rPr>
        <w:t xml:space="preserve"> TELEFONICA PD</w:t>
      </w:r>
      <w:r>
        <w:rPr>
          <w:rFonts w:ascii="Arial" w:hAnsi="Arial" w:cs="Arial"/>
          <w:sz w:val="24"/>
          <w:szCs w:val="24"/>
        </w:rPr>
        <w:t xml:space="preserve">, </w:t>
      </w:r>
      <w:r w:rsidRPr="005501EB">
        <w:rPr>
          <w:rFonts w:ascii="Arial" w:hAnsi="Arial" w:cs="Arial"/>
          <w:sz w:val="24"/>
          <w:szCs w:val="24"/>
        </w:rPr>
        <w:t>DIGICEL PD</w:t>
      </w:r>
      <w:r>
        <w:rPr>
          <w:rFonts w:ascii="Arial" w:hAnsi="Arial" w:cs="Arial"/>
          <w:sz w:val="24"/>
          <w:szCs w:val="24"/>
        </w:rPr>
        <w:t>,</w:t>
      </w:r>
      <w:r w:rsidRPr="005501EB">
        <w:rPr>
          <w:rFonts w:ascii="Arial" w:hAnsi="Arial" w:cs="Arial"/>
          <w:sz w:val="24"/>
          <w:szCs w:val="24"/>
        </w:rPr>
        <w:t xml:space="preserve"> CTE TELECOM PD</w:t>
      </w:r>
      <w:r>
        <w:rPr>
          <w:rFonts w:ascii="Arial" w:hAnsi="Arial" w:cs="Arial"/>
          <w:sz w:val="24"/>
          <w:szCs w:val="24"/>
        </w:rPr>
        <w:t xml:space="preserve">, </w:t>
      </w:r>
      <w:r w:rsidRPr="005501EB">
        <w:rPr>
          <w:rFonts w:ascii="Arial" w:hAnsi="Arial" w:cs="Arial"/>
          <w:sz w:val="24"/>
          <w:szCs w:val="24"/>
        </w:rPr>
        <w:t>AIG CA</w:t>
      </w:r>
      <w:r>
        <w:rPr>
          <w:rFonts w:ascii="Arial" w:hAnsi="Arial" w:cs="Arial"/>
          <w:sz w:val="24"/>
          <w:szCs w:val="24"/>
        </w:rPr>
        <w:t>,</w:t>
      </w:r>
      <w:r w:rsidRPr="005501EB">
        <w:rPr>
          <w:rFonts w:ascii="Arial" w:hAnsi="Arial" w:cs="Arial"/>
          <w:sz w:val="24"/>
          <w:szCs w:val="24"/>
        </w:rPr>
        <w:t xml:space="preserve"> INGENIO EL </w:t>
      </w:r>
      <w:r w:rsidR="00DE7BDE" w:rsidRPr="005501EB">
        <w:rPr>
          <w:rFonts w:ascii="Arial" w:hAnsi="Arial" w:cs="Arial"/>
          <w:sz w:val="24"/>
          <w:szCs w:val="24"/>
        </w:rPr>
        <w:t>ANGEL</w:t>
      </w:r>
      <w:r w:rsidR="00DE7BDE">
        <w:rPr>
          <w:rFonts w:ascii="Arial" w:hAnsi="Arial" w:cs="Arial"/>
          <w:sz w:val="24"/>
          <w:szCs w:val="24"/>
        </w:rPr>
        <w:t xml:space="preserve">, </w:t>
      </w:r>
      <w:r w:rsidR="00DE7BDE" w:rsidRPr="005501EB">
        <w:rPr>
          <w:rFonts w:ascii="Arial" w:hAnsi="Arial" w:cs="Arial"/>
          <w:sz w:val="24"/>
          <w:szCs w:val="24"/>
        </w:rPr>
        <w:t>SIEF</w:t>
      </w:r>
      <w:r w:rsidR="00B10195">
        <w:rPr>
          <w:rFonts w:ascii="Arial" w:hAnsi="Arial" w:cs="Arial"/>
          <w:sz w:val="24"/>
          <w:szCs w:val="24"/>
        </w:rPr>
        <w:t>, DIZUCAR, TROPIGAZ</w:t>
      </w:r>
      <w:r w:rsidR="00B57685">
        <w:rPr>
          <w:rFonts w:ascii="Arial" w:hAnsi="Arial" w:cs="Arial"/>
          <w:sz w:val="24"/>
          <w:szCs w:val="24"/>
        </w:rPr>
        <w:t xml:space="preserve"> y </w:t>
      </w:r>
      <w:r w:rsidRPr="005501EB">
        <w:rPr>
          <w:rFonts w:ascii="Arial" w:hAnsi="Arial" w:cs="Arial"/>
          <w:sz w:val="24"/>
          <w:szCs w:val="24"/>
        </w:rPr>
        <w:t>ODS</w:t>
      </w:r>
      <w:r w:rsidR="00B57685">
        <w:rPr>
          <w:rFonts w:ascii="Arial" w:hAnsi="Arial" w:cs="Arial"/>
          <w:sz w:val="24"/>
          <w:szCs w:val="24"/>
        </w:rPr>
        <w:t>.</w:t>
      </w:r>
    </w:p>
    <w:p w:rsidR="00F04F60" w:rsidRDefault="00F04F60" w:rsidP="00F04F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1C77" w:rsidRDefault="00391C77" w:rsidP="00F04F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4354" w:rsidRPr="00F04F60" w:rsidRDefault="005A0F7F" w:rsidP="00F04F60">
      <w:pPr>
        <w:pStyle w:val="Ttulo1"/>
        <w:numPr>
          <w:ilvl w:val="0"/>
          <w:numId w:val="33"/>
        </w:numPr>
      </w:pPr>
      <w:r>
        <w:rPr>
          <w:b w:val="0"/>
          <w:noProof/>
          <w:sz w:val="24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280035</wp:posOffset>
            </wp:positionV>
            <wp:extent cx="2303780" cy="561975"/>
            <wp:effectExtent l="0" t="0" r="1270" b="0"/>
            <wp:wrapTight wrapText="bothSides">
              <wp:wrapPolygon edited="0">
                <wp:start x="0" y="0"/>
                <wp:lineTo x="0" y="20502"/>
                <wp:lineTo x="21433" y="20502"/>
                <wp:lineTo x="2143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sz w:val="24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280035</wp:posOffset>
            </wp:positionV>
            <wp:extent cx="2147570" cy="499110"/>
            <wp:effectExtent l="0" t="0" r="5080" b="0"/>
            <wp:wrapTight wrapText="bothSides">
              <wp:wrapPolygon edited="0">
                <wp:start x="0" y="0"/>
                <wp:lineTo x="0" y="20611"/>
                <wp:lineTo x="21459" y="20611"/>
                <wp:lineTo x="2145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354" w:rsidRPr="00F04F60">
        <w:t>Unidad de Comunicaciones</w:t>
      </w:r>
    </w:p>
    <w:p w:rsidR="000A3DFD" w:rsidRPr="007A4354" w:rsidRDefault="000A3DFD" w:rsidP="007A43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2082" w:rsidRDefault="00E52082" w:rsidP="004229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2082" w:rsidRPr="004229B0" w:rsidRDefault="009F7C9D" w:rsidP="004229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278130</wp:posOffset>
            </wp:positionV>
            <wp:extent cx="5142230" cy="1418590"/>
            <wp:effectExtent l="0" t="0" r="1270" b="0"/>
            <wp:wrapTight wrapText="bothSides">
              <wp:wrapPolygon edited="0">
                <wp:start x="0" y="0"/>
                <wp:lineTo x="0" y="21175"/>
                <wp:lineTo x="21525" y="21175"/>
                <wp:lineTo x="21525" y="0"/>
                <wp:lineTo x="0" y="0"/>
              </wp:wrapPolygon>
            </wp:wrapTight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C9D" w:rsidRDefault="009F7C9D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C9D" w:rsidRDefault="009F7C9D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C9D" w:rsidRDefault="009F7C9D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C9D" w:rsidRDefault="009F7C9D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C9D" w:rsidRDefault="009F7C9D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C9D" w:rsidRDefault="009F7C9D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C9D" w:rsidRDefault="009F7C9D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C9D" w:rsidRDefault="009F7C9D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C9D" w:rsidRDefault="009F7C9D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Default="00A66046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las actividades más relevantes ejecutadas exitosamente se cuenta con: </w:t>
      </w:r>
    </w:p>
    <w:p w:rsidR="00186CE4" w:rsidRPr="00186CE4" w:rsidRDefault="00186CE4" w:rsidP="00186CE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6CE4">
        <w:rPr>
          <w:rFonts w:ascii="Arial" w:hAnsi="Arial" w:cs="Arial"/>
          <w:sz w:val="24"/>
          <w:szCs w:val="24"/>
        </w:rPr>
        <w:t xml:space="preserve">Presencia en medios de comunicación en espacios informativos a través de gestión de entrevistas y envío de información noticiosa, dando a conocer información institucional de relevancia para la población. </w:t>
      </w:r>
    </w:p>
    <w:p w:rsidR="00186CE4" w:rsidRPr="00186CE4" w:rsidRDefault="00186CE4" w:rsidP="00186CE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6CE4">
        <w:rPr>
          <w:rFonts w:ascii="Arial" w:hAnsi="Arial" w:cs="Arial"/>
          <w:sz w:val="24"/>
          <w:szCs w:val="24"/>
        </w:rPr>
        <w:t xml:space="preserve">Publicación de artículos de opinión elaborados por titular y miembros del equipo de la entidad; así como de material noticioso curado por la entidad mediante alianza con Diario El Mundo, en la sección Competencia en El Mundo. </w:t>
      </w:r>
    </w:p>
    <w:p w:rsidR="00186CE4" w:rsidRPr="00186CE4" w:rsidRDefault="007B6B3D" w:rsidP="00186CE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desarrollaron 7</w:t>
      </w:r>
      <w:r w:rsidR="00186CE4" w:rsidRPr="00186CE4">
        <w:rPr>
          <w:rFonts w:ascii="Arial" w:hAnsi="Arial" w:cs="Arial"/>
          <w:sz w:val="24"/>
          <w:szCs w:val="24"/>
        </w:rPr>
        <w:t xml:space="preserve"> campañas digitales: </w:t>
      </w:r>
      <w:r w:rsidR="00186CE4">
        <w:rPr>
          <w:rFonts w:ascii="Arial" w:hAnsi="Arial" w:cs="Arial"/>
          <w:sz w:val="24"/>
          <w:szCs w:val="24"/>
        </w:rPr>
        <w:t>C</w:t>
      </w:r>
      <w:r w:rsidR="00186CE4" w:rsidRPr="00186CE4">
        <w:rPr>
          <w:rFonts w:ascii="Arial" w:hAnsi="Arial" w:cs="Arial"/>
          <w:sz w:val="24"/>
          <w:szCs w:val="24"/>
        </w:rPr>
        <w:t xml:space="preserve">oncentración en sector cervezas, </w:t>
      </w:r>
      <w:r w:rsidR="00142D86">
        <w:rPr>
          <w:rFonts w:ascii="Arial" w:hAnsi="Arial" w:cs="Arial"/>
          <w:sz w:val="24"/>
          <w:szCs w:val="24"/>
        </w:rPr>
        <w:t>p</w:t>
      </w:r>
      <w:r w:rsidR="00186CE4" w:rsidRPr="00186CE4">
        <w:rPr>
          <w:rFonts w:ascii="Arial" w:hAnsi="Arial" w:cs="Arial"/>
          <w:sz w:val="24"/>
          <w:szCs w:val="24"/>
        </w:rPr>
        <w:t xml:space="preserve">romoción de Encuesta Web para estudio sobre telefonía </w:t>
      </w:r>
      <w:r w:rsidR="00142D86" w:rsidRPr="00186CE4">
        <w:rPr>
          <w:rFonts w:ascii="Arial" w:hAnsi="Arial" w:cs="Arial"/>
          <w:sz w:val="24"/>
          <w:szCs w:val="24"/>
        </w:rPr>
        <w:t xml:space="preserve">móvil, </w:t>
      </w:r>
      <w:r w:rsidR="00142D86">
        <w:rPr>
          <w:rFonts w:ascii="Arial" w:hAnsi="Arial" w:cs="Arial"/>
          <w:sz w:val="24"/>
          <w:szCs w:val="24"/>
        </w:rPr>
        <w:t>promoción</w:t>
      </w:r>
      <w:r w:rsidR="00186CE4" w:rsidRPr="00186CE4">
        <w:rPr>
          <w:rFonts w:ascii="Arial" w:hAnsi="Arial" w:cs="Arial"/>
          <w:sz w:val="24"/>
          <w:szCs w:val="24"/>
        </w:rPr>
        <w:t xml:space="preserve"> de solicitud de formación sobre Derecho de Competencia ("Hablemos"), Inédita victoria judicial (caso Harinas)</w:t>
      </w:r>
      <w:r w:rsidR="00C66A00">
        <w:rPr>
          <w:rFonts w:ascii="Arial" w:hAnsi="Arial" w:cs="Arial"/>
          <w:sz w:val="24"/>
          <w:szCs w:val="24"/>
        </w:rPr>
        <w:t xml:space="preserve">, </w:t>
      </w:r>
      <w:r w:rsidR="00186CE4">
        <w:rPr>
          <w:rFonts w:ascii="Arial" w:hAnsi="Arial" w:cs="Arial"/>
          <w:sz w:val="24"/>
          <w:szCs w:val="24"/>
        </w:rPr>
        <w:t>c</w:t>
      </w:r>
      <w:r w:rsidR="00186CE4" w:rsidRPr="00186CE4">
        <w:rPr>
          <w:rFonts w:ascii="Arial" w:hAnsi="Arial" w:cs="Arial"/>
          <w:sz w:val="24"/>
          <w:szCs w:val="24"/>
        </w:rPr>
        <w:t xml:space="preserve">ampaña permanente con la cobertura actividades de </w:t>
      </w:r>
      <w:r w:rsidR="00186CE4">
        <w:rPr>
          <w:rFonts w:ascii="Arial" w:hAnsi="Arial" w:cs="Arial"/>
          <w:sz w:val="24"/>
          <w:szCs w:val="24"/>
        </w:rPr>
        <w:t>l</w:t>
      </w:r>
      <w:r w:rsidR="00186CE4" w:rsidRPr="00186CE4">
        <w:rPr>
          <w:rFonts w:ascii="Arial" w:hAnsi="Arial" w:cs="Arial"/>
          <w:sz w:val="24"/>
          <w:szCs w:val="24"/>
        </w:rPr>
        <w:t>a Gira</w:t>
      </w:r>
      <w:r w:rsidR="00186CE4">
        <w:rPr>
          <w:rFonts w:ascii="Arial" w:hAnsi="Arial" w:cs="Arial"/>
          <w:sz w:val="24"/>
          <w:szCs w:val="24"/>
        </w:rPr>
        <w:t xml:space="preserve"> </w:t>
      </w:r>
      <w:r w:rsidR="00186CE4" w:rsidRPr="00186CE4">
        <w:rPr>
          <w:rFonts w:ascii="Arial" w:hAnsi="Arial" w:cs="Arial"/>
          <w:sz w:val="24"/>
          <w:szCs w:val="24"/>
        </w:rPr>
        <w:t>SC</w:t>
      </w:r>
      <w:r w:rsidR="00C66A00">
        <w:rPr>
          <w:rFonts w:ascii="Arial" w:hAnsi="Arial" w:cs="Arial"/>
          <w:sz w:val="24"/>
          <w:szCs w:val="24"/>
        </w:rPr>
        <w:t>, participación ciudadana y Rendición de Cuentas.</w:t>
      </w:r>
    </w:p>
    <w:p w:rsidR="00186CE4" w:rsidRPr="00186CE4" w:rsidRDefault="00186CE4" w:rsidP="00186CE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6CE4">
        <w:rPr>
          <w:rFonts w:ascii="Arial" w:hAnsi="Arial" w:cs="Arial"/>
          <w:sz w:val="24"/>
          <w:szCs w:val="24"/>
        </w:rPr>
        <w:t>Posicionamiento de temas de relevancia a través de programación de audiovisuales producidos</w:t>
      </w:r>
      <w:r>
        <w:rPr>
          <w:rFonts w:ascii="Arial" w:hAnsi="Arial" w:cs="Arial"/>
          <w:sz w:val="24"/>
          <w:szCs w:val="24"/>
        </w:rPr>
        <w:t xml:space="preserve"> en</w:t>
      </w:r>
      <w:r w:rsidRPr="00186CE4">
        <w:rPr>
          <w:rFonts w:ascii="Arial" w:hAnsi="Arial" w:cs="Arial"/>
          <w:sz w:val="24"/>
          <w:szCs w:val="24"/>
        </w:rPr>
        <w:t xml:space="preserve">: Concentración de cervezas, </w:t>
      </w:r>
      <w:proofErr w:type="spellStart"/>
      <w:r w:rsidRPr="00186CE4">
        <w:rPr>
          <w:rFonts w:ascii="Arial" w:hAnsi="Arial" w:cs="Arial"/>
          <w:sz w:val="24"/>
          <w:szCs w:val="24"/>
        </w:rPr>
        <w:t>AppSC</w:t>
      </w:r>
      <w:proofErr w:type="spellEnd"/>
      <w:r w:rsidRPr="00186CE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</w:t>
      </w:r>
      <w:r w:rsidRPr="00186CE4">
        <w:rPr>
          <w:rFonts w:ascii="Arial" w:hAnsi="Arial" w:cs="Arial"/>
          <w:sz w:val="24"/>
          <w:szCs w:val="24"/>
        </w:rPr>
        <w:t xml:space="preserve">nédita victoria judicial en caso harineras y </w:t>
      </w:r>
      <w:r>
        <w:rPr>
          <w:rFonts w:ascii="Arial" w:hAnsi="Arial" w:cs="Arial"/>
          <w:sz w:val="24"/>
          <w:szCs w:val="24"/>
        </w:rPr>
        <w:t>l</w:t>
      </w:r>
      <w:r w:rsidRPr="00186CE4">
        <w:rPr>
          <w:rFonts w:ascii="Arial" w:hAnsi="Arial" w:cs="Arial"/>
          <w:sz w:val="24"/>
          <w:szCs w:val="24"/>
        </w:rPr>
        <w:t>a Gira SC.</w:t>
      </w:r>
    </w:p>
    <w:p w:rsidR="00186CE4" w:rsidRPr="00186CE4" w:rsidRDefault="00186CE4" w:rsidP="00186CE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6CE4">
        <w:rPr>
          <w:rFonts w:ascii="Arial" w:hAnsi="Arial" w:cs="Arial"/>
          <w:sz w:val="24"/>
          <w:szCs w:val="24"/>
        </w:rPr>
        <w:t>Se realizó un encuentro con periodistas miembros de ARPAS durante una jornada de formación sobre Derecho de Competencia.</w:t>
      </w:r>
    </w:p>
    <w:p w:rsidR="00186CE4" w:rsidRPr="00186CE4" w:rsidRDefault="00186CE4" w:rsidP="00186CE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6CE4">
        <w:rPr>
          <w:rFonts w:ascii="Arial" w:hAnsi="Arial" w:cs="Arial"/>
          <w:sz w:val="24"/>
          <w:szCs w:val="24"/>
        </w:rPr>
        <w:t>Se realizó un evento para líderes de opinión y miembros del sector energético para presentar dos estudios sobre condiciones de competencia en el sector de energía eléctrica.</w:t>
      </w:r>
    </w:p>
    <w:p w:rsidR="00186CE4" w:rsidRDefault="00186CE4" w:rsidP="00186CE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6CE4">
        <w:rPr>
          <w:rFonts w:ascii="Arial" w:hAnsi="Arial" w:cs="Arial"/>
          <w:sz w:val="24"/>
          <w:szCs w:val="24"/>
        </w:rPr>
        <w:t xml:space="preserve">Se ha cumplido con la implementación </w:t>
      </w:r>
      <w:r>
        <w:rPr>
          <w:rFonts w:ascii="Arial" w:hAnsi="Arial" w:cs="Arial"/>
          <w:sz w:val="24"/>
          <w:szCs w:val="24"/>
        </w:rPr>
        <w:t xml:space="preserve">de </w:t>
      </w:r>
      <w:r w:rsidRPr="00186CE4">
        <w:rPr>
          <w:rFonts w:ascii="Arial" w:hAnsi="Arial" w:cs="Arial"/>
          <w:sz w:val="24"/>
          <w:szCs w:val="24"/>
        </w:rPr>
        <w:t>espacios de participación ciudadana,</w:t>
      </w:r>
      <w:r>
        <w:rPr>
          <w:rFonts w:ascii="Arial" w:hAnsi="Arial" w:cs="Arial"/>
          <w:sz w:val="24"/>
          <w:szCs w:val="24"/>
        </w:rPr>
        <w:t xml:space="preserve"> en </w:t>
      </w:r>
      <w:r w:rsidRPr="00186CE4">
        <w:rPr>
          <w:rFonts w:ascii="Arial" w:hAnsi="Arial" w:cs="Arial"/>
          <w:sz w:val="24"/>
          <w:szCs w:val="24"/>
        </w:rPr>
        <w:t xml:space="preserve">4 Festivales del Buen Vivir (San Bartolomé </w:t>
      </w:r>
      <w:proofErr w:type="spellStart"/>
      <w:r w:rsidRPr="00186CE4">
        <w:rPr>
          <w:rFonts w:ascii="Arial" w:hAnsi="Arial" w:cs="Arial"/>
          <w:sz w:val="24"/>
          <w:szCs w:val="24"/>
        </w:rPr>
        <w:t>Perulapía</w:t>
      </w:r>
      <w:proofErr w:type="spellEnd"/>
      <w:r w:rsidRPr="00186C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CE4">
        <w:rPr>
          <w:rFonts w:ascii="Arial" w:hAnsi="Arial" w:cs="Arial"/>
          <w:sz w:val="24"/>
          <w:szCs w:val="24"/>
        </w:rPr>
        <w:t>Zacamil</w:t>
      </w:r>
      <w:proofErr w:type="spellEnd"/>
      <w:r w:rsidRPr="00186CE4">
        <w:rPr>
          <w:rFonts w:ascii="Arial" w:hAnsi="Arial" w:cs="Arial"/>
          <w:sz w:val="24"/>
          <w:szCs w:val="24"/>
        </w:rPr>
        <w:t xml:space="preserve">, Zacatecoluca y San Salvador), </w:t>
      </w:r>
      <w:r>
        <w:rPr>
          <w:rFonts w:ascii="Arial" w:hAnsi="Arial" w:cs="Arial"/>
          <w:sz w:val="24"/>
          <w:szCs w:val="24"/>
        </w:rPr>
        <w:t>en la f</w:t>
      </w:r>
      <w:r w:rsidRPr="00186CE4">
        <w:rPr>
          <w:rFonts w:ascii="Arial" w:hAnsi="Arial" w:cs="Arial"/>
          <w:sz w:val="24"/>
          <w:szCs w:val="24"/>
        </w:rPr>
        <w:t xml:space="preserve">eria: </w:t>
      </w:r>
      <w:proofErr w:type="spellStart"/>
      <w:r w:rsidRPr="00186CE4">
        <w:rPr>
          <w:rFonts w:ascii="Arial" w:hAnsi="Arial" w:cs="Arial"/>
          <w:sz w:val="24"/>
          <w:szCs w:val="24"/>
        </w:rPr>
        <w:t>Expocompras</w:t>
      </w:r>
      <w:proofErr w:type="spellEnd"/>
      <w:r w:rsidRPr="00186CE4">
        <w:rPr>
          <w:rFonts w:ascii="Arial" w:hAnsi="Arial" w:cs="Arial"/>
          <w:sz w:val="24"/>
          <w:szCs w:val="24"/>
        </w:rPr>
        <w:t xml:space="preserve"> de Gobierno y </w:t>
      </w:r>
      <w:r>
        <w:rPr>
          <w:rFonts w:ascii="Arial" w:hAnsi="Arial" w:cs="Arial"/>
          <w:sz w:val="24"/>
          <w:szCs w:val="24"/>
        </w:rPr>
        <w:t xml:space="preserve">en </w:t>
      </w:r>
      <w:r w:rsidRPr="00186CE4">
        <w:rPr>
          <w:rFonts w:ascii="Arial" w:hAnsi="Arial" w:cs="Arial"/>
          <w:sz w:val="24"/>
          <w:szCs w:val="24"/>
        </w:rPr>
        <w:t xml:space="preserve">13 Despachos abiertos; </w:t>
      </w:r>
      <w:r>
        <w:rPr>
          <w:rFonts w:ascii="Arial" w:hAnsi="Arial" w:cs="Arial"/>
          <w:sz w:val="24"/>
          <w:szCs w:val="24"/>
        </w:rPr>
        <w:t xml:space="preserve">y con los mecanismos por medio del </w:t>
      </w:r>
      <w:r w:rsidRPr="00186CE4">
        <w:rPr>
          <w:rFonts w:ascii="Arial" w:hAnsi="Arial" w:cs="Arial"/>
          <w:sz w:val="24"/>
          <w:szCs w:val="24"/>
        </w:rPr>
        <w:t xml:space="preserve">desarrollo de una Encuesta Web con el objetivo de obtener insumos para investigación en sector telefonía. </w:t>
      </w:r>
    </w:p>
    <w:p w:rsidR="00167B8D" w:rsidRPr="00186CE4" w:rsidRDefault="00167B8D" w:rsidP="00186CE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 de Rendición de Cuentas.</w:t>
      </w:r>
    </w:p>
    <w:p w:rsidR="004229B0" w:rsidRDefault="00A66046" w:rsidP="00186CE4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66046" w:rsidRDefault="00A66046" w:rsidP="00A66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de los productos pendientes de las actividades con ejecución media o baja:</w:t>
      </w:r>
    </w:p>
    <w:p w:rsidR="00A66046" w:rsidRDefault="007C4F5D" w:rsidP="00A6604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4F5D">
        <w:rPr>
          <w:rFonts w:ascii="Arial" w:hAnsi="Arial" w:cs="Arial"/>
          <w:sz w:val="24"/>
          <w:szCs w:val="24"/>
        </w:rPr>
        <w:t xml:space="preserve">En la AE.2.2.2.1, </w:t>
      </w:r>
      <w:r>
        <w:rPr>
          <w:rFonts w:ascii="Arial" w:hAnsi="Arial" w:cs="Arial"/>
          <w:sz w:val="24"/>
          <w:szCs w:val="24"/>
        </w:rPr>
        <w:t>se emitieron 10 comunicados de prensa en lugar de 14.</w:t>
      </w:r>
    </w:p>
    <w:p w:rsidR="007C4F5D" w:rsidRDefault="007C4F5D" w:rsidP="007C4F5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AE.2.2.2.3, d</w:t>
      </w:r>
      <w:r w:rsidRPr="007C4F5D">
        <w:rPr>
          <w:rFonts w:ascii="Arial" w:hAnsi="Arial" w:cs="Arial"/>
          <w:sz w:val="24"/>
          <w:szCs w:val="24"/>
        </w:rPr>
        <w:t xml:space="preserve">e acuerdo con la coyuntura institucional de temáticas a divulgar, solo se realizaron </w:t>
      </w:r>
      <w:r w:rsidR="00D049B7">
        <w:rPr>
          <w:rFonts w:ascii="Arial" w:hAnsi="Arial" w:cs="Arial"/>
          <w:sz w:val="24"/>
          <w:szCs w:val="24"/>
        </w:rPr>
        <w:t>6</w:t>
      </w:r>
      <w:r w:rsidRPr="007C4F5D">
        <w:rPr>
          <w:rFonts w:ascii="Arial" w:hAnsi="Arial" w:cs="Arial"/>
          <w:sz w:val="24"/>
          <w:szCs w:val="24"/>
        </w:rPr>
        <w:t xml:space="preserve"> conferencias de prensa en </w:t>
      </w:r>
      <w:r w:rsidR="00DC703A">
        <w:rPr>
          <w:rFonts w:ascii="Arial" w:hAnsi="Arial" w:cs="Arial"/>
          <w:sz w:val="24"/>
          <w:szCs w:val="24"/>
        </w:rPr>
        <w:t>lugar de 9</w:t>
      </w:r>
      <w:r w:rsidRPr="007C4F5D">
        <w:rPr>
          <w:rFonts w:ascii="Arial" w:hAnsi="Arial" w:cs="Arial"/>
          <w:sz w:val="24"/>
          <w:szCs w:val="24"/>
        </w:rPr>
        <w:t>.</w:t>
      </w:r>
    </w:p>
    <w:p w:rsidR="007C4F5D" w:rsidRDefault="007C4F5D" w:rsidP="007C4F5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AE.2.2.2.4, d</w:t>
      </w:r>
      <w:r w:rsidRPr="007C4F5D">
        <w:rPr>
          <w:rFonts w:ascii="Arial" w:hAnsi="Arial" w:cs="Arial"/>
          <w:sz w:val="24"/>
          <w:szCs w:val="24"/>
        </w:rPr>
        <w:t>e acuerdo con la coyuntura institucional en relación a realización de eventos propicios a convocar a la prensa, se realizaron 2 convocatorias.</w:t>
      </w:r>
    </w:p>
    <w:p w:rsidR="007C4F5D" w:rsidRDefault="007C4F5D" w:rsidP="007C4F5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AE.2.2.3.3, no se ejecutó esta actividad por cuestiones presupuestaria, se re</w:t>
      </w:r>
      <w:r w:rsidR="000F7E7D">
        <w:rPr>
          <w:rFonts w:ascii="Arial" w:hAnsi="Arial" w:cs="Arial"/>
          <w:sz w:val="24"/>
          <w:szCs w:val="24"/>
        </w:rPr>
        <w:t>orient</w:t>
      </w:r>
      <w:r w:rsidR="00095F9D">
        <w:rPr>
          <w:rFonts w:ascii="Arial" w:hAnsi="Arial" w:cs="Arial"/>
          <w:sz w:val="24"/>
          <w:szCs w:val="24"/>
        </w:rPr>
        <w:t>ó</w:t>
      </w:r>
      <w:r w:rsidR="000F7E7D">
        <w:rPr>
          <w:rFonts w:ascii="Arial" w:hAnsi="Arial" w:cs="Arial"/>
          <w:sz w:val="24"/>
          <w:szCs w:val="24"/>
        </w:rPr>
        <w:t xml:space="preserve"> el dinero para cubrir interinato por maternidad.</w:t>
      </w:r>
      <w:r w:rsidR="009F7C9D">
        <w:rPr>
          <w:rFonts w:ascii="Arial" w:hAnsi="Arial" w:cs="Arial"/>
          <w:sz w:val="24"/>
          <w:szCs w:val="24"/>
        </w:rPr>
        <w:t xml:space="preserve"> En T3 no se logró contratar proveedores debido a la especialización de la aplicaci</w:t>
      </w:r>
      <w:r w:rsidR="00167B8D">
        <w:rPr>
          <w:rFonts w:ascii="Arial" w:hAnsi="Arial" w:cs="Arial"/>
          <w:sz w:val="24"/>
          <w:szCs w:val="24"/>
        </w:rPr>
        <w:t>ón. Se realizará en T4.</w:t>
      </w:r>
    </w:p>
    <w:p w:rsidR="00167B8D" w:rsidRDefault="00167B8D" w:rsidP="007C4F5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AE.2.3.1.6, de ejecutará en T4 ya que el tema será sobre el seminario que impartirá la IE en noviembre.</w:t>
      </w:r>
    </w:p>
    <w:p w:rsidR="005B191A" w:rsidRDefault="005B191A" w:rsidP="00D940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084" w:rsidRDefault="00D94084" w:rsidP="00D940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084" w:rsidRPr="00F04F60" w:rsidRDefault="00D94084" w:rsidP="00F04F60">
      <w:pPr>
        <w:pStyle w:val="Ttulo1"/>
        <w:numPr>
          <w:ilvl w:val="0"/>
          <w:numId w:val="33"/>
        </w:numPr>
      </w:pPr>
      <w:r w:rsidRPr="00F04F60">
        <w:t>Unidad de Informática</w:t>
      </w:r>
    </w:p>
    <w:p w:rsidR="004229B0" w:rsidRDefault="00167B8D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3368906</wp:posOffset>
            </wp:positionH>
            <wp:positionV relativeFrom="paragraph">
              <wp:posOffset>61595</wp:posOffset>
            </wp:positionV>
            <wp:extent cx="2072640" cy="506095"/>
            <wp:effectExtent l="0" t="0" r="3810" b="0"/>
            <wp:wrapTight wrapText="bothSides">
              <wp:wrapPolygon edited="0">
                <wp:start x="0" y="0"/>
                <wp:lineTo x="0" y="20326"/>
                <wp:lineTo x="21441" y="20326"/>
                <wp:lineTo x="21441" y="0"/>
                <wp:lineTo x="0" y="0"/>
              </wp:wrapPolygon>
            </wp:wrapTight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33020</wp:posOffset>
            </wp:positionV>
            <wp:extent cx="2291080" cy="535305"/>
            <wp:effectExtent l="0" t="0" r="0" b="0"/>
            <wp:wrapTight wrapText="bothSides">
              <wp:wrapPolygon edited="0">
                <wp:start x="0" y="0"/>
                <wp:lineTo x="0" y="20754"/>
                <wp:lineTo x="21373" y="20754"/>
                <wp:lineTo x="21373" y="0"/>
                <wp:lineTo x="0" y="0"/>
              </wp:wrapPolygon>
            </wp:wrapTight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BB1" w:rsidRPr="00300BB1">
        <w:rPr>
          <w:noProof/>
        </w:rPr>
        <w:t xml:space="preserve"> </w:t>
      </w:r>
      <w:r w:rsidR="00CF2D04" w:rsidRPr="00CF2D04">
        <w:rPr>
          <w:noProof/>
        </w:rPr>
        <w:t xml:space="preserve"> </w:t>
      </w:r>
    </w:p>
    <w:p w:rsidR="00A66046" w:rsidRDefault="00A66046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86377" w:rsidRDefault="00686377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377" w:rsidRDefault="00686377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Pr="00300BB1" w:rsidRDefault="00CF2D04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La unidad de informática cumpli</w:t>
      </w:r>
      <w:r w:rsidR="00300BB1" w:rsidRPr="00300BB1">
        <w:rPr>
          <w:rFonts w:ascii="Arial" w:hAnsi="Arial" w:cs="Arial"/>
          <w:sz w:val="24"/>
          <w:szCs w:val="24"/>
        </w:rPr>
        <w:t>ó</w:t>
      </w:r>
      <w:r w:rsidRPr="00300BB1">
        <w:rPr>
          <w:rFonts w:ascii="Arial" w:hAnsi="Arial" w:cs="Arial"/>
          <w:sz w:val="24"/>
          <w:szCs w:val="24"/>
        </w:rPr>
        <w:t xml:space="preserve"> satisfactoriamente con sus </w:t>
      </w:r>
      <w:r w:rsidR="003F2EB7">
        <w:rPr>
          <w:rFonts w:ascii="Arial" w:hAnsi="Arial" w:cs="Arial"/>
          <w:sz w:val="24"/>
          <w:szCs w:val="24"/>
        </w:rPr>
        <w:t>13</w:t>
      </w:r>
      <w:r w:rsidRPr="00300BB1">
        <w:rPr>
          <w:rFonts w:ascii="Arial" w:hAnsi="Arial" w:cs="Arial"/>
          <w:sz w:val="24"/>
          <w:szCs w:val="24"/>
        </w:rPr>
        <w:t xml:space="preserve"> actividades programadas, las más relevantes siendo las enumeradas a continuación.</w:t>
      </w:r>
    </w:p>
    <w:p w:rsidR="00CF2D04" w:rsidRDefault="00300BB1" w:rsidP="00300BB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Implementación de infraestructura y de recursos informáticos, actualización de los servicios de TIC y de la seguridad informática</w:t>
      </w:r>
      <w:r>
        <w:rPr>
          <w:rFonts w:ascii="Arial" w:hAnsi="Arial" w:cs="Arial"/>
          <w:sz w:val="24"/>
          <w:szCs w:val="24"/>
        </w:rPr>
        <w:t>.</w:t>
      </w:r>
    </w:p>
    <w:p w:rsidR="00300BB1" w:rsidRDefault="00300BB1" w:rsidP="00300BB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Monitoreo y control de redes de comunicación, enlaces de voz y de datos</w:t>
      </w:r>
      <w:r>
        <w:rPr>
          <w:rFonts w:ascii="Arial" w:hAnsi="Arial" w:cs="Arial"/>
          <w:sz w:val="24"/>
          <w:szCs w:val="24"/>
        </w:rPr>
        <w:t>.</w:t>
      </w:r>
    </w:p>
    <w:p w:rsidR="00300BB1" w:rsidRDefault="00300BB1" w:rsidP="00300BB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Administración de la infraestructura de servidores, almacenamiento y telefonía</w:t>
      </w:r>
      <w:r w:rsidR="001C4B5B">
        <w:rPr>
          <w:rFonts w:ascii="Arial" w:hAnsi="Arial" w:cs="Arial"/>
          <w:sz w:val="24"/>
          <w:szCs w:val="24"/>
        </w:rPr>
        <w:t>, tales como implementación de nueva plataforma de servidores</w:t>
      </w:r>
      <w:r>
        <w:rPr>
          <w:rFonts w:ascii="Arial" w:hAnsi="Arial" w:cs="Arial"/>
          <w:sz w:val="24"/>
          <w:szCs w:val="24"/>
        </w:rPr>
        <w:t>.</w:t>
      </w:r>
    </w:p>
    <w:p w:rsidR="00300BB1" w:rsidRDefault="00300BB1" w:rsidP="00300BB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Gestión de los recursos informáticos y de comunicación (hardware y sof</w:t>
      </w:r>
      <w:r>
        <w:rPr>
          <w:rFonts w:ascii="Arial" w:hAnsi="Arial" w:cs="Arial"/>
          <w:sz w:val="24"/>
          <w:szCs w:val="24"/>
        </w:rPr>
        <w:t>t</w:t>
      </w:r>
      <w:r w:rsidRPr="00300BB1">
        <w:rPr>
          <w:rFonts w:ascii="Arial" w:hAnsi="Arial" w:cs="Arial"/>
          <w:sz w:val="24"/>
          <w:szCs w:val="24"/>
        </w:rPr>
        <w:t>ware)</w:t>
      </w:r>
      <w:r>
        <w:rPr>
          <w:rFonts w:ascii="Arial" w:hAnsi="Arial" w:cs="Arial"/>
          <w:sz w:val="24"/>
          <w:szCs w:val="24"/>
        </w:rPr>
        <w:t>.</w:t>
      </w:r>
    </w:p>
    <w:p w:rsidR="00300BB1" w:rsidRDefault="00300BB1" w:rsidP="00300BB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Monitoreo y control de los servicios informáticos (Internet, correo electrónico, archivos de red, impresión, intranet, extranet, sistemas informáticos, entre otros).</w:t>
      </w:r>
    </w:p>
    <w:p w:rsidR="00300BB1" w:rsidRDefault="00300BB1" w:rsidP="00300BB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Administración de la seguridad informática</w:t>
      </w:r>
      <w:r>
        <w:rPr>
          <w:rFonts w:ascii="Arial" w:hAnsi="Arial" w:cs="Arial"/>
          <w:sz w:val="24"/>
          <w:szCs w:val="24"/>
        </w:rPr>
        <w:t>.</w:t>
      </w:r>
    </w:p>
    <w:p w:rsidR="00300BB1" w:rsidRDefault="00300BB1" w:rsidP="00300BB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Actualización y modificación de sistemas informáticos implementados</w:t>
      </w:r>
      <w:r w:rsidR="001C4B5B">
        <w:rPr>
          <w:rFonts w:ascii="Arial" w:hAnsi="Arial" w:cs="Arial"/>
          <w:sz w:val="24"/>
          <w:szCs w:val="24"/>
        </w:rPr>
        <w:t>, tales como el CENDOC</w:t>
      </w:r>
      <w:r w:rsidR="00167B8D">
        <w:rPr>
          <w:rFonts w:ascii="Arial" w:hAnsi="Arial" w:cs="Arial"/>
          <w:sz w:val="24"/>
          <w:szCs w:val="24"/>
        </w:rPr>
        <w:t xml:space="preserve"> y grabación para toma de testigos.</w:t>
      </w:r>
    </w:p>
    <w:p w:rsidR="00300BB1" w:rsidRDefault="00300BB1" w:rsidP="00300BB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Atención de requerimientos de usuarios para la solución de problemas de hardware y software</w:t>
      </w:r>
      <w:r>
        <w:rPr>
          <w:rFonts w:ascii="Arial" w:hAnsi="Arial" w:cs="Arial"/>
          <w:sz w:val="24"/>
          <w:szCs w:val="24"/>
        </w:rPr>
        <w:t>.</w:t>
      </w:r>
    </w:p>
    <w:p w:rsidR="001C4B5B" w:rsidRDefault="001C4B5B" w:rsidP="001C4B5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4B5B">
        <w:rPr>
          <w:rFonts w:ascii="Arial" w:hAnsi="Arial" w:cs="Arial"/>
          <w:sz w:val="24"/>
          <w:szCs w:val="24"/>
        </w:rPr>
        <w:t>Asistencia técnica a unidades or</w:t>
      </w:r>
      <w:r>
        <w:rPr>
          <w:rFonts w:ascii="Arial" w:hAnsi="Arial" w:cs="Arial"/>
          <w:sz w:val="24"/>
          <w:szCs w:val="24"/>
        </w:rPr>
        <w:t>ganizativas en el desarrollo del formulario en línea: “Comercio y Competencia de América Latina y el Caribe” y la creación del nuevo sitio web de la SC.</w:t>
      </w:r>
    </w:p>
    <w:p w:rsidR="00F57811" w:rsidRPr="00F57811" w:rsidRDefault="00F57811" w:rsidP="00F57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Pr="00F04F60" w:rsidRDefault="005B191A" w:rsidP="00F04F60">
      <w:pPr>
        <w:pStyle w:val="Ttulo1"/>
        <w:numPr>
          <w:ilvl w:val="0"/>
          <w:numId w:val="33"/>
        </w:numPr>
      </w:pPr>
      <w:r w:rsidRPr="00F04F60">
        <w:t>Unidad de Administración y Recursos Humanos</w:t>
      </w:r>
    </w:p>
    <w:p w:rsidR="00A66046" w:rsidRDefault="00167B8D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3223657</wp:posOffset>
            </wp:positionH>
            <wp:positionV relativeFrom="paragraph">
              <wp:posOffset>62230</wp:posOffset>
            </wp:positionV>
            <wp:extent cx="2171700" cy="529590"/>
            <wp:effectExtent l="0" t="0" r="0" b="0"/>
            <wp:wrapTight wrapText="bothSides">
              <wp:wrapPolygon edited="0">
                <wp:start x="0" y="0"/>
                <wp:lineTo x="0" y="20201"/>
                <wp:lineTo x="21411" y="20201"/>
                <wp:lineTo x="21411" y="0"/>
                <wp:lineTo x="0" y="0"/>
              </wp:wrapPolygon>
            </wp:wrapTight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404616</wp:posOffset>
            </wp:positionH>
            <wp:positionV relativeFrom="paragraph">
              <wp:posOffset>22314</wp:posOffset>
            </wp:positionV>
            <wp:extent cx="2448051" cy="569725"/>
            <wp:effectExtent l="0" t="0" r="0" b="1905"/>
            <wp:wrapTight wrapText="bothSides">
              <wp:wrapPolygon edited="0">
                <wp:start x="0" y="0"/>
                <wp:lineTo x="0" y="20950"/>
                <wp:lineTo x="21348" y="20950"/>
                <wp:lineTo x="21348" y="0"/>
                <wp:lineTo x="0" y="0"/>
              </wp:wrapPolygon>
            </wp:wrapTight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51" cy="56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22D3" w:rsidRPr="00CE22D3">
        <w:rPr>
          <w:noProof/>
        </w:rPr>
        <w:t xml:space="preserve"> </w:t>
      </w:r>
    </w:p>
    <w:p w:rsidR="000318A4" w:rsidRDefault="000318A4" w:rsidP="00CE22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18A4" w:rsidRDefault="000318A4" w:rsidP="00CE22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18A4" w:rsidRDefault="000318A4" w:rsidP="00CE22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184150</wp:posOffset>
            </wp:positionV>
            <wp:extent cx="5149215" cy="596265"/>
            <wp:effectExtent l="0" t="0" r="0" b="0"/>
            <wp:wrapTight wrapText="bothSides">
              <wp:wrapPolygon edited="0">
                <wp:start x="0" y="0"/>
                <wp:lineTo x="0" y="20703"/>
                <wp:lineTo x="21496" y="20703"/>
                <wp:lineTo x="21496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4921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E22D3" w:rsidRDefault="00CE22D3" w:rsidP="00CE22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las actividades más relevantes ejecutadas exitosamente se cuenta con: </w:t>
      </w:r>
    </w:p>
    <w:p w:rsidR="00A66046" w:rsidRDefault="00CE22D3" w:rsidP="00CE22D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Gestionar el seguro médico del personal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CE22D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Controlar los recursos administrativos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CE22D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Tramitar Fondo Circulante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CE22D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Elaborar planillas de pago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CE22D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Controlar la asistencia de los empleados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CE22D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Realizar proceso de indemnización por renuncia.</w:t>
      </w:r>
    </w:p>
    <w:p w:rsidR="00CE22D3" w:rsidRDefault="00CE22D3" w:rsidP="00CE22D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Formular y ejecutar un Plan de Capacitaciones nacionales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CE22D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Formular y ejecutar un Plan motivacional para el personal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CE22D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Actualizar el Manual de Descriptor de Puestos</w:t>
      </w:r>
      <w:r w:rsidR="007E40EF">
        <w:rPr>
          <w:rFonts w:ascii="Arial" w:hAnsi="Arial" w:cs="Arial"/>
          <w:sz w:val="24"/>
          <w:szCs w:val="24"/>
        </w:rPr>
        <w:t xml:space="preserve"> y el Manual de Procedimientos.</w:t>
      </w:r>
    </w:p>
    <w:p w:rsidR="00CE22D3" w:rsidRDefault="00CE22D3" w:rsidP="00CE22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22D3" w:rsidRDefault="00CE22D3" w:rsidP="00CE22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de los productos pendientes de las actividades con ejecución media:</w:t>
      </w:r>
    </w:p>
    <w:p w:rsidR="00CE22D3" w:rsidRPr="00CE22D3" w:rsidRDefault="00CE22D3" w:rsidP="00CE22D3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AE.4.3.3.2, se ejecutó la actividad en un 50%, se terminar</w:t>
      </w:r>
      <w:r w:rsidR="003951FA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dicha actividad en el segundo semestre.</w:t>
      </w:r>
    </w:p>
    <w:p w:rsidR="00CE22D3" w:rsidRPr="00CE22D3" w:rsidRDefault="00CE22D3" w:rsidP="00CE22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Default="003951FA" w:rsidP="00F04F60">
      <w:pPr>
        <w:pStyle w:val="Ttulo1"/>
        <w:numPr>
          <w:ilvl w:val="0"/>
          <w:numId w:val="33"/>
        </w:numPr>
        <w:rPr>
          <w:b w:val="0"/>
          <w:sz w:val="24"/>
        </w:rPr>
      </w:pPr>
      <w:r w:rsidRPr="00F04F60">
        <w:t>Unidad de Adquisiciones y contrataciones</w:t>
      </w:r>
    </w:p>
    <w:p w:rsidR="00603FAE" w:rsidRPr="00603FAE" w:rsidRDefault="007E40EF" w:rsidP="00603F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6E3C"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88900</wp:posOffset>
            </wp:positionV>
            <wp:extent cx="1741805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1261" y="21067"/>
                <wp:lineTo x="21261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E3C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88265</wp:posOffset>
            </wp:positionV>
            <wp:extent cx="2299970" cy="531495"/>
            <wp:effectExtent l="0" t="0" r="5080" b="1905"/>
            <wp:wrapTight wrapText="bothSides">
              <wp:wrapPolygon edited="0">
                <wp:start x="0" y="0"/>
                <wp:lineTo x="0" y="20903"/>
                <wp:lineTo x="21469" y="20903"/>
                <wp:lineTo x="21469" y="0"/>
                <wp:lineTo x="0" y="0"/>
              </wp:wrapPolygon>
            </wp:wrapTight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E3C" w:rsidRPr="00B66E3C">
        <w:rPr>
          <w:noProof/>
        </w:rPr>
        <w:t xml:space="preserve">  </w:t>
      </w:r>
    </w:p>
    <w:p w:rsidR="00A66046" w:rsidRDefault="00A66046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6046" w:rsidRDefault="00A66046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6046" w:rsidRDefault="002C7A18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BFB"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221615</wp:posOffset>
            </wp:positionV>
            <wp:extent cx="5136515" cy="673735"/>
            <wp:effectExtent l="0" t="0" r="6985" b="0"/>
            <wp:wrapTight wrapText="bothSides">
              <wp:wrapPolygon edited="0">
                <wp:start x="0" y="0"/>
                <wp:lineTo x="0" y="20765"/>
                <wp:lineTo x="21549" y="20765"/>
                <wp:lineTo x="21549" y="0"/>
                <wp:lineTo x="0" y="0"/>
              </wp:wrapPolygon>
            </wp:wrapTight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0EF" w:rsidRDefault="007E40E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Default="00AF7006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UACI cumplió exitosamente con </w:t>
      </w:r>
      <w:r w:rsidR="00F62AAA">
        <w:rPr>
          <w:rFonts w:ascii="Arial" w:hAnsi="Arial" w:cs="Arial"/>
          <w:sz w:val="24"/>
          <w:szCs w:val="24"/>
        </w:rPr>
        <w:t xml:space="preserve">4 de sus </w:t>
      </w:r>
      <w:r>
        <w:rPr>
          <w:rFonts w:ascii="Arial" w:hAnsi="Arial" w:cs="Arial"/>
          <w:sz w:val="24"/>
          <w:szCs w:val="24"/>
        </w:rPr>
        <w:t>5 actividades programadas, descritas a continuación:</w:t>
      </w:r>
    </w:p>
    <w:p w:rsidR="00AF7006" w:rsidRDefault="007E40EF" w:rsidP="00AF7006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102</w:t>
      </w:r>
      <w:r w:rsidR="00AF7006">
        <w:rPr>
          <w:rFonts w:ascii="Arial" w:hAnsi="Arial" w:cs="Arial"/>
          <w:sz w:val="24"/>
          <w:szCs w:val="24"/>
        </w:rPr>
        <w:t xml:space="preserve"> órdenes de procesos de libre gestión.</w:t>
      </w:r>
    </w:p>
    <w:p w:rsidR="00AF7006" w:rsidRDefault="007E40EF" w:rsidP="00AF7006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="00AF7006">
        <w:rPr>
          <w:rFonts w:ascii="Arial" w:hAnsi="Arial" w:cs="Arial"/>
          <w:sz w:val="24"/>
          <w:szCs w:val="24"/>
        </w:rPr>
        <w:t xml:space="preserve"> documentos legales.</w:t>
      </w:r>
    </w:p>
    <w:p w:rsidR="00AF7006" w:rsidRDefault="00AF7006" w:rsidP="00AF7006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 y presentar la PAAC.</w:t>
      </w:r>
    </w:p>
    <w:p w:rsidR="00AF7006" w:rsidRDefault="00AF7006" w:rsidP="00AF7006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informes legales sobre ejecución de la PAAC</w:t>
      </w:r>
      <w:r w:rsidR="00823EB4">
        <w:rPr>
          <w:rFonts w:ascii="Arial" w:hAnsi="Arial" w:cs="Arial"/>
          <w:sz w:val="24"/>
          <w:szCs w:val="24"/>
        </w:rPr>
        <w:t>.</w:t>
      </w:r>
    </w:p>
    <w:p w:rsidR="000D24A0" w:rsidRDefault="000D24A0" w:rsidP="000D24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24A0" w:rsidRDefault="000D24A0" w:rsidP="000D24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del producto pendientes de las actividades con ejecución baja:</w:t>
      </w:r>
    </w:p>
    <w:p w:rsidR="000D24A0" w:rsidRPr="000D24A0" w:rsidRDefault="000D24A0" w:rsidP="000D24A0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AE.4.2.4.5, no se impartió la capacitación sobre la LACAP, Reg</w:t>
      </w:r>
      <w:r w:rsidR="007F53BD">
        <w:rPr>
          <w:rFonts w:ascii="Arial" w:hAnsi="Arial" w:cs="Arial"/>
          <w:sz w:val="24"/>
          <w:szCs w:val="24"/>
        </w:rPr>
        <w:t>lamento y normativa relacionada. Se realizará esta actividad en el segundo semestre.</w:t>
      </w:r>
    </w:p>
    <w:p w:rsidR="00F04F60" w:rsidRDefault="00F04F60" w:rsidP="00F04F60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098" w:rsidRPr="00F04F60" w:rsidRDefault="00D02098" w:rsidP="00F04F60">
      <w:pPr>
        <w:pStyle w:val="Ttulo1"/>
        <w:numPr>
          <w:ilvl w:val="0"/>
          <w:numId w:val="33"/>
        </w:numPr>
      </w:pPr>
      <w:r w:rsidRPr="00F04F60">
        <w:t>Unidad de Auditoría Interna</w:t>
      </w:r>
    </w:p>
    <w:p w:rsidR="00D02098" w:rsidRPr="00D02098" w:rsidRDefault="007E40EF" w:rsidP="00D0209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299684</wp:posOffset>
            </wp:positionH>
            <wp:positionV relativeFrom="paragraph">
              <wp:posOffset>16203</wp:posOffset>
            </wp:positionV>
            <wp:extent cx="242824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351" y="21020"/>
                <wp:lineTo x="21351" y="0"/>
                <wp:lineTo x="0" y="0"/>
              </wp:wrapPolygon>
            </wp:wrapTight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5BA2" w:rsidRPr="002A4593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19050</wp:posOffset>
            </wp:positionV>
            <wp:extent cx="2018030" cy="628650"/>
            <wp:effectExtent l="0" t="0" r="1270" b="0"/>
            <wp:wrapTight wrapText="bothSides">
              <wp:wrapPolygon edited="0">
                <wp:start x="0" y="0"/>
                <wp:lineTo x="0" y="20945"/>
                <wp:lineTo x="21410" y="20945"/>
                <wp:lineTo x="21410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593" w:rsidRPr="002A4593">
        <w:rPr>
          <w:noProof/>
        </w:rPr>
        <w:t xml:space="preserve"> </w:t>
      </w:r>
    </w:p>
    <w:p w:rsidR="00AF7006" w:rsidRPr="00AF7006" w:rsidRDefault="00AF7006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9B0" w:rsidRDefault="004229B0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4593" w:rsidRDefault="002A4593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4593" w:rsidRDefault="002A4593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4593" w:rsidRDefault="002A4593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593">
        <w:rPr>
          <w:rFonts w:ascii="Arial" w:hAnsi="Arial" w:cs="Arial"/>
          <w:sz w:val="24"/>
          <w:szCs w:val="24"/>
        </w:rPr>
        <w:t xml:space="preserve">La unidad de </w:t>
      </w:r>
      <w:r>
        <w:rPr>
          <w:rFonts w:ascii="Arial" w:hAnsi="Arial" w:cs="Arial"/>
          <w:sz w:val="24"/>
          <w:szCs w:val="24"/>
        </w:rPr>
        <w:t xml:space="preserve">Auditoría Interna cumplió exitosamente con las 7 actividades programadas en este </w:t>
      </w:r>
      <w:r w:rsidR="007F53BD">
        <w:rPr>
          <w:rFonts w:ascii="Arial" w:hAnsi="Arial" w:cs="Arial"/>
          <w:sz w:val="24"/>
          <w:szCs w:val="24"/>
        </w:rPr>
        <w:t>período</w:t>
      </w:r>
      <w:r>
        <w:rPr>
          <w:rFonts w:ascii="Arial" w:hAnsi="Arial" w:cs="Arial"/>
          <w:sz w:val="24"/>
          <w:szCs w:val="24"/>
        </w:rPr>
        <w:t>, descritas a continuación:</w:t>
      </w:r>
    </w:p>
    <w:p w:rsidR="002A4593" w:rsidRDefault="002A4593" w:rsidP="002A459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593">
        <w:rPr>
          <w:rFonts w:ascii="Arial" w:hAnsi="Arial" w:cs="Arial"/>
          <w:sz w:val="24"/>
          <w:szCs w:val="24"/>
        </w:rPr>
        <w:t>Evaluar la gestión y el proceso de adquisiciones y contrataciones de bienes y servicios de la Superintendencia de Competencia.</w:t>
      </w:r>
    </w:p>
    <w:p w:rsidR="002A4593" w:rsidRDefault="002A4593" w:rsidP="002A459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593">
        <w:rPr>
          <w:rFonts w:ascii="Arial" w:hAnsi="Arial" w:cs="Arial"/>
          <w:sz w:val="24"/>
          <w:szCs w:val="24"/>
        </w:rPr>
        <w:t>Examinar los grupos contables: Inversiones Financieras</w:t>
      </w:r>
      <w:r w:rsidR="00584AD6">
        <w:rPr>
          <w:rFonts w:ascii="Arial" w:hAnsi="Arial" w:cs="Arial"/>
          <w:sz w:val="24"/>
          <w:szCs w:val="24"/>
        </w:rPr>
        <w:t xml:space="preserve"> </w:t>
      </w:r>
      <w:r w:rsidRPr="002A4593">
        <w:rPr>
          <w:rFonts w:ascii="Arial" w:hAnsi="Arial" w:cs="Arial"/>
          <w:sz w:val="24"/>
          <w:szCs w:val="24"/>
        </w:rPr>
        <w:t>(Código 22) e Inversiones en Existencias (Código 23)</w:t>
      </w:r>
      <w:r>
        <w:rPr>
          <w:rFonts w:ascii="Arial" w:hAnsi="Arial" w:cs="Arial"/>
          <w:sz w:val="24"/>
          <w:szCs w:val="24"/>
        </w:rPr>
        <w:t>.</w:t>
      </w:r>
    </w:p>
    <w:p w:rsidR="002A4593" w:rsidRDefault="002A4593" w:rsidP="002A459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593">
        <w:rPr>
          <w:rFonts w:ascii="Arial" w:hAnsi="Arial" w:cs="Arial"/>
          <w:sz w:val="24"/>
          <w:szCs w:val="24"/>
        </w:rPr>
        <w:t>Evaluar la gestión y el control interno existente en el Área de Tesorería Institucional; examinando el grupo contable de Disponibilidades, incluyendo el Fondo Circulante de Monto Fijo.</w:t>
      </w:r>
    </w:p>
    <w:p w:rsidR="002A4593" w:rsidRDefault="002A4593" w:rsidP="002A459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593">
        <w:rPr>
          <w:rFonts w:ascii="Arial" w:hAnsi="Arial" w:cs="Arial"/>
          <w:sz w:val="24"/>
          <w:szCs w:val="24"/>
        </w:rPr>
        <w:t>Examinar el grupo contable de Inversiones en Bienes de Uso (Código 24)</w:t>
      </w:r>
      <w:r>
        <w:rPr>
          <w:rFonts w:ascii="Arial" w:hAnsi="Arial" w:cs="Arial"/>
          <w:sz w:val="24"/>
          <w:szCs w:val="24"/>
        </w:rPr>
        <w:t>.</w:t>
      </w:r>
    </w:p>
    <w:p w:rsidR="002A4593" w:rsidRDefault="002A4593" w:rsidP="002A459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593">
        <w:rPr>
          <w:rFonts w:ascii="Arial" w:hAnsi="Arial" w:cs="Arial"/>
          <w:sz w:val="24"/>
          <w:szCs w:val="24"/>
        </w:rPr>
        <w:t>Evaluar la gestión, documentación y controles de los procesos desarrollados por la Intendencia de Investigaciones.</w:t>
      </w:r>
    </w:p>
    <w:p w:rsidR="002A4593" w:rsidRDefault="002A4593" w:rsidP="002A459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593">
        <w:rPr>
          <w:rFonts w:ascii="Arial" w:hAnsi="Arial" w:cs="Arial"/>
          <w:sz w:val="24"/>
          <w:szCs w:val="24"/>
        </w:rPr>
        <w:t>Efectuar seguimiento a recomendaciones emitidas por los diversos entes fi</w:t>
      </w:r>
      <w:r>
        <w:rPr>
          <w:rFonts w:ascii="Arial" w:hAnsi="Arial" w:cs="Arial"/>
          <w:sz w:val="24"/>
          <w:szCs w:val="24"/>
        </w:rPr>
        <w:t>s</w:t>
      </w:r>
      <w:r w:rsidRPr="002A4593">
        <w:rPr>
          <w:rFonts w:ascii="Arial" w:hAnsi="Arial" w:cs="Arial"/>
          <w:sz w:val="24"/>
          <w:szCs w:val="24"/>
        </w:rPr>
        <w:t>calizadores de la Superintendencia de Competencia.</w:t>
      </w:r>
    </w:p>
    <w:p w:rsidR="002A4593" w:rsidRDefault="002A4593" w:rsidP="002A459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593">
        <w:rPr>
          <w:rFonts w:ascii="Arial" w:hAnsi="Arial" w:cs="Arial"/>
          <w:sz w:val="24"/>
          <w:szCs w:val="24"/>
        </w:rPr>
        <w:t>Evaluar la gestión, documentación y controles en los procesos desarrollados por la Intendencia de Abogacía de la Competencia.</w:t>
      </w:r>
    </w:p>
    <w:p w:rsidR="007E40EF" w:rsidRDefault="007E40EF" w:rsidP="002A459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Evaluar el proceso de formulación, aprobación, ejecución, seguimiento y evaluación del presupuesto institucional.</w:t>
      </w:r>
    </w:p>
    <w:p w:rsidR="007E40EF" w:rsidRDefault="007E40EF" w:rsidP="002A459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Evaluar la confiabilidad e integridad de la información financiera.</w:t>
      </w:r>
    </w:p>
    <w:p w:rsidR="00F04F60" w:rsidRPr="00F04F60" w:rsidRDefault="00F04F60" w:rsidP="00F04F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4593" w:rsidRDefault="007E40EF" w:rsidP="00F04F60">
      <w:pPr>
        <w:pStyle w:val="Ttulo1"/>
        <w:numPr>
          <w:ilvl w:val="0"/>
          <w:numId w:val="33"/>
        </w:numPr>
      </w:pPr>
      <w:r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486333</wp:posOffset>
            </wp:positionH>
            <wp:positionV relativeFrom="paragraph">
              <wp:posOffset>296504</wp:posOffset>
            </wp:positionV>
            <wp:extent cx="2154555" cy="503555"/>
            <wp:effectExtent l="0" t="0" r="0" b="0"/>
            <wp:wrapTight wrapText="bothSides">
              <wp:wrapPolygon edited="0">
                <wp:start x="0" y="0"/>
                <wp:lineTo x="0" y="20429"/>
                <wp:lineTo x="21390" y="20429"/>
                <wp:lineTo x="21390" y="0"/>
                <wp:lineTo x="0" y="0"/>
              </wp:wrapPolygon>
            </wp:wrapTight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48A">
        <w:t>Unidad Financiera Institucional</w:t>
      </w:r>
    </w:p>
    <w:p w:rsidR="00D4148A" w:rsidRPr="00D4148A" w:rsidRDefault="007E40EF" w:rsidP="00D4148A"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27244</wp:posOffset>
            </wp:positionV>
            <wp:extent cx="1909445" cy="466090"/>
            <wp:effectExtent l="0" t="0" r="0" b="0"/>
            <wp:wrapTight wrapText="bothSides">
              <wp:wrapPolygon edited="0">
                <wp:start x="0" y="0"/>
                <wp:lineTo x="0" y="19422"/>
                <wp:lineTo x="21334" y="19422"/>
                <wp:lineTo x="21334" y="0"/>
                <wp:lineTo x="0" y="0"/>
              </wp:wrapPolygon>
            </wp:wrapTight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593" w:rsidRDefault="002A4593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48A" w:rsidRDefault="00D4148A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48A" w:rsidRDefault="00D4148A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UFI cumplió satisfactoriamente</w:t>
      </w:r>
      <w:r w:rsidR="00B66E3C">
        <w:rPr>
          <w:rFonts w:ascii="Arial" w:hAnsi="Arial" w:cs="Arial"/>
          <w:sz w:val="24"/>
          <w:szCs w:val="24"/>
        </w:rPr>
        <w:t xml:space="preserve"> con sus </w:t>
      </w:r>
      <w:r w:rsidR="007E40EF">
        <w:rPr>
          <w:rFonts w:ascii="Arial" w:hAnsi="Arial" w:cs="Arial"/>
          <w:sz w:val="24"/>
          <w:szCs w:val="24"/>
        </w:rPr>
        <w:t>20</w:t>
      </w:r>
      <w:r w:rsidR="00B66E3C">
        <w:rPr>
          <w:rFonts w:ascii="Arial" w:hAnsi="Arial" w:cs="Arial"/>
          <w:sz w:val="24"/>
          <w:szCs w:val="24"/>
        </w:rPr>
        <w:t xml:space="preserve"> actividades programadas</w:t>
      </w:r>
      <w:r w:rsidR="00890C90">
        <w:rPr>
          <w:rFonts w:ascii="Arial" w:hAnsi="Arial" w:cs="Arial"/>
          <w:sz w:val="24"/>
          <w:szCs w:val="24"/>
        </w:rPr>
        <w:t>, s</w:t>
      </w:r>
      <w:r w:rsidR="00200260">
        <w:rPr>
          <w:rFonts w:ascii="Arial" w:hAnsi="Arial" w:cs="Arial"/>
          <w:sz w:val="24"/>
          <w:szCs w:val="24"/>
        </w:rPr>
        <w:t>in embargo, no se evalúa en 100% ya que tres actividades se ejecutaron satisfactoriamente pero no al 100% (</w:t>
      </w:r>
      <w:r w:rsidR="007968F3">
        <w:rPr>
          <w:rFonts w:ascii="Arial" w:hAnsi="Arial" w:cs="Arial"/>
          <w:sz w:val="24"/>
          <w:szCs w:val="24"/>
        </w:rPr>
        <w:t xml:space="preserve">ver </w:t>
      </w:r>
      <w:r w:rsidR="00AA5DCD">
        <w:rPr>
          <w:rFonts w:ascii="Arial" w:hAnsi="Arial" w:cs="Arial"/>
          <w:sz w:val="24"/>
          <w:szCs w:val="24"/>
        </w:rPr>
        <w:t>cuadro de seguimiento</w:t>
      </w:r>
      <w:r w:rsidR="00200260">
        <w:rPr>
          <w:rFonts w:ascii="Arial" w:hAnsi="Arial" w:cs="Arial"/>
          <w:sz w:val="24"/>
          <w:szCs w:val="24"/>
        </w:rPr>
        <w:t>)</w:t>
      </w:r>
      <w:r w:rsidR="00890C90">
        <w:rPr>
          <w:rFonts w:ascii="Arial" w:hAnsi="Arial" w:cs="Arial"/>
          <w:sz w:val="24"/>
          <w:szCs w:val="24"/>
        </w:rPr>
        <w:t xml:space="preserve">, a continuación, se </w:t>
      </w:r>
      <w:r w:rsidR="006E05CD">
        <w:rPr>
          <w:rFonts w:ascii="Arial" w:hAnsi="Arial" w:cs="Arial"/>
          <w:sz w:val="24"/>
          <w:szCs w:val="24"/>
        </w:rPr>
        <w:t>enumeran las más sustantivas</w:t>
      </w:r>
      <w:r w:rsidR="00B66E3C">
        <w:rPr>
          <w:rFonts w:ascii="Arial" w:hAnsi="Arial" w:cs="Arial"/>
          <w:sz w:val="24"/>
          <w:szCs w:val="24"/>
        </w:rPr>
        <w:t>:</w:t>
      </w:r>
    </w:p>
    <w:p w:rsidR="001810F4" w:rsidRDefault="00967FCC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Requerimiento de fondos de remuneración.</w:t>
      </w:r>
    </w:p>
    <w:p w:rsidR="00967FCC" w:rsidRDefault="006E05CD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Pago de remuneraciones.</w:t>
      </w:r>
    </w:p>
    <w:p w:rsidR="006E05CD" w:rsidRDefault="00AB6279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Requerimiento de fondos de bienes y servicios.</w:t>
      </w:r>
    </w:p>
    <w:p w:rsidR="00AB6279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Pago de bienes y servicios.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Cierre contable anual.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Cierres contables mensuales.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Percibido de ingresos.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Devengado de ingresos.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Validación del pagado de remuneraciones y de bienes y servicios.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conciliaciones bancarias.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de informes contables.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 compromisos presupuestarios.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Modificaciones presupuestarias del presupuesto en ejecución.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conciliaciones bancarias.</w:t>
      </w:r>
    </w:p>
    <w:p w:rsidR="00A0598B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PEP institucional.</w:t>
      </w:r>
    </w:p>
    <w:p w:rsidR="00A0598B" w:rsidRPr="001810F4" w:rsidRDefault="00A0598B" w:rsidP="001810F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a la ejecución presupuestaria.</w:t>
      </w:r>
    </w:p>
    <w:p w:rsidR="00B66E3C" w:rsidRDefault="00B66E3C" w:rsidP="001F038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E40EF" w:rsidRDefault="007E40EF" w:rsidP="001F038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E40EF" w:rsidRPr="002E640A" w:rsidRDefault="007E40EF" w:rsidP="001F038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4148A" w:rsidRDefault="002E640A" w:rsidP="00BB67B4">
      <w:pPr>
        <w:pStyle w:val="Ttulo1"/>
        <w:numPr>
          <w:ilvl w:val="0"/>
          <w:numId w:val="33"/>
        </w:numPr>
        <w:tabs>
          <w:tab w:val="left" w:pos="709"/>
          <w:tab w:val="left" w:pos="851"/>
        </w:tabs>
      </w:pPr>
      <w:r w:rsidRPr="002E640A">
        <w:t>Secretaría General</w:t>
      </w:r>
    </w:p>
    <w:p w:rsidR="002E640A" w:rsidRDefault="00185405" w:rsidP="002E640A"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3151505</wp:posOffset>
            </wp:positionH>
            <wp:positionV relativeFrom="paragraph">
              <wp:posOffset>16618</wp:posOffset>
            </wp:positionV>
            <wp:extent cx="2287905" cy="558800"/>
            <wp:effectExtent l="0" t="0" r="0" b="0"/>
            <wp:wrapTight wrapText="bothSides">
              <wp:wrapPolygon edited="0">
                <wp:start x="0" y="0"/>
                <wp:lineTo x="0" y="19882"/>
                <wp:lineTo x="21402" y="19882"/>
                <wp:lineTo x="21402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40EF"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416168</wp:posOffset>
            </wp:positionH>
            <wp:positionV relativeFrom="paragraph">
              <wp:posOffset>15567</wp:posOffset>
            </wp:positionV>
            <wp:extent cx="2317750" cy="541655"/>
            <wp:effectExtent l="0" t="0" r="6350" b="0"/>
            <wp:wrapTight wrapText="bothSides">
              <wp:wrapPolygon edited="0">
                <wp:start x="0" y="0"/>
                <wp:lineTo x="0" y="20511"/>
                <wp:lineTo x="21482" y="20511"/>
                <wp:lineTo x="21482" y="0"/>
                <wp:lineTo x="0" y="0"/>
              </wp:wrapPolygon>
            </wp:wrapTight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640A" w:rsidRPr="002E640A" w:rsidRDefault="002E640A" w:rsidP="002E640A"/>
    <w:p w:rsidR="00D4148A" w:rsidRDefault="00D4148A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48A" w:rsidRDefault="002E640A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40A">
        <w:rPr>
          <w:rFonts w:ascii="Arial" w:hAnsi="Arial" w:cs="Arial"/>
          <w:sz w:val="24"/>
          <w:szCs w:val="24"/>
        </w:rPr>
        <w:t xml:space="preserve">La Secretaría General cumplió exitosamente con sus </w:t>
      </w:r>
      <w:r w:rsidR="007E40EF">
        <w:rPr>
          <w:rFonts w:ascii="Arial" w:hAnsi="Arial" w:cs="Arial"/>
          <w:sz w:val="24"/>
          <w:szCs w:val="24"/>
        </w:rPr>
        <w:t>5</w:t>
      </w:r>
      <w:r w:rsidRPr="002E640A">
        <w:rPr>
          <w:rFonts w:ascii="Arial" w:hAnsi="Arial" w:cs="Arial"/>
          <w:sz w:val="24"/>
          <w:szCs w:val="24"/>
        </w:rPr>
        <w:t xml:space="preserve"> actividades programadas, descritas a continuación:</w:t>
      </w:r>
    </w:p>
    <w:p w:rsidR="004A7BF9" w:rsidRDefault="00875F54" w:rsidP="00875F54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Brindar asistencia técnica y legal al CD, </w:t>
      </w:r>
      <w:r w:rsidRPr="00875F54">
        <w:rPr>
          <w:rFonts w:ascii="Arial" w:hAnsi="Arial" w:cs="Arial"/>
          <w:sz w:val="24"/>
          <w:szCs w:val="24"/>
        </w:rPr>
        <w:t>actas</w:t>
      </w:r>
      <w:r>
        <w:rPr>
          <w:rFonts w:ascii="Arial" w:hAnsi="Arial" w:cs="Arial"/>
          <w:sz w:val="24"/>
          <w:szCs w:val="24"/>
        </w:rPr>
        <w:t xml:space="preserve"> elaboradas y firmadas del número CD-01/2017 al número</w:t>
      </w:r>
      <w:r w:rsidRPr="00875F54">
        <w:rPr>
          <w:rFonts w:ascii="Arial" w:hAnsi="Arial" w:cs="Arial"/>
          <w:sz w:val="24"/>
          <w:szCs w:val="24"/>
        </w:rPr>
        <w:t xml:space="preserve"> CD-</w:t>
      </w:r>
      <w:r w:rsidR="007E40EF">
        <w:rPr>
          <w:rFonts w:ascii="Arial" w:hAnsi="Arial" w:cs="Arial"/>
          <w:sz w:val="24"/>
          <w:szCs w:val="24"/>
        </w:rPr>
        <w:t>37</w:t>
      </w:r>
      <w:r w:rsidRPr="00875F54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>.</w:t>
      </w:r>
    </w:p>
    <w:p w:rsidR="00875F54" w:rsidRDefault="00875F54" w:rsidP="00875F54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F54">
        <w:rPr>
          <w:rFonts w:ascii="Arial" w:hAnsi="Arial" w:cs="Arial"/>
          <w:sz w:val="24"/>
          <w:szCs w:val="24"/>
        </w:rPr>
        <w:t>Asistencia legal</w:t>
      </w:r>
      <w:r>
        <w:rPr>
          <w:rFonts w:ascii="Arial" w:hAnsi="Arial" w:cs="Arial"/>
          <w:sz w:val="24"/>
          <w:szCs w:val="24"/>
        </w:rPr>
        <w:t xml:space="preserve"> a la UC en </w:t>
      </w:r>
      <w:r w:rsidRPr="00875F54">
        <w:rPr>
          <w:rFonts w:ascii="Arial" w:hAnsi="Arial" w:cs="Arial"/>
          <w:sz w:val="24"/>
          <w:szCs w:val="24"/>
        </w:rPr>
        <w:t>con trad</w:t>
      </w:r>
      <w:r>
        <w:rPr>
          <w:rFonts w:ascii="Arial" w:hAnsi="Arial" w:cs="Arial"/>
          <w:sz w:val="24"/>
          <w:szCs w:val="24"/>
        </w:rPr>
        <w:t>u</w:t>
      </w:r>
      <w:r w:rsidRPr="00875F54">
        <w:rPr>
          <w:rFonts w:ascii="Arial" w:hAnsi="Arial" w:cs="Arial"/>
          <w:sz w:val="24"/>
          <w:szCs w:val="24"/>
        </w:rPr>
        <w:t>cción de comunicados de prensa al inglés y a la UACI en revisión de manual de procedimientos</w:t>
      </w:r>
      <w:r>
        <w:rPr>
          <w:rFonts w:ascii="Arial" w:hAnsi="Arial" w:cs="Arial"/>
          <w:sz w:val="24"/>
          <w:szCs w:val="24"/>
        </w:rPr>
        <w:t>.</w:t>
      </w:r>
    </w:p>
    <w:p w:rsidR="00875F54" w:rsidRDefault="00875F54" w:rsidP="00875F54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Administrar Auditoría Externa.</w:t>
      </w:r>
    </w:p>
    <w:p w:rsidR="000F5BA2" w:rsidRPr="002C7A18" w:rsidRDefault="00875F54" w:rsidP="003E3C14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7A18">
        <w:rPr>
          <w:rFonts w:ascii="Arial" w:hAnsi="Arial" w:cs="Arial"/>
          <w:sz w:val="24"/>
          <w:szCs w:val="24"/>
        </w:rPr>
        <w:t>Crear procedimientos para la custodia de la información confidencial.</w:t>
      </w:r>
    </w:p>
    <w:p w:rsidR="000F5BA2" w:rsidRPr="005648D5" w:rsidRDefault="000F5BA2" w:rsidP="005648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48D5" w:rsidRDefault="007E40EF" w:rsidP="00BB67B4">
      <w:pPr>
        <w:pStyle w:val="Ttulo1"/>
        <w:numPr>
          <w:ilvl w:val="0"/>
          <w:numId w:val="33"/>
        </w:numPr>
        <w:tabs>
          <w:tab w:val="left" w:pos="709"/>
          <w:tab w:val="left" w:pos="851"/>
        </w:tabs>
      </w:pPr>
      <w:r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591529</wp:posOffset>
            </wp:positionH>
            <wp:positionV relativeFrom="paragraph">
              <wp:posOffset>307975</wp:posOffset>
            </wp:positionV>
            <wp:extent cx="1833019" cy="428690"/>
            <wp:effectExtent l="0" t="0" r="0" b="0"/>
            <wp:wrapTight wrapText="bothSides">
              <wp:wrapPolygon edited="0">
                <wp:start x="0" y="0"/>
                <wp:lineTo x="0" y="20160"/>
                <wp:lineTo x="21331" y="20160"/>
                <wp:lineTo x="21331" y="0"/>
                <wp:lineTo x="0" y="0"/>
              </wp:wrapPolygon>
            </wp:wrapTight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019" cy="42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3351724</wp:posOffset>
            </wp:positionH>
            <wp:positionV relativeFrom="paragraph">
              <wp:posOffset>307975</wp:posOffset>
            </wp:positionV>
            <wp:extent cx="1869440" cy="456565"/>
            <wp:effectExtent l="0" t="0" r="0" b="0"/>
            <wp:wrapTight wrapText="bothSides">
              <wp:wrapPolygon edited="0">
                <wp:start x="0" y="0"/>
                <wp:lineTo x="0" y="19828"/>
                <wp:lineTo x="21351" y="19828"/>
                <wp:lineTo x="21351" y="0"/>
                <wp:lineTo x="0" y="0"/>
              </wp:wrapPolygon>
            </wp:wrapTight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48D5">
        <w:t>Unidad de Planificación</w:t>
      </w:r>
    </w:p>
    <w:p w:rsidR="005648D5" w:rsidRPr="005648D5" w:rsidRDefault="005648D5" w:rsidP="005648D5"/>
    <w:p w:rsidR="002E640A" w:rsidRDefault="002E640A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48A" w:rsidRDefault="00D4148A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6485" w:rsidRDefault="00556485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48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Unidad de Planificación cumplió satisfactoriamente con las </w:t>
      </w:r>
      <w:r w:rsidR="00A34C1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actividades programadas, descritas a continuación:</w:t>
      </w:r>
    </w:p>
    <w:p w:rsidR="00556485" w:rsidRDefault="009A0422" w:rsidP="00556485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las solicitudes de modificación al PEI y/o POA que se presenten</w:t>
      </w:r>
      <w:r w:rsidR="00FB0EF8">
        <w:rPr>
          <w:rFonts w:ascii="Arial" w:hAnsi="Arial" w:cs="Arial"/>
          <w:sz w:val="24"/>
          <w:szCs w:val="24"/>
        </w:rPr>
        <w:t xml:space="preserve"> (1</w:t>
      </w:r>
      <w:r w:rsidR="00417B49">
        <w:rPr>
          <w:rFonts w:ascii="Arial" w:hAnsi="Arial" w:cs="Arial"/>
          <w:sz w:val="24"/>
          <w:szCs w:val="24"/>
        </w:rPr>
        <w:t>3</w:t>
      </w:r>
      <w:r w:rsidR="00FB0EF8">
        <w:rPr>
          <w:rFonts w:ascii="Arial" w:hAnsi="Arial" w:cs="Arial"/>
          <w:sz w:val="24"/>
          <w:szCs w:val="24"/>
        </w:rPr>
        <w:t xml:space="preserve"> requerimientos)</w:t>
      </w:r>
      <w:r>
        <w:rPr>
          <w:rFonts w:ascii="Arial" w:hAnsi="Arial" w:cs="Arial"/>
          <w:sz w:val="24"/>
          <w:szCs w:val="24"/>
        </w:rPr>
        <w:t>.</w:t>
      </w:r>
    </w:p>
    <w:p w:rsidR="009A0422" w:rsidRDefault="009A0422" w:rsidP="00556485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Monitorear y evaluar </w:t>
      </w:r>
      <w:proofErr w:type="spellStart"/>
      <w:r>
        <w:rPr>
          <w:rFonts w:ascii="Arial" w:hAnsi="Arial" w:cs="Arial"/>
          <w:sz w:val="24"/>
          <w:szCs w:val="24"/>
        </w:rPr>
        <w:t>POAs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0422" w:rsidRDefault="009A0422" w:rsidP="00556485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Monitorear y evaluar PEI.</w:t>
      </w:r>
    </w:p>
    <w:p w:rsidR="009A0422" w:rsidRDefault="009A0422" w:rsidP="00556485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Identificar, analizar y gestionar riesgo institucional.</w:t>
      </w:r>
    </w:p>
    <w:p w:rsidR="00417B49" w:rsidRPr="00556485" w:rsidRDefault="00417B49" w:rsidP="00556485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Presupuesto para actividades de POA 2018.</w:t>
      </w:r>
    </w:p>
    <w:p w:rsidR="00D4148A" w:rsidRDefault="00D4148A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67B4" w:rsidRDefault="00185405" w:rsidP="00BB67B4">
      <w:pPr>
        <w:pStyle w:val="Ttulo1"/>
        <w:numPr>
          <w:ilvl w:val="0"/>
          <w:numId w:val="33"/>
        </w:numPr>
        <w:tabs>
          <w:tab w:val="left" w:pos="709"/>
          <w:tab w:val="left" w:pos="851"/>
        </w:tabs>
      </w:pPr>
      <w:r>
        <w:rPr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296545</wp:posOffset>
            </wp:positionV>
            <wp:extent cx="2280920" cy="532765"/>
            <wp:effectExtent l="0" t="0" r="5080" b="635"/>
            <wp:wrapTight wrapText="bothSides">
              <wp:wrapPolygon edited="0">
                <wp:start x="0" y="0"/>
                <wp:lineTo x="0" y="20853"/>
                <wp:lineTo x="21468" y="20853"/>
                <wp:lineTo x="2146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7B4" w:rsidRPr="00BB67B4">
        <w:t>Unidad de Acceso a la Información Pública</w:t>
      </w:r>
    </w:p>
    <w:p w:rsidR="00BB67B4" w:rsidRPr="00BB67B4" w:rsidRDefault="00185405" w:rsidP="00BB67B4"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15875</wp:posOffset>
            </wp:positionV>
            <wp:extent cx="2138045" cy="521335"/>
            <wp:effectExtent l="0" t="0" r="0" b="0"/>
            <wp:wrapTight wrapText="bothSides">
              <wp:wrapPolygon edited="0">
                <wp:start x="0" y="0"/>
                <wp:lineTo x="0" y="19732"/>
                <wp:lineTo x="21363" y="19732"/>
                <wp:lineTo x="2136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7B4" w:rsidRDefault="00BB67B4" w:rsidP="00BB67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67B4" w:rsidRDefault="00BB67B4" w:rsidP="00BB67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16DD" w:rsidRPr="00EC16DD" w:rsidRDefault="00EC16DD" w:rsidP="00BB6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16DD">
        <w:rPr>
          <w:rFonts w:ascii="Arial" w:hAnsi="Arial" w:cs="Arial"/>
          <w:sz w:val="24"/>
          <w:szCs w:val="24"/>
        </w:rPr>
        <w:t>La U</w:t>
      </w:r>
      <w:r>
        <w:rPr>
          <w:rFonts w:ascii="Arial" w:hAnsi="Arial" w:cs="Arial"/>
          <w:sz w:val="24"/>
          <w:szCs w:val="24"/>
        </w:rPr>
        <w:t xml:space="preserve">nidad de Acceso a la Información Pública realizó con éxito la respuesta a </w:t>
      </w:r>
      <w:r w:rsidR="00417B4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solicitudes de información de manera pronta en cumplimiento a la LAIP.</w:t>
      </w:r>
    </w:p>
    <w:p w:rsidR="00EC16DD" w:rsidRDefault="00EC16DD" w:rsidP="000318A4">
      <w:pPr>
        <w:pStyle w:val="Ttulo1"/>
        <w:spacing w:line="240" w:lineRule="auto"/>
      </w:pPr>
    </w:p>
    <w:p w:rsidR="001027B9" w:rsidRPr="000F5BA2" w:rsidRDefault="000318A4" w:rsidP="000318A4">
      <w:pPr>
        <w:pStyle w:val="Ttulo1"/>
        <w:spacing w:line="240" w:lineRule="auto"/>
        <w:rPr>
          <w:sz w:val="24"/>
        </w:rPr>
      </w:pPr>
      <w:r>
        <w:t xml:space="preserve">Consolidado de la </w:t>
      </w:r>
      <w:r w:rsidR="00226A24">
        <w:t xml:space="preserve">evaluación </w:t>
      </w:r>
      <w:r>
        <w:t xml:space="preserve">de POA </w:t>
      </w:r>
      <w:r w:rsidR="00226A24">
        <w:t>institucional</w:t>
      </w:r>
    </w:p>
    <w:p w:rsidR="00C82CAA" w:rsidRDefault="00F342C7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 la planificación vigente, </w:t>
      </w:r>
      <w:r w:rsidR="00C17FB4">
        <w:rPr>
          <w:rFonts w:ascii="Arial" w:hAnsi="Arial" w:cs="Arial"/>
          <w:sz w:val="24"/>
          <w:szCs w:val="24"/>
        </w:rPr>
        <w:t>la evaluación integral del POA se calculará</w:t>
      </w:r>
      <w:r w:rsidR="0099219F">
        <w:rPr>
          <w:rFonts w:ascii="Arial" w:hAnsi="Arial" w:cs="Arial"/>
          <w:sz w:val="24"/>
          <w:szCs w:val="24"/>
        </w:rPr>
        <w:t xml:space="preserve"> consolidando la evaluación obtenida por cada una de las unidades funcionales </w:t>
      </w:r>
      <w:r w:rsidR="00C82CAA">
        <w:rPr>
          <w:rFonts w:ascii="Arial" w:hAnsi="Arial" w:cs="Arial"/>
          <w:sz w:val="24"/>
          <w:szCs w:val="24"/>
        </w:rPr>
        <w:t>con base en las atribuciones de la SC establecida en la Ley de Competencia, de acuerdo a los siguientes porcentajes:</w:t>
      </w:r>
    </w:p>
    <w:p w:rsidR="00F342C7" w:rsidRDefault="00F342C7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CA61F6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1F6"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730885</wp:posOffset>
            </wp:positionH>
            <wp:positionV relativeFrom="paragraph">
              <wp:posOffset>0</wp:posOffset>
            </wp:positionV>
            <wp:extent cx="3907155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84" y="21490"/>
                <wp:lineTo x="2148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7B49" w:rsidRDefault="00417B49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7B49" w:rsidRDefault="00417B49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7B49" w:rsidRDefault="00417B49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7B49" w:rsidRDefault="00417B49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7B49" w:rsidRDefault="00417B49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260C" w:rsidRDefault="00F342C7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 entonces, </w:t>
      </w:r>
      <w:r w:rsidR="0091232D">
        <w:rPr>
          <w:rFonts w:ascii="Arial" w:hAnsi="Arial" w:cs="Arial"/>
          <w:sz w:val="24"/>
          <w:szCs w:val="24"/>
        </w:rPr>
        <w:t>l</w:t>
      </w:r>
      <w:r w:rsidR="004E360F">
        <w:rPr>
          <w:rFonts w:ascii="Arial" w:hAnsi="Arial" w:cs="Arial"/>
          <w:sz w:val="24"/>
          <w:szCs w:val="24"/>
        </w:rPr>
        <w:t>a evaluación consolidada institucional</w:t>
      </w:r>
      <w:r w:rsidR="0091232D">
        <w:rPr>
          <w:rFonts w:ascii="Arial" w:hAnsi="Arial" w:cs="Arial"/>
          <w:sz w:val="24"/>
          <w:szCs w:val="24"/>
        </w:rPr>
        <w:t xml:space="preserve"> de cada unidad organizativa</w:t>
      </w:r>
      <w:r w:rsidR="0091232D" w:rsidRPr="00F342C7">
        <w:rPr>
          <w:rFonts w:ascii="Arial" w:hAnsi="Arial" w:cs="Arial"/>
          <w:sz w:val="24"/>
          <w:szCs w:val="24"/>
        </w:rPr>
        <w:t xml:space="preserve"> </w:t>
      </w:r>
      <w:r w:rsidR="0091232D">
        <w:rPr>
          <w:rFonts w:ascii="Arial" w:hAnsi="Arial" w:cs="Arial"/>
          <w:sz w:val="24"/>
          <w:szCs w:val="24"/>
        </w:rPr>
        <w:t>de la SC</w:t>
      </w:r>
      <w:r w:rsidR="004E360F">
        <w:rPr>
          <w:rFonts w:ascii="Arial" w:hAnsi="Arial" w:cs="Arial"/>
          <w:sz w:val="24"/>
          <w:szCs w:val="24"/>
        </w:rPr>
        <w:t xml:space="preserve">, queda tal como </w:t>
      </w:r>
      <w:r w:rsidR="00763CC4">
        <w:rPr>
          <w:rFonts w:ascii="Arial" w:hAnsi="Arial" w:cs="Arial"/>
          <w:sz w:val="24"/>
          <w:szCs w:val="24"/>
        </w:rPr>
        <w:t xml:space="preserve">lo muestra </w:t>
      </w:r>
      <w:r w:rsidR="004E360F">
        <w:rPr>
          <w:rFonts w:ascii="Arial" w:hAnsi="Arial" w:cs="Arial"/>
          <w:sz w:val="24"/>
          <w:szCs w:val="24"/>
        </w:rPr>
        <w:t>el siguiente cuadro:</w:t>
      </w:r>
    </w:p>
    <w:p w:rsidR="00064C1B" w:rsidRPr="006A3B6A" w:rsidRDefault="00064C1B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2268"/>
        <w:gridCol w:w="2835"/>
      </w:tblGrid>
      <w:tr w:rsidR="00BF1D04" w:rsidRPr="009B1F63" w:rsidTr="005B4D10">
        <w:trPr>
          <w:trHeight w:val="723"/>
        </w:trPr>
        <w:tc>
          <w:tcPr>
            <w:tcW w:w="3573" w:type="dxa"/>
            <w:noWrap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UNIDADES</w:t>
            </w:r>
          </w:p>
        </w:tc>
        <w:tc>
          <w:tcPr>
            <w:tcW w:w="2268" w:type="dxa"/>
            <w:hideMark/>
          </w:tcPr>
          <w:p w:rsidR="001C4CFD" w:rsidRDefault="00BF1D04" w:rsidP="001C4C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EVALUACIÓN POA</w:t>
            </w:r>
          </w:p>
          <w:p w:rsidR="00BF1D04" w:rsidRPr="00FA3CB6" w:rsidRDefault="001C4CFD" w:rsidP="001C4C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(sin pesos)</w:t>
            </w:r>
            <w:r w:rsidR="009B1F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hideMark/>
          </w:tcPr>
          <w:p w:rsidR="00BF1D04" w:rsidRPr="00FA3CB6" w:rsidRDefault="00BF1D04" w:rsidP="001C4C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 xml:space="preserve">EVALUACIÓN FINAL </w:t>
            </w:r>
            <w:r w:rsidRPr="00FA3CB6">
              <w:rPr>
                <w:rFonts w:ascii="Arial" w:hAnsi="Arial" w:cs="Arial"/>
                <w:sz w:val="22"/>
                <w:szCs w:val="22"/>
              </w:rPr>
              <w:br/>
            </w:r>
            <w:r w:rsidR="001C4CFD">
              <w:rPr>
                <w:rFonts w:ascii="Arial" w:hAnsi="Arial" w:cs="Arial"/>
                <w:sz w:val="22"/>
                <w:szCs w:val="22"/>
              </w:rPr>
              <w:t xml:space="preserve">(con pesos </w:t>
            </w:r>
            <w:proofErr w:type="spellStart"/>
            <w:r w:rsidR="001C4CFD">
              <w:rPr>
                <w:rFonts w:ascii="Arial" w:hAnsi="Arial" w:cs="Arial"/>
                <w:sz w:val="22"/>
                <w:szCs w:val="22"/>
              </w:rPr>
              <w:t>asignados</w:t>
            </w:r>
            <w:proofErr w:type="spellEnd"/>
            <w:r w:rsidR="001C4CF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noWrap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INTENDENCIA DE INVESTIGACIONES</w:t>
            </w:r>
          </w:p>
        </w:tc>
        <w:tc>
          <w:tcPr>
            <w:tcW w:w="2268" w:type="dxa"/>
            <w:noWrap/>
          </w:tcPr>
          <w:p w:rsidR="00BF1D04" w:rsidRPr="00FA3CB6" w:rsidRDefault="00584AD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F1D04" w:rsidRDefault="00B82392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B82392" w:rsidRPr="00FA3CB6" w:rsidRDefault="00B82392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D04" w:rsidRPr="006A3B6A" w:rsidTr="005B4D10">
        <w:trPr>
          <w:trHeight w:val="661"/>
        </w:trPr>
        <w:tc>
          <w:tcPr>
            <w:tcW w:w="3573" w:type="dxa"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INTENDENCIA DE ABOGACÍA DE LA COMPETENCIA</w:t>
            </w:r>
          </w:p>
        </w:tc>
        <w:tc>
          <w:tcPr>
            <w:tcW w:w="2268" w:type="dxa"/>
            <w:noWrap/>
          </w:tcPr>
          <w:p w:rsidR="00BF1D04" w:rsidRDefault="002A09DD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88.11</w:t>
            </w:r>
          </w:p>
          <w:p w:rsidR="00584AD6" w:rsidRPr="00FA3CB6" w:rsidRDefault="00584AD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:rsidR="00BF1D04" w:rsidRPr="00FA3CB6" w:rsidRDefault="002A09DD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13.21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INTENDENCIA ECONÓMICA</w:t>
            </w:r>
          </w:p>
        </w:tc>
        <w:tc>
          <w:tcPr>
            <w:tcW w:w="2268" w:type="dxa"/>
            <w:noWrap/>
          </w:tcPr>
          <w:p w:rsidR="00BF1D04" w:rsidRPr="00FA3CB6" w:rsidRDefault="008A375C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84.72</w:t>
            </w:r>
          </w:p>
        </w:tc>
        <w:tc>
          <w:tcPr>
            <w:tcW w:w="2835" w:type="dxa"/>
            <w:noWrap/>
          </w:tcPr>
          <w:p w:rsidR="00BF1D04" w:rsidRPr="00FA3CB6" w:rsidRDefault="008A375C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12.70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noWrap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INFORMÁTICA</w:t>
            </w:r>
          </w:p>
        </w:tc>
        <w:tc>
          <w:tcPr>
            <w:tcW w:w="2268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98.26</w:t>
            </w:r>
          </w:p>
        </w:tc>
        <w:tc>
          <w:tcPr>
            <w:tcW w:w="2835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4.91</w:t>
            </w:r>
          </w:p>
        </w:tc>
      </w:tr>
      <w:tr w:rsidR="00BF1D04" w:rsidRPr="006A3B6A" w:rsidTr="005B4D10">
        <w:trPr>
          <w:trHeight w:val="780"/>
        </w:trPr>
        <w:tc>
          <w:tcPr>
            <w:tcW w:w="3573" w:type="dxa"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ADMINISTRACIÓN Y RECURSOS HUMANOS</w:t>
            </w:r>
          </w:p>
        </w:tc>
        <w:tc>
          <w:tcPr>
            <w:tcW w:w="2268" w:type="dxa"/>
            <w:noWrap/>
          </w:tcPr>
          <w:p w:rsidR="00BF1D04" w:rsidRPr="00FA3CB6" w:rsidRDefault="00584AD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  <w:r w:rsidR="00CA61F6">
              <w:rPr>
                <w:rFonts w:ascii="Arial" w:hAnsi="Arial" w:cs="Arial"/>
                <w:sz w:val="22"/>
                <w:szCs w:val="22"/>
              </w:rPr>
              <w:t>.45</w:t>
            </w:r>
          </w:p>
        </w:tc>
        <w:tc>
          <w:tcPr>
            <w:tcW w:w="2835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4.75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noWrap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COMUNICACIONES</w:t>
            </w:r>
          </w:p>
        </w:tc>
        <w:tc>
          <w:tcPr>
            <w:tcW w:w="2268" w:type="dxa"/>
            <w:noWrap/>
          </w:tcPr>
          <w:p w:rsidR="00BF1D04" w:rsidRPr="00FA3CB6" w:rsidRDefault="002A09DD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89.53</w:t>
            </w:r>
          </w:p>
        </w:tc>
        <w:tc>
          <w:tcPr>
            <w:tcW w:w="2835" w:type="dxa"/>
            <w:noWrap/>
          </w:tcPr>
          <w:p w:rsidR="00BF1D04" w:rsidRPr="00FA3CB6" w:rsidRDefault="002A09DD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8.95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FINANCIERA INSTITUCIONAL</w:t>
            </w:r>
          </w:p>
        </w:tc>
        <w:tc>
          <w:tcPr>
            <w:tcW w:w="2268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98.25</w:t>
            </w:r>
          </w:p>
        </w:tc>
        <w:tc>
          <w:tcPr>
            <w:tcW w:w="2835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4.91</w:t>
            </w:r>
          </w:p>
        </w:tc>
      </w:tr>
      <w:tr w:rsidR="00BF1D04" w:rsidRPr="006A3B6A" w:rsidTr="005B4D10">
        <w:trPr>
          <w:trHeight w:val="810"/>
        </w:trPr>
        <w:tc>
          <w:tcPr>
            <w:tcW w:w="3573" w:type="dxa"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ADQUISICIONES Y CONTRATACIONES INSTITUCIONAL</w:t>
            </w:r>
          </w:p>
        </w:tc>
        <w:tc>
          <w:tcPr>
            <w:tcW w:w="2268" w:type="dxa"/>
            <w:noWrap/>
          </w:tcPr>
          <w:p w:rsidR="00BF1D04" w:rsidRPr="00FA3CB6" w:rsidRDefault="00584AD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835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SECRETARÍA GENERAL</w:t>
            </w:r>
          </w:p>
        </w:tc>
        <w:tc>
          <w:tcPr>
            <w:tcW w:w="2268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835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4.95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PLANIFICACIÓN</w:t>
            </w:r>
          </w:p>
        </w:tc>
        <w:tc>
          <w:tcPr>
            <w:tcW w:w="2268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97.18</w:t>
            </w:r>
          </w:p>
        </w:tc>
        <w:tc>
          <w:tcPr>
            <w:tcW w:w="2835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11.66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AUDITORÍA INTERNA</w:t>
            </w:r>
          </w:p>
        </w:tc>
        <w:tc>
          <w:tcPr>
            <w:tcW w:w="2268" w:type="dxa"/>
            <w:noWrap/>
          </w:tcPr>
          <w:p w:rsidR="00BF1D04" w:rsidRPr="00FA3CB6" w:rsidRDefault="00584AD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F1D04" w:rsidRPr="00FA3CB6" w:rsidRDefault="00CA61F6" w:rsidP="001F0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82392" w:rsidRPr="006A3B6A" w:rsidTr="005B4D10">
        <w:trPr>
          <w:trHeight w:val="405"/>
        </w:trPr>
        <w:tc>
          <w:tcPr>
            <w:tcW w:w="3573" w:type="dxa"/>
          </w:tcPr>
          <w:p w:rsidR="00B82392" w:rsidRPr="00FA3CB6" w:rsidRDefault="00B82392" w:rsidP="001F03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</w:t>
            </w:r>
          </w:p>
        </w:tc>
        <w:tc>
          <w:tcPr>
            <w:tcW w:w="2268" w:type="dxa"/>
            <w:noWrap/>
          </w:tcPr>
          <w:p w:rsidR="00B82392" w:rsidRDefault="00CA61F6" w:rsidP="001F03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97.50</w:t>
            </w:r>
          </w:p>
        </w:tc>
        <w:tc>
          <w:tcPr>
            <w:tcW w:w="2835" w:type="dxa"/>
            <w:noWrap/>
          </w:tcPr>
          <w:p w:rsidR="00B82392" w:rsidRPr="00FA3CB6" w:rsidRDefault="00185405" w:rsidP="001F03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2.92</w:t>
            </w:r>
          </w:p>
        </w:tc>
      </w:tr>
      <w:tr w:rsidR="00BF1D04" w:rsidRPr="006A3B6A" w:rsidTr="005B4D10">
        <w:trPr>
          <w:trHeight w:val="405"/>
        </w:trPr>
        <w:tc>
          <w:tcPr>
            <w:tcW w:w="5841" w:type="dxa"/>
            <w:gridSpan w:val="2"/>
          </w:tcPr>
          <w:p w:rsidR="00BF1D04" w:rsidRDefault="00584AD6" w:rsidP="001F03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EVALUACIÓN </w:t>
            </w:r>
            <w:r w:rsidR="00185405">
              <w:rPr>
                <w:rFonts w:ascii="Arial" w:hAnsi="Arial" w:cs="Arial"/>
              </w:rPr>
              <w:t>DE T1 A T3</w:t>
            </w:r>
          </w:p>
          <w:p w:rsidR="00185405" w:rsidRPr="00FA3CB6" w:rsidRDefault="00185405" w:rsidP="001F03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2017   </w:t>
            </w:r>
          </w:p>
        </w:tc>
        <w:tc>
          <w:tcPr>
            <w:tcW w:w="2835" w:type="dxa"/>
            <w:noWrap/>
          </w:tcPr>
          <w:p w:rsidR="00BF1D04" w:rsidRPr="00FA3CB6" w:rsidRDefault="008A375C" w:rsidP="001F03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92.97</w:t>
            </w:r>
          </w:p>
        </w:tc>
      </w:tr>
    </w:tbl>
    <w:p w:rsidR="000113A9" w:rsidRPr="006A3B6A" w:rsidRDefault="000113A9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08B1" w:rsidRDefault="00763CC4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esfuerzo realizado por la SC en 201</w:t>
      </w:r>
      <w:r w:rsidR="00AB5AD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ha cosechado muy buenos frutos y eso se ve reflejado en el alcance del </w:t>
      </w:r>
      <w:r w:rsidR="008A375C">
        <w:rPr>
          <w:rFonts w:ascii="Arial" w:hAnsi="Arial" w:cs="Arial"/>
          <w:sz w:val="24"/>
          <w:szCs w:val="24"/>
        </w:rPr>
        <w:t>92.97</w:t>
      </w:r>
      <w:r w:rsidR="00AE29D6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en la evaluación final a nivel institucional, lo que sin duda contribuye a cumplir la Visión, Misión y Objetivos institucionales en favor de mejorar la eficiencia económica y el bienestar de los consumidores</w:t>
      </w:r>
      <w:r w:rsidR="00034BEE">
        <w:rPr>
          <w:rFonts w:ascii="Arial" w:hAnsi="Arial" w:cs="Arial"/>
          <w:sz w:val="24"/>
          <w:szCs w:val="24"/>
        </w:rPr>
        <w:t>.</w:t>
      </w:r>
    </w:p>
    <w:p w:rsidR="00FF3C7B" w:rsidRDefault="00FF3C7B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67B4" w:rsidRDefault="00BB67B4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3C7B" w:rsidRDefault="00FF3C7B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3C7B">
        <w:rPr>
          <w:rFonts w:ascii="Arial" w:hAnsi="Arial" w:cs="Arial"/>
          <w:b/>
          <w:sz w:val="24"/>
          <w:szCs w:val="24"/>
        </w:rPr>
        <w:t xml:space="preserve">Ejecución presupuestaria </w:t>
      </w:r>
      <w:r w:rsidR="00AE29D6">
        <w:rPr>
          <w:rFonts w:ascii="Arial" w:hAnsi="Arial" w:cs="Arial"/>
          <w:b/>
          <w:sz w:val="24"/>
          <w:szCs w:val="24"/>
        </w:rPr>
        <w:t>al tercer trimestre:</w:t>
      </w:r>
    </w:p>
    <w:p w:rsidR="00AE29D6" w:rsidRDefault="00AE29D6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3C7B" w:rsidRDefault="00AE29D6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29D6">
        <w:rPr>
          <w:noProof/>
        </w:rPr>
        <w:drawing>
          <wp:inline distT="0" distB="0" distL="0" distR="0">
            <wp:extent cx="5612130" cy="3235338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7B" w:rsidRPr="00FF3C7B" w:rsidRDefault="00FF3C7B" w:rsidP="001F0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3C7B" w:rsidRDefault="00FF3C7B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presupuesto de POA se ha ejecutado en un </w:t>
      </w:r>
      <w:r w:rsidR="000117DF">
        <w:rPr>
          <w:rFonts w:ascii="Arial" w:hAnsi="Arial" w:cs="Arial"/>
          <w:sz w:val="24"/>
          <w:szCs w:val="24"/>
        </w:rPr>
        <w:t>68.84% al tercer trimestre de</w:t>
      </w:r>
      <w:r>
        <w:rPr>
          <w:rFonts w:ascii="Arial" w:hAnsi="Arial" w:cs="Arial"/>
          <w:sz w:val="24"/>
          <w:szCs w:val="24"/>
        </w:rPr>
        <w:t xml:space="preserve"> 2017.</w:t>
      </w:r>
    </w:p>
    <w:p w:rsidR="00FF3C7B" w:rsidRDefault="00FF3C7B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7DF" w:rsidRDefault="000117D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7DF" w:rsidRDefault="000117D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7DF" w:rsidRDefault="000117DF" w:rsidP="001F0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31C6" w:rsidRDefault="00BA31C6" w:rsidP="004760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A31C6" w:rsidSect="00064C1B">
      <w:footerReference w:type="default" r:id="rId40"/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5C" w:rsidRDefault="00566D5C" w:rsidP="00F179C6">
      <w:pPr>
        <w:spacing w:after="0" w:line="240" w:lineRule="auto"/>
      </w:pPr>
      <w:r>
        <w:separator/>
      </w:r>
    </w:p>
  </w:endnote>
  <w:endnote w:type="continuationSeparator" w:id="0">
    <w:p w:rsidR="00566D5C" w:rsidRDefault="00566D5C" w:rsidP="00F1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C1B" w:rsidRDefault="00064C1B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E0D4B" w:rsidRPr="00EE0D4B">
      <w:rPr>
        <w:caps/>
        <w:noProof/>
        <w:color w:val="4F81BD" w:themeColor="accent1"/>
        <w:lang w:val="es-ES"/>
      </w:rPr>
      <w:t>12</w:t>
    </w:r>
    <w:r>
      <w:rPr>
        <w:caps/>
        <w:color w:val="4F81BD" w:themeColor="accent1"/>
      </w:rPr>
      <w:fldChar w:fldCharType="end"/>
    </w:r>
  </w:p>
  <w:p w:rsidR="00064C1B" w:rsidRDefault="00064C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5C" w:rsidRDefault="00566D5C" w:rsidP="00F179C6">
      <w:pPr>
        <w:spacing w:after="0" w:line="240" w:lineRule="auto"/>
      </w:pPr>
      <w:r>
        <w:separator/>
      </w:r>
    </w:p>
  </w:footnote>
  <w:footnote w:type="continuationSeparator" w:id="0">
    <w:p w:rsidR="00566D5C" w:rsidRDefault="00566D5C" w:rsidP="00F17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DC9"/>
    <w:multiLevelType w:val="hybridMultilevel"/>
    <w:tmpl w:val="6A0E0E5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55DE"/>
    <w:multiLevelType w:val="hybridMultilevel"/>
    <w:tmpl w:val="C1ECEC3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EC7"/>
    <w:multiLevelType w:val="hybridMultilevel"/>
    <w:tmpl w:val="FA3466D0"/>
    <w:lvl w:ilvl="0" w:tplc="A01006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952"/>
    <w:multiLevelType w:val="hybridMultilevel"/>
    <w:tmpl w:val="B7CA4E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4F29"/>
    <w:multiLevelType w:val="hybridMultilevel"/>
    <w:tmpl w:val="01322D8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70ED4"/>
    <w:multiLevelType w:val="hybridMultilevel"/>
    <w:tmpl w:val="1D7C90A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66182"/>
    <w:multiLevelType w:val="hybridMultilevel"/>
    <w:tmpl w:val="74A8B9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10DA1"/>
    <w:multiLevelType w:val="multilevel"/>
    <w:tmpl w:val="33083ED4"/>
    <w:lvl w:ilvl="0">
      <w:start w:val="1"/>
      <w:numFmt w:val="upperRoman"/>
      <w:lvlText w:val="%1. 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035C4"/>
    <w:multiLevelType w:val="multilevel"/>
    <w:tmpl w:val="61CE8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B657D1B"/>
    <w:multiLevelType w:val="hybridMultilevel"/>
    <w:tmpl w:val="543CD8F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0B3"/>
    <w:multiLevelType w:val="hybridMultilevel"/>
    <w:tmpl w:val="5B265292"/>
    <w:lvl w:ilvl="0" w:tplc="1E6A4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A8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05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83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C6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E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89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09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E7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0358D4"/>
    <w:multiLevelType w:val="hybridMultilevel"/>
    <w:tmpl w:val="2328276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021238"/>
    <w:multiLevelType w:val="hybridMultilevel"/>
    <w:tmpl w:val="2FAAEA64"/>
    <w:lvl w:ilvl="0" w:tplc="44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F7ABBF2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EAE019D0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C816B010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C77098E4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D08C36A6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E2CA1FA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5AFCE34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8764689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3" w15:restartNumberingAfterBreak="0">
    <w:nsid w:val="2FB31AC2"/>
    <w:multiLevelType w:val="hybridMultilevel"/>
    <w:tmpl w:val="01DC9996"/>
    <w:lvl w:ilvl="0" w:tplc="ACF24E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545F5"/>
    <w:multiLevelType w:val="hybridMultilevel"/>
    <w:tmpl w:val="5D3C54B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07AA3"/>
    <w:multiLevelType w:val="hybridMultilevel"/>
    <w:tmpl w:val="01EADFA8"/>
    <w:lvl w:ilvl="0" w:tplc="440A0011">
      <w:start w:val="1"/>
      <w:numFmt w:val="decimal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7C56A2"/>
    <w:multiLevelType w:val="multilevel"/>
    <w:tmpl w:val="61CE8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C5D72AF"/>
    <w:multiLevelType w:val="hybridMultilevel"/>
    <w:tmpl w:val="53A4146E"/>
    <w:lvl w:ilvl="0" w:tplc="1284A2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44268"/>
    <w:multiLevelType w:val="hybridMultilevel"/>
    <w:tmpl w:val="95904CEC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6AC1"/>
    <w:multiLevelType w:val="hybridMultilevel"/>
    <w:tmpl w:val="DD8A7E4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1E72"/>
    <w:multiLevelType w:val="hybridMultilevel"/>
    <w:tmpl w:val="BBE4B36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35CA5"/>
    <w:multiLevelType w:val="multilevel"/>
    <w:tmpl w:val="7444F8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D4176"/>
    <w:multiLevelType w:val="hybridMultilevel"/>
    <w:tmpl w:val="39DE54B0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9975F0"/>
    <w:multiLevelType w:val="hybridMultilevel"/>
    <w:tmpl w:val="871EF6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D2D3D"/>
    <w:multiLevelType w:val="hybridMultilevel"/>
    <w:tmpl w:val="3BFEC82E"/>
    <w:lvl w:ilvl="0" w:tplc="204A0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16259"/>
    <w:multiLevelType w:val="hybridMultilevel"/>
    <w:tmpl w:val="05E0C436"/>
    <w:lvl w:ilvl="0" w:tplc="440A0011">
      <w:start w:val="1"/>
      <w:numFmt w:val="upperRoman"/>
      <w:lvlText w:val="%1. "/>
      <w:lvlJc w:val="left"/>
      <w:pPr>
        <w:ind w:left="502" w:hanging="360"/>
      </w:pPr>
      <w:rPr>
        <w:rFonts w:hint="default"/>
        <w:b/>
      </w:rPr>
    </w:lvl>
    <w:lvl w:ilvl="1" w:tplc="CDA48B16" w:tentative="1">
      <w:start w:val="1"/>
      <w:numFmt w:val="lowerLetter"/>
      <w:lvlText w:val="%2."/>
      <w:lvlJc w:val="left"/>
      <w:pPr>
        <w:ind w:left="1440" w:hanging="360"/>
      </w:pPr>
    </w:lvl>
    <w:lvl w:ilvl="2" w:tplc="6F0CBE28" w:tentative="1">
      <w:start w:val="1"/>
      <w:numFmt w:val="lowerRoman"/>
      <w:lvlText w:val="%3."/>
      <w:lvlJc w:val="right"/>
      <w:pPr>
        <w:ind w:left="2160" w:hanging="180"/>
      </w:pPr>
    </w:lvl>
    <w:lvl w:ilvl="3" w:tplc="8564EC5C" w:tentative="1">
      <w:start w:val="1"/>
      <w:numFmt w:val="decimal"/>
      <w:lvlText w:val="%4."/>
      <w:lvlJc w:val="left"/>
      <w:pPr>
        <w:ind w:left="2880" w:hanging="360"/>
      </w:pPr>
    </w:lvl>
    <w:lvl w:ilvl="4" w:tplc="216A4D6E" w:tentative="1">
      <w:start w:val="1"/>
      <w:numFmt w:val="lowerLetter"/>
      <w:lvlText w:val="%5."/>
      <w:lvlJc w:val="left"/>
      <w:pPr>
        <w:ind w:left="3600" w:hanging="360"/>
      </w:pPr>
    </w:lvl>
    <w:lvl w:ilvl="5" w:tplc="E886DF02" w:tentative="1">
      <w:start w:val="1"/>
      <w:numFmt w:val="lowerRoman"/>
      <w:lvlText w:val="%6."/>
      <w:lvlJc w:val="right"/>
      <w:pPr>
        <w:ind w:left="4320" w:hanging="180"/>
      </w:pPr>
    </w:lvl>
    <w:lvl w:ilvl="6" w:tplc="DB968474" w:tentative="1">
      <w:start w:val="1"/>
      <w:numFmt w:val="decimal"/>
      <w:lvlText w:val="%7."/>
      <w:lvlJc w:val="left"/>
      <w:pPr>
        <w:ind w:left="5040" w:hanging="360"/>
      </w:pPr>
    </w:lvl>
    <w:lvl w:ilvl="7" w:tplc="DDD27288" w:tentative="1">
      <w:start w:val="1"/>
      <w:numFmt w:val="lowerLetter"/>
      <w:lvlText w:val="%8."/>
      <w:lvlJc w:val="left"/>
      <w:pPr>
        <w:ind w:left="5760" w:hanging="360"/>
      </w:pPr>
    </w:lvl>
    <w:lvl w:ilvl="8" w:tplc="615EE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B5EBD"/>
    <w:multiLevelType w:val="hybridMultilevel"/>
    <w:tmpl w:val="7444F89C"/>
    <w:lvl w:ilvl="0" w:tplc="3F0C3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5616D"/>
    <w:multiLevelType w:val="multilevel"/>
    <w:tmpl w:val="009A5ED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28" w15:restartNumberingAfterBreak="0">
    <w:nsid w:val="5D6B1EF3"/>
    <w:multiLevelType w:val="hybridMultilevel"/>
    <w:tmpl w:val="1C6236E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D6545"/>
    <w:multiLevelType w:val="multilevel"/>
    <w:tmpl w:val="A22E5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EFE713E"/>
    <w:multiLevelType w:val="hybridMultilevel"/>
    <w:tmpl w:val="2AB0157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02FEA"/>
    <w:multiLevelType w:val="hybridMultilevel"/>
    <w:tmpl w:val="DB76F0A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92024"/>
    <w:multiLevelType w:val="hybridMultilevel"/>
    <w:tmpl w:val="FAA6725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F345B"/>
    <w:multiLevelType w:val="hybridMultilevel"/>
    <w:tmpl w:val="839C5E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20670"/>
    <w:multiLevelType w:val="hybridMultilevel"/>
    <w:tmpl w:val="B5DA15EA"/>
    <w:lvl w:ilvl="0" w:tplc="1AFE024A">
      <w:start w:val="1"/>
      <w:numFmt w:val="upperLetter"/>
      <w:pStyle w:val="Ttulo2"/>
      <w:lvlText w:val="%1. "/>
      <w:lvlJc w:val="left"/>
      <w:pPr>
        <w:ind w:left="360" w:hanging="360"/>
      </w:pPr>
      <w:rPr>
        <w:rFonts w:hint="default"/>
        <w:b/>
      </w:rPr>
    </w:lvl>
    <w:lvl w:ilvl="1" w:tplc="F914FECA">
      <w:start w:val="1"/>
      <w:numFmt w:val="decimal"/>
      <w:lvlText w:val="%2."/>
      <w:lvlJc w:val="left"/>
      <w:pPr>
        <w:ind w:left="1364" w:hanging="360"/>
      </w:pPr>
      <w:rPr>
        <w:rFonts w:hint="default"/>
        <w:b/>
      </w:rPr>
    </w:lvl>
    <w:lvl w:ilvl="2" w:tplc="440A001B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C8385F"/>
    <w:multiLevelType w:val="hybridMultilevel"/>
    <w:tmpl w:val="948425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A4E5B"/>
    <w:multiLevelType w:val="hybridMultilevel"/>
    <w:tmpl w:val="ADE002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527AA"/>
    <w:multiLevelType w:val="hybridMultilevel"/>
    <w:tmpl w:val="4198DD98"/>
    <w:lvl w:ilvl="0" w:tplc="19A8A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5"/>
  </w:num>
  <w:num w:numId="4">
    <w:abstractNumId w:val="12"/>
  </w:num>
  <w:num w:numId="5">
    <w:abstractNumId w:val="22"/>
  </w:num>
  <w:num w:numId="6">
    <w:abstractNumId w:val="27"/>
  </w:num>
  <w:num w:numId="7">
    <w:abstractNumId w:val="35"/>
  </w:num>
  <w:num w:numId="8">
    <w:abstractNumId w:val="8"/>
  </w:num>
  <w:num w:numId="9">
    <w:abstractNumId w:val="29"/>
  </w:num>
  <w:num w:numId="10">
    <w:abstractNumId w:val="9"/>
  </w:num>
  <w:num w:numId="11">
    <w:abstractNumId w:val="33"/>
  </w:num>
  <w:num w:numId="12">
    <w:abstractNumId w:val="16"/>
  </w:num>
  <w:num w:numId="13">
    <w:abstractNumId w:val="11"/>
  </w:num>
  <w:num w:numId="14">
    <w:abstractNumId w:val="10"/>
  </w:num>
  <w:num w:numId="15">
    <w:abstractNumId w:val="6"/>
  </w:num>
  <w:num w:numId="16">
    <w:abstractNumId w:val="1"/>
  </w:num>
  <w:num w:numId="17">
    <w:abstractNumId w:val="30"/>
  </w:num>
  <w:num w:numId="18">
    <w:abstractNumId w:val="13"/>
  </w:num>
  <w:num w:numId="19">
    <w:abstractNumId w:val="17"/>
  </w:num>
  <w:num w:numId="20">
    <w:abstractNumId w:val="14"/>
  </w:num>
  <w:num w:numId="21">
    <w:abstractNumId w:val="24"/>
  </w:num>
  <w:num w:numId="22">
    <w:abstractNumId w:val="2"/>
  </w:num>
  <w:num w:numId="23">
    <w:abstractNumId w:val="15"/>
  </w:num>
  <w:num w:numId="24">
    <w:abstractNumId w:val="31"/>
  </w:num>
  <w:num w:numId="25">
    <w:abstractNumId w:val="20"/>
  </w:num>
  <w:num w:numId="26">
    <w:abstractNumId w:val="23"/>
  </w:num>
  <w:num w:numId="27">
    <w:abstractNumId w:val="4"/>
  </w:num>
  <w:num w:numId="28">
    <w:abstractNumId w:val="28"/>
  </w:num>
  <w:num w:numId="29">
    <w:abstractNumId w:val="19"/>
  </w:num>
  <w:num w:numId="30">
    <w:abstractNumId w:val="25"/>
    <w:lvlOverride w:ilvl="0">
      <w:startOverride w:val="1"/>
    </w:lvlOverride>
  </w:num>
  <w:num w:numId="31">
    <w:abstractNumId w:val="7"/>
  </w:num>
  <w:num w:numId="32">
    <w:abstractNumId w:val="37"/>
  </w:num>
  <w:num w:numId="33">
    <w:abstractNumId w:val="26"/>
  </w:num>
  <w:num w:numId="34">
    <w:abstractNumId w:val="18"/>
  </w:num>
  <w:num w:numId="35">
    <w:abstractNumId w:val="36"/>
  </w:num>
  <w:num w:numId="36">
    <w:abstractNumId w:val="3"/>
  </w:num>
  <w:num w:numId="37">
    <w:abstractNumId w:val="32"/>
  </w:num>
  <w:num w:numId="38">
    <w:abstractNumId w:val="0"/>
  </w:num>
  <w:num w:numId="3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4E"/>
    <w:rsid w:val="00001E78"/>
    <w:rsid w:val="0000212C"/>
    <w:rsid w:val="00004331"/>
    <w:rsid w:val="00004C85"/>
    <w:rsid w:val="00005926"/>
    <w:rsid w:val="00007680"/>
    <w:rsid w:val="000113A9"/>
    <w:rsid w:val="000117DF"/>
    <w:rsid w:val="00013D7D"/>
    <w:rsid w:val="00016889"/>
    <w:rsid w:val="00017DB9"/>
    <w:rsid w:val="00021EB5"/>
    <w:rsid w:val="0002403B"/>
    <w:rsid w:val="00025F23"/>
    <w:rsid w:val="000317B5"/>
    <w:rsid w:val="0003186F"/>
    <w:rsid w:val="000318A4"/>
    <w:rsid w:val="00034BEE"/>
    <w:rsid w:val="00036232"/>
    <w:rsid w:val="00036734"/>
    <w:rsid w:val="00045016"/>
    <w:rsid w:val="00045BFD"/>
    <w:rsid w:val="000464C4"/>
    <w:rsid w:val="00050EE6"/>
    <w:rsid w:val="00053B2C"/>
    <w:rsid w:val="00055598"/>
    <w:rsid w:val="00055AF8"/>
    <w:rsid w:val="00055B6C"/>
    <w:rsid w:val="000565F7"/>
    <w:rsid w:val="0006246C"/>
    <w:rsid w:val="00063034"/>
    <w:rsid w:val="000636F8"/>
    <w:rsid w:val="00064C1B"/>
    <w:rsid w:val="00067090"/>
    <w:rsid w:val="000702A9"/>
    <w:rsid w:val="0007040D"/>
    <w:rsid w:val="00072B60"/>
    <w:rsid w:val="00072D6A"/>
    <w:rsid w:val="00076760"/>
    <w:rsid w:val="00077AA9"/>
    <w:rsid w:val="00077AF5"/>
    <w:rsid w:val="00082580"/>
    <w:rsid w:val="00082E74"/>
    <w:rsid w:val="000849FE"/>
    <w:rsid w:val="00091E38"/>
    <w:rsid w:val="00095CAD"/>
    <w:rsid w:val="00095F9D"/>
    <w:rsid w:val="000A2595"/>
    <w:rsid w:val="000A261D"/>
    <w:rsid w:val="000A2FC5"/>
    <w:rsid w:val="000A33E1"/>
    <w:rsid w:val="000A3DFD"/>
    <w:rsid w:val="000A5785"/>
    <w:rsid w:val="000A6577"/>
    <w:rsid w:val="000B0DA1"/>
    <w:rsid w:val="000B3053"/>
    <w:rsid w:val="000C0889"/>
    <w:rsid w:val="000C5981"/>
    <w:rsid w:val="000C63E3"/>
    <w:rsid w:val="000C78C3"/>
    <w:rsid w:val="000D1CB6"/>
    <w:rsid w:val="000D24A0"/>
    <w:rsid w:val="000D37F2"/>
    <w:rsid w:val="000D4348"/>
    <w:rsid w:val="000D67F0"/>
    <w:rsid w:val="000E008A"/>
    <w:rsid w:val="000E0F24"/>
    <w:rsid w:val="000E2397"/>
    <w:rsid w:val="000E35A7"/>
    <w:rsid w:val="000E4499"/>
    <w:rsid w:val="000F43E0"/>
    <w:rsid w:val="000F5BA2"/>
    <w:rsid w:val="000F7C48"/>
    <w:rsid w:val="000F7E7D"/>
    <w:rsid w:val="001027B9"/>
    <w:rsid w:val="00102CC0"/>
    <w:rsid w:val="00104104"/>
    <w:rsid w:val="00104B4A"/>
    <w:rsid w:val="00104CE9"/>
    <w:rsid w:val="00107C5C"/>
    <w:rsid w:val="0011284F"/>
    <w:rsid w:val="001133FE"/>
    <w:rsid w:val="00113757"/>
    <w:rsid w:val="00122D6F"/>
    <w:rsid w:val="00123B28"/>
    <w:rsid w:val="0012731F"/>
    <w:rsid w:val="00132792"/>
    <w:rsid w:val="00136A48"/>
    <w:rsid w:val="00142D86"/>
    <w:rsid w:val="001441DD"/>
    <w:rsid w:val="0014498C"/>
    <w:rsid w:val="001520EF"/>
    <w:rsid w:val="0015238B"/>
    <w:rsid w:val="00155DA0"/>
    <w:rsid w:val="00156DBF"/>
    <w:rsid w:val="00160228"/>
    <w:rsid w:val="00160A69"/>
    <w:rsid w:val="00162360"/>
    <w:rsid w:val="00167B8D"/>
    <w:rsid w:val="001712DB"/>
    <w:rsid w:val="00172D72"/>
    <w:rsid w:val="00174B34"/>
    <w:rsid w:val="00176361"/>
    <w:rsid w:val="00176FE5"/>
    <w:rsid w:val="001773B1"/>
    <w:rsid w:val="00177D5E"/>
    <w:rsid w:val="001810F4"/>
    <w:rsid w:val="001844C7"/>
    <w:rsid w:val="00185405"/>
    <w:rsid w:val="001856F7"/>
    <w:rsid w:val="00186CE4"/>
    <w:rsid w:val="00191E1B"/>
    <w:rsid w:val="0019240F"/>
    <w:rsid w:val="00192C0A"/>
    <w:rsid w:val="00192D1E"/>
    <w:rsid w:val="001948D7"/>
    <w:rsid w:val="00195FC7"/>
    <w:rsid w:val="00196991"/>
    <w:rsid w:val="00197618"/>
    <w:rsid w:val="001A0BB5"/>
    <w:rsid w:val="001B0258"/>
    <w:rsid w:val="001B14AB"/>
    <w:rsid w:val="001B15EA"/>
    <w:rsid w:val="001B6025"/>
    <w:rsid w:val="001C1E97"/>
    <w:rsid w:val="001C3ECC"/>
    <w:rsid w:val="001C4B5B"/>
    <w:rsid w:val="001C4CFD"/>
    <w:rsid w:val="001C59C6"/>
    <w:rsid w:val="001C5CB6"/>
    <w:rsid w:val="001D1E46"/>
    <w:rsid w:val="001D7CE8"/>
    <w:rsid w:val="001E0425"/>
    <w:rsid w:val="001E1641"/>
    <w:rsid w:val="001E23DE"/>
    <w:rsid w:val="001E35CF"/>
    <w:rsid w:val="001E5A3B"/>
    <w:rsid w:val="001E5E9E"/>
    <w:rsid w:val="001F0384"/>
    <w:rsid w:val="001F0841"/>
    <w:rsid w:val="001F2520"/>
    <w:rsid w:val="001F3C94"/>
    <w:rsid w:val="001F3D21"/>
    <w:rsid w:val="00200260"/>
    <w:rsid w:val="00200395"/>
    <w:rsid w:val="002044EE"/>
    <w:rsid w:val="00205A05"/>
    <w:rsid w:val="00207B55"/>
    <w:rsid w:val="00215842"/>
    <w:rsid w:val="0022111D"/>
    <w:rsid w:val="00222AB0"/>
    <w:rsid w:val="00224B2C"/>
    <w:rsid w:val="002266D1"/>
    <w:rsid w:val="00226A24"/>
    <w:rsid w:val="00227D05"/>
    <w:rsid w:val="002306CE"/>
    <w:rsid w:val="00230812"/>
    <w:rsid w:val="002311E4"/>
    <w:rsid w:val="00241B9D"/>
    <w:rsid w:val="00250B94"/>
    <w:rsid w:val="00251807"/>
    <w:rsid w:val="00252394"/>
    <w:rsid w:val="002575BA"/>
    <w:rsid w:val="002668AF"/>
    <w:rsid w:val="002745B3"/>
    <w:rsid w:val="00280797"/>
    <w:rsid w:val="00281833"/>
    <w:rsid w:val="002841C1"/>
    <w:rsid w:val="00287E4D"/>
    <w:rsid w:val="00290998"/>
    <w:rsid w:val="00291BBA"/>
    <w:rsid w:val="0029775C"/>
    <w:rsid w:val="00297D44"/>
    <w:rsid w:val="002A09DD"/>
    <w:rsid w:val="002A26D3"/>
    <w:rsid w:val="002A3B6A"/>
    <w:rsid w:val="002A4593"/>
    <w:rsid w:val="002A5074"/>
    <w:rsid w:val="002A78F2"/>
    <w:rsid w:val="002B2488"/>
    <w:rsid w:val="002B597C"/>
    <w:rsid w:val="002C154E"/>
    <w:rsid w:val="002C6473"/>
    <w:rsid w:val="002C6C32"/>
    <w:rsid w:val="002C7A18"/>
    <w:rsid w:val="002D1816"/>
    <w:rsid w:val="002D4321"/>
    <w:rsid w:val="002D5907"/>
    <w:rsid w:val="002D6AD5"/>
    <w:rsid w:val="002E0CDD"/>
    <w:rsid w:val="002E5F51"/>
    <w:rsid w:val="002E640A"/>
    <w:rsid w:val="002F408F"/>
    <w:rsid w:val="002F4DAD"/>
    <w:rsid w:val="00300BB1"/>
    <w:rsid w:val="00304289"/>
    <w:rsid w:val="0030428A"/>
    <w:rsid w:val="0031215F"/>
    <w:rsid w:val="00316A03"/>
    <w:rsid w:val="0032214E"/>
    <w:rsid w:val="00324379"/>
    <w:rsid w:val="003244C2"/>
    <w:rsid w:val="003254E5"/>
    <w:rsid w:val="0033599A"/>
    <w:rsid w:val="00336E8E"/>
    <w:rsid w:val="00337455"/>
    <w:rsid w:val="00340A18"/>
    <w:rsid w:val="00341010"/>
    <w:rsid w:val="00342033"/>
    <w:rsid w:val="0034309E"/>
    <w:rsid w:val="0034566C"/>
    <w:rsid w:val="00347B82"/>
    <w:rsid w:val="00350333"/>
    <w:rsid w:val="00351269"/>
    <w:rsid w:val="003521E1"/>
    <w:rsid w:val="00356FD2"/>
    <w:rsid w:val="00357F87"/>
    <w:rsid w:val="00361DFB"/>
    <w:rsid w:val="00362EF1"/>
    <w:rsid w:val="00371E31"/>
    <w:rsid w:val="00373566"/>
    <w:rsid w:val="00376350"/>
    <w:rsid w:val="0038120C"/>
    <w:rsid w:val="003860E1"/>
    <w:rsid w:val="00387DDC"/>
    <w:rsid w:val="0039159B"/>
    <w:rsid w:val="00391C77"/>
    <w:rsid w:val="00393478"/>
    <w:rsid w:val="003951FA"/>
    <w:rsid w:val="003A1760"/>
    <w:rsid w:val="003A260C"/>
    <w:rsid w:val="003A474B"/>
    <w:rsid w:val="003A6176"/>
    <w:rsid w:val="003A7304"/>
    <w:rsid w:val="003A7F14"/>
    <w:rsid w:val="003B0339"/>
    <w:rsid w:val="003B05C4"/>
    <w:rsid w:val="003B0AF0"/>
    <w:rsid w:val="003B0B2B"/>
    <w:rsid w:val="003B2B70"/>
    <w:rsid w:val="003B34AA"/>
    <w:rsid w:val="003B734C"/>
    <w:rsid w:val="003B7839"/>
    <w:rsid w:val="003C2915"/>
    <w:rsid w:val="003C31F0"/>
    <w:rsid w:val="003C5CA8"/>
    <w:rsid w:val="003C6375"/>
    <w:rsid w:val="003C6538"/>
    <w:rsid w:val="003D16BF"/>
    <w:rsid w:val="003D5CF6"/>
    <w:rsid w:val="003D706D"/>
    <w:rsid w:val="003E00AD"/>
    <w:rsid w:val="003E0937"/>
    <w:rsid w:val="003E1E22"/>
    <w:rsid w:val="003F1088"/>
    <w:rsid w:val="003F1BE9"/>
    <w:rsid w:val="003F2EB7"/>
    <w:rsid w:val="00403665"/>
    <w:rsid w:val="0040595F"/>
    <w:rsid w:val="0041043E"/>
    <w:rsid w:val="00411D39"/>
    <w:rsid w:val="00414051"/>
    <w:rsid w:val="00414DD1"/>
    <w:rsid w:val="004160E1"/>
    <w:rsid w:val="00417B49"/>
    <w:rsid w:val="004229B0"/>
    <w:rsid w:val="00422FCD"/>
    <w:rsid w:val="0042555D"/>
    <w:rsid w:val="00430837"/>
    <w:rsid w:val="004317A2"/>
    <w:rsid w:val="0043599A"/>
    <w:rsid w:val="004450CB"/>
    <w:rsid w:val="00446324"/>
    <w:rsid w:val="00447CC4"/>
    <w:rsid w:val="004502B5"/>
    <w:rsid w:val="004528F5"/>
    <w:rsid w:val="00455A07"/>
    <w:rsid w:val="00460BC2"/>
    <w:rsid w:val="00466F83"/>
    <w:rsid w:val="004717BE"/>
    <w:rsid w:val="00473CAE"/>
    <w:rsid w:val="004760F2"/>
    <w:rsid w:val="004819B2"/>
    <w:rsid w:val="00487B57"/>
    <w:rsid w:val="00492771"/>
    <w:rsid w:val="004957D9"/>
    <w:rsid w:val="004A1A88"/>
    <w:rsid w:val="004A26D5"/>
    <w:rsid w:val="004A7BF9"/>
    <w:rsid w:val="004B09C4"/>
    <w:rsid w:val="004C2BD2"/>
    <w:rsid w:val="004C51F2"/>
    <w:rsid w:val="004C637B"/>
    <w:rsid w:val="004D47C2"/>
    <w:rsid w:val="004D6354"/>
    <w:rsid w:val="004D66E7"/>
    <w:rsid w:val="004E0744"/>
    <w:rsid w:val="004E2FB7"/>
    <w:rsid w:val="004E360F"/>
    <w:rsid w:val="004E3799"/>
    <w:rsid w:val="004F04CB"/>
    <w:rsid w:val="0051214C"/>
    <w:rsid w:val="005132D6"/>
    <w:rsid w:val="005211C2"/>
    <w:rsid w:val="00522FB3"/>
    <w:rsid w:val="00523438"/>
    <w:rsid w:val="00525DD5"/>
    <w:rsid w:val="005314FC"/>
    <w:rsid w:val="00533FE3"/>
    <w:rsid w:val="00536CCB"/>
    <w:rsid w:val="00540BC5"/>
    <w:rsid w:val="0054301D"/>
    <w:rsid w:val="005444DA"/>
    <w:rsid w:val="00545E50"/>
    <w:rsid w:val="00547041"/>
    <w:rsid w:val="00547563"/>
    <w:rsid w:val="005501EB"/>
    <w:rsid w:val="00550A29"/>
    <w:rsid w:val="00556485"/>
    <w:rsid w:val="005648D5"/>
    <w:rsid w:val="00566D5C"/>
    <w:rsid w:val="00566F00"/>
    <w:rsid w:val="0056726B"/>
    <w:rsid w:val="00571972"/>
    <w:rsid w:val="005731A9"/>
    <w:rsid w:val="00574C8E"/>
    <w:rsid w:val="005812F3"/>
    <w:rsid w:val="0058305A"/>
    <w:rsid w:val="005846DD"/>
    <w:rsid w:val="00584AD6"/>
    <w:rsid w:val="00586012"/>
    <w:rsid w:val="00593148"/>
    <w:rsid w:val="005955D6"/>
    <w:rsid w:val="005A0F7F"/>
    <w:rsid w:val="005A25C9"/>
    <w:rsid w:val="005A2F46"/>
    <w:rsid w:val="005A6A6E"/>
    <w:rsid w:val="005B0442"/>
    <w:rsid w:val="005B11A1"/>
    <w:rsid w:val="005B191A"/>
    <w:rsid w:val="005B1AC6"/>
    <w:rsid w:val="005B1E63"/>
    <w:rsid w:val="005B24D0"/>
    <w:rsid w:val="005B4D10"/>
    <w:rsid w:val="005B4D6A"/>
    <w:rsid w:val="005B55AE"/>
    <w:rsid w:val="005B660F"/>
    <w:rsid w:val="005B67D0"/>
    <w:rsid w:val="005C2C71"/>
    <w:rsid w:val="005C383C"/>
    <w:rsid w:val="005C4C12"/>
    <w:rsid w:val="005C7601"/>
    <w:rsid w:val="005D28FD"/>
    <w:rsid w:val="005D4E31"/>
    <w:rsid w:val="005D62BF"/>
    <w:rsid w:val="005E11A8"/>
    <w:rsid w:val="005F17B5"/>
    <w:rsid w:val="005F1806"/>
    <w:rsid w:val="005F29C2"/>
    <w:rsid w:val="005F32D8"/>
    <w:rsid w:val="005F443A"/>
    <w:rsid w:val="005F55FD"/>
    <w:rsid w:val="00603FAE"/>
    <w:rsid w:val="00605874"/>
    <w:rsid w:val="006077E2"/>
    <w:rsid w:val="0061733A"/>
    <w:rsid w:val="00624EF9"/>
    <w:rsid w:val="0062543F"/>
    <w:rsid w:val="00634691"/>
    <w:rsid w:val="006361D4"/>
    <w:rsid w:val="00636588"/>
    <w:rsid w:val="00640365"/>
    <w:rsid w:val="00647418"/>
    <w:rsid w:val="00654804"/>
    <w:rsid w:val="00655BF8"/>
    <w:rsid w:val="006600B1"/>
    <w:rsid w:val="00661351"/>
    <w:rsid w:val="00663669"/>
    <w:rsid w:val="00663B2E"/>
    <w:rsid w:val="006656D2"/>
    <w:rsid w:val="0067272C"/>
    <w:rsid w:val="00672CE1"/>
    <w:rsid w:val="006743FC"/>
    <w:rsid w:val="0067723A"/>
    <w:rsid w:val="00682BE9"/>
    <w:rsid w:val="00686377"/>
    <w:rsid w:val="00694738"/>
    <w:rsid w:val="00695A08"/>
    <w:rsid w:val="006A3B6A"/>
    <w:rsid w:val="006A4220"/>
    <w:rsid w:val="006A4822"/>
    <w:rsid w:val="006A5CDF"/>
    <w:rsid w:val="006A5FAE"/>
    <w:rsid w:val="006A749F"/>
    <w:rsid w:val="006A7823"/>
    <w:rsid w:val="006B05EB"/>
    <w:rsid w:val="006B3B07"/>
    <w:rsid w:val="006C12BF"/>
    <w:rsid w:val="006C301E"/>
    <w:rsid w:val="006C339B"/>
    <w:rsid w:val="006C434D"/>
    <w:rsid w:val="006C47FB"/>
    <w:rsid w:val="006C6E9E"/>
    <w:rsid w:val="006C7644"/>
    <w:rsid w:val="006D0B60"/>
    <w:rsid w:val="006D258C"/>
    <w:rsid w:val="006D2AED"/>
    <w:rsid w:val="006D5183"/>
    <w:rsid w:val="006D5B74"/>
    <w:rsid w:val="006D6517"/>
    <w:rsid w:val="006D6FF8"/>
    <w:rsid w:val="006E05CD"/>
    <w:rsid w:val="006E0FAA"/>
    <w:rsid w:val="006E57A4"/>
    <w:rsid w:val="0071208B"/>
    <w:rsid w:val="00716CF6"/>
    <w:rsid w:val="00721227"/>
    <w:rsid w:val="007223CC"/>
    <w:rsid w:val="00724E65"/>
    <w:rsid w:val="007251B9"/>
    <w:rsid w:val="00725FB9"/>
    <w:rsid w:val="0072789F"/>
    <w:rsid w:val="00730D2D"/>
    <w:rsid w:val="0073251A"/>
    <w:rsid w:val="00732944"/>
    <w:rsid w:val="00734AC4"/>
    <w:rsid w:val="00736730"/>
    <w:rsid w:val="007433D3"/>
    <w:rsid w:val="0074366F"/>
    <w:rsid w:val="00745066"/>
    <w:rsid w:val="00745B02"/>
    <w:rsid w:val="00755F6F"/>
    <w:rsid w:val="007568B1"/>
    <w:rsid w:val="00756C03"/>
    <w:rsid w:val="00761917"/>
    <w:rsid w:val="007621A7"/>
    <w:rsid w:val="00763CC4"/>
    <w:rsid w:val="00767254"/>
    <w:rsid w:val="00772A80"/>
    <w:rsid w:val="00773AF0"/>
    <w:rsid w:val="00775743"/>
    <w:rsid w:val="0077762C"/>
    <w:rsid w:val="0078718A"/>
    <w:rsid w:val="00792553"/>
    <w:rsid w:val="007968F3"/>
    <w:rsid w:val="007A4354"/>
    <w:rsid w:val="007A4EA4"/>
    <w:rsid w:val="007B07C3"/>
    <w:rsid w:val="007B16CF"/>
    <w:rsid w:val="007B1E02"/>
    <w:rsid w:val="007B6B3D"/>
    <w:rsid w:val="007C08A0"/>
    <w:rsid w:val="007C3433"/>
    <w:rsid w:val="007C4F5D"/>
    <w:rsid w:val="007C565C"/>
    <w:rsid w:val="007D0283"/>
    <w:rsid w:val="007D6933"/>
    <w:rsid w:val="007E1E5C"/>
    <w:rsid w:val="007E40EF"/>
    <w:rsid w:val="007E56DB"/>
    <w:rsid w:val="007F27E4"/>
    <w:rsid w:val="007F3265"/>
    <w:rsid w:val="007F53BD"/>
    <w:rsid w:val="0080056B"/>
    <w:rsid w:val="008036EA"/>
    <w:rsid w:val="008041BD"/>
    <w:rsid w:val="0080585C"/>
    <w:rsid w:val="00805C66"/>
    <w:rsid w:val="00812E7B"/>
    <w:rsid w:val="00813D62"/>
    <w:rsid w:val="008165D2"/>
    <w:rsid w:val="00817BEC"/>
    <w:rsid w:val="008204CC"/>
    <w:rsid w:val="0082177D"/>
    <w:rsid w:val="00822C27"/>
    <w:rsid w:val="00823EB4"/>
    <w:rsid w:val="00827D64"/>
    <w:rsid w:val="008327A6"/>
    <w:rsid w:val="008349A4"/>
    <w:rsid w:val="00840F25"/>
    <w:rsid w:val="00841970"/>
    <w:rsid w:val="00841E82"/>
    <w:rsid w:val="00842550"/>
    <w:rsid w:val="008438FB"/>
    <w:rsid w:val="00845C49"/>
    <w:rsid w:val="008468A1"/>
    <w:rsid w:val="008470BC"/>
    <w:rsid w:val="00856091"/>
    <w:rsid w:val="00863358"/>
    <w:rsid w:val="00865866"/>
    <w:rsid w:val="00867A6D"/>
    <w:rsid w:val="008727BE"/>
    <w:rsid w:val="00875F54"/>
    <w:rsid w:val="0088105C"/>
    <w:rsid w:val="00881390"/>
    <w:rsid w:val="00881F01"/>
    <w:rsid w:val="008835A8"/>
    <w:rsid w:val="00890C90"/>
    <w:rsid w:val="008925E9"/>
    <w:rsid w:val="008A375C"/>
    <w:rsid w:val="008A7E4E"/>
    <w:rsid w:val="008A7FCA"/>
    <w:rsid w:val="008B3CBF"/>
    <w:rsid w:val="008B519A"/>
    <w:rsid w:val="008B5487"/>
    <w:rsid w:val="008B6F06"/>
    <w:rsid w:val="008B7235"/>
    <w:rsid w:val="008C1F6C"/>
    <w:rsid w:val="008C287E"/>
    <w:rsid w:val="008C505B"/>
    <w:rsid w:val="008C52E1"/>
    <w:rsid w:val="008C5466"/>
    <w:rsid w:val="008D1E48"/>
    <w:rsid w:val="008D6C07"/>
    <w:rsid w:val="008D763C"/>
    <w:rsid w:val="008E0F84"/>
    <w:rsid w:val="008E4039"/>
    <w:rsid w:val="008E43B8"/>
    <w:rsid w:val="008E7F07"/>
    <w:rsid w:val="008F1A98"/>
    <w:rsid w:val="008F2E19"/>
    <w:rsid w:val="008F34BC"/>
    <w:rsid w:val="008F4A1A"/>
    <w:rsid w:val="008F6683"/>
    <w:rsid w:val="008F67BA"/>
    <w:rsid w:val="00903434"/>
    <w:rsid w:val="009066CF"/>
    <w:rsid w:val="0090729A"/>
    <w:rsid w:val="009073D9"/>
    <w:rsid w:val="0091232D"/>
    <w:rsid w:val="00916ABE"/>
    <w:rsid w:val="00916EE8"/>
    <w:rsid w:val="00920A65"/>
    <w:rsid w:val="009224E8"/>
    <w:rsid w:val="00923158"/>
    <w:rsid w:val="0092780E"/>
    <w:rsid w:val="009340D2"/>
    <w:rsid w:val="00942F2D"/>
    <w:rsid w:val="00945097"/>
    <w:rsid w:val="0094522A"/>
    <w:rsid w:val="0094632E"/>
    <w:rsid w:val="00950532"/>
    <w:rsid w:val="00951695"/>
    <w:rsid w:val="0096204F"/>
    <w:rsid w:val="009652A9"/>
    <w:rsid w:val="00966882"/>
    <w:rsid w:val="00967FCC"/>
    <w:rsid w:val="00971EE5"/>
    <w:rsid w:val="009721AF"/>
    <w:rsid w:val="00974AC5"/>
    <w:rsid w:val="00974D0A"/>
    <w:rsid w:val="0097544F"/>
    <w:rsid w:val="009769BB"/>
    <w:rsid w:val="00976E95"/>
    <w:rsid w:val="00976F7E"/>
    <w:rsid w:val="009776CE"/>
    <w:rsid w:val="0098246B"/>
    <w:rsid w:val="0098620D"/>
    <w:rsid w:val="009871B3"/>
    <w:rsid w:val="0099219F"/>
    <w:rsid w:val="0099399E"/>
    <w:rsid w:val="00996D71"/>
    <w:rsid w:val="0099790F"/>
    <w:rsid w:val="009A0422"/>
    <w:rsid w:val="009A09FB"/>
    <w:rsid w:val="009A4084"/>
    <w:rsid w:val="009A7FB7"/>
    <w:rsid w:val="009B0D63"/>
    <w:rsid w:val="009B1581"/>
    <w:rsid w:val="009B1A81"/>
    <w:rsid w:val="009B1F63"/>
    <w:rsid w:val="009B3966"/>
    <w:rsid w:val="009B47B0"/>
    <w:rsid w:val="009B670E"/>
    <w:rsid w:val="009C0151"/>
    <w:rsid w:val="009C3137"/>
    <w:rsid w:val="009C3247"/>
    <w:rsid w:val="009C4DEF"/>
    <w:rsid w:val="009C6069"/>
    <w:rsid w:val="009D08DC"/>
    <w:rsid w:val="009D2D92"/>
    <w:rsid w:val="009D3A1D"/>
    <w:rsid w:val="009D4EC5"/>
    <w:rsid w:val="009D62BE"/>
    <w:rsid w:val="009E257B"/>
    <w:rsid w:val="009E6FFE"/>
    <w:rsid w:val="009F0F9D"/>
    <w:rsid w:val="009F3B2E"/>
    <w:rsid w:val="009F44C3"/>
    <w:rsid w:val="009F6625"/>
    <w:rsid w:val="009F6B28"/>
    <w:rsid w:val="009F7C9D"/>
    <w:rsid w:val="00A02216"/>
    <w:rsid w:val="00A0598B"/>
    <w:rsid w:val="00A07343"/>
    <w:rsid w:val="00A117C2"/>
    <w:rsid w:val="00A1310A"/>
    <w:rsid w:val="00A17E7B"/>
    <w:rsid w:val="00A205A2"/>
    <w:rsid w:val="00A22DCE"/>
    <w:rsid w:val="00A2496E"/>
    <w:rsid w:val="00A32054"/>
    <w:rsid w:val="00A34C16"/>
    <w:rsid w:val="00A35576"/>
    <w:rsid w:val="00A37158"/>
    <w:rsid w:val="00A4386E"/>
    <w:rsid w:val="00A44F2C"/>
    <w:rsid w:val="00A4510E"/>
    <w:rsid w:val="00A46577"/>
    <w:rsid w:val="00A46904"/>
    <w:rsid w:val="00A5341C"/>
    <w:rsid w:val="00A550F0"/>
    <w:rsid w:val="00A620A9"/>
    <w:rsid w:val="00A6294D"/>
    <w:rsid w:val="00A6327D"/>
    <w:rsid w:val="00A66046"/>
    <w:rsid w:val="00A66F65"/>
    <w:rsid w:val="00A676E6"/>
    <w:rsid w:val="00A74F4A"/>
    <w:rsid w:val="00A7741D"/>
    <w:rsid w:val="00A77F7F"/>
    <w:rsid w:val="00A86AB7"/>
    <w:rsid w:val="00A86FD1"/>
    <w:rsid w:val="00A91135"/>
    <w:rsid w:val="00A9135E"/>
    <w:rsid w:val="00A92C16"/>
    <w:rsid w:val="00A9335E"/>
    <w:rsid w:val="00A97D06"/>
    <w:rsid w:val="00AA5DCD"/>
    <w:rsid w:val="00AA759E"/>
    <w:rsid w:val="00AA7BDC"/>
    <w:rsid w:val="00AB0422"/>
    <w:rsid w:val="00AB09F7"/>
    <w:rsid w:val="00AB2B9F"/>
    <w:rsid w:val="00AB3490"/>
    <w:rsid w:val="00AB3F88"/>
    <w:rsid w:val="00AB4029"/>
    <w:rsid w:val="00AB44DC"/>
    <w:rsid w:val="00AB5AD9"/>
    <w:rsid w:val="00AB6279"/>
    <w:rsid w:val="00AB6D91"/>
    <w:rsid w:val="00AC309F"/>
    <w:rsid w:val="00AC50DE"/>
    <w:rsid w:val="00AC5F7E"/>
    <w:rsid w:val="00AD2030"/>
    <w:rsid w:val="00AD237D"/>
    <w:rsid w:val="00AD59C8"/>
    <w:rsid w:val="00AD5F61"/>
    <w:rsid w:val="00AE0C7D"/>
    <w:rsid w:val="00AE29D6"/>
    <w:rsid w:val="00AE73F5"/>
    <w:rsid w:val="00AE7643"/>
    <w:rsid w:val="00AF43EF"/>
    <w:rsid w:val="00AF5B71"/>
    <w:rsid w:val="00AF6CA7"/>
    <w:rsid w:val="00AF7006"/>
    <w:rsid w:val="00AF7316"/>
    <w:rsid w:val="00B03075"/>
    <w:rsid w:val="00B03E10"/>
    <w:rsid w:val="00B04CA4"/>
    <w:rsid w:val="00B055C8"/>
    <w:rsid w:val="00B10195"/>
    <w:rsid w:val="00B110E0"/>
    <w:rsid w:val="00B17307"/>
    <w:rsid w:val="00B22C27"/>
    <w:rsid w:val="00B26991"/>
    <w:rsid w:val="00B308A5"/>
    <w:rsid w:val="00B31937"/>
    <w:rsid w:val="00B33818"/>
    <w:rsid w:val="00B35B40"/>
    <w:rsid w:val="00B42E3C"/>
    <w:rsid w:val="00B452ED"/>
    <w:rsid w:val="00B501AD"/>
    <w:rsid w:val="00B55D97"/>
    <w:rsid w:val="00B55F5F"/>
    <w:rsid w:val="00B57685"/>
    <w:rsid w:val="00B579F9"/>
    <w:rsid w:val="00B619B7"/>
    <w:rsid w:val="00B61B8E"/>
    <w:rsid w:val="00B6423D"/>
    <w:rsid w:val="00B6429B"/>
    <w:rsid w:val="00B66361"/>
    <w:rsid w:val="00B66E3C"/>
    <w:rsid w:val="00B7063C"/>
    <w:rsid w:val="00B711D2"/>
    <w:rsid w:val="00B76A06"/>
    <w:rsid w:val="00B814C5"/>
    <w:rsid w:val="00B81746"/>
    <w:rsid w:val="00B82392"/>
    <w:rsid w:val="00B83335"/>
    <w:rsid w:val="00B87D74"/>
    <w:rsid w:val="00B87E38"/>
    <w:rsid w:val="00B90940"/>
    <w:rsid w:val="00B91A47"/>
    <w:rsid w:val="00B92148"/>
    <w:rsid w:val="00B95084"/>
    <w:rsid w:val="00B9753A"/>
    <w:rsid w:val="00BA2194"/>
    <w:rsid w:val="00BA31C6"/>
    <w:rsid w:val="00BA424D"/>
    <w:rsid w:val="00BA4535"/>
    <w:rsid w:val="00BB028F"/>
    <w:rsid w:val="00BB3ECC"/>
    <w:rsid w:val="00BB67B4"/>
    <w:rsid w:val="00BB73EC"/>
    <w:rsid w:val="00BC0CAF"/>
    <w:rsid w:val="00BC38D9"/>
    <w:rsid w:val="00BC5582"/>
    <w:rsid w:val="00BC591E"/>
    <w:rsid w:val="00BD262B"/>
    <w:rsid w:val="00BD4CBF"/>
    <w:rsid w:val="00BD6707"/>
    <w:rsid w:val="00BD73C3"/>
    <w:rsid w:val="00BE2DFE"/>
    <w:rsid w:val="00BE5810"/>
    <w:rsid w:val="00BE5AAE"/>
    <w:rsid w:val="00BE5B83"/>
    <w:rsid w:val="00BE608D"/>
    <w:rsid w:val="00BE69A1"/>
    <w:rsid w:val="00BF07A6"/>
    <w:rsid w:val="00BF1D04"/>
    <w:rsid w:val="00BF29C3"/>
    <w:rsid w:val="00BF2D93"/>
    <w:rsid w:val="00BF3250"/>
    <w:rsid w:val="00BF4B8D"/>
    <w:rsid w:val="00BF5635"/>
    <w:rsid w:val="00BF6A3B"/>
    <w:rsid w:val="00C06DBD"/>
    <w:rsid w:val="00C12679"/>
    <w:rsid w:val="00C14640"/>
    <w:rsid w:val="00C15AF1"/>
    <w:rsid w:val="00C15B00"/>
    <w:rsid w:val="00C17B9B"/>
    <w:rsid w:val="00C17FB4"/>
    <w:rsid w:val="00C20817"/>
    <w:rsid w:val="00C21839"/>
    <w:rsid w:val="00C2289F"/>
    <w:rsid w:val="00C22903"/>
    <w:rsid w:val="00C23379"/>
    <w:rsid w:val="00C247DB"/>
    <w:rsid w:val="00C25550"/>
    <w:rsid w:val="00C27CB3"/>
    <w:rsid w:val="00C301CB"/>
    <w:rsid w:val="00C30D5D"/>
    <w:rsid w:val="00C405D0"/>
    <w:rsid w:val="00C41A91"/>
    <w:rsid w:val="00C41D7B"/>
    <w:rsid w:val="00C42BF7"/>
    <w:rsid w:val="00C4363C"/>
    <w:rsid w:val="00C43D35"/>
    <w:rsid w:val="00C45C0C"/>
    <w:rsid w:val="00C4684A"/>
    <w:rsid w:val="00C47DAF"/>
    <w:rsid w:val="00C56B78"/>
    <w:rsid w:val="00C615E6"/>
    <w:rsid w:val="00C62014"/>
    <w:rsid w:val="00C62814"/>
    <w:rsid w:val="00C62DE2"/>
    <w:rsid w:val="00C63997"/>
    <w:rsid w:val="00C63C26"/>
    <w:rsid w:val="00C66A00"/>
    <w:rsid w:val="00C66A33"/>
    <w:rsid w:val="00C7296D"/>
    <w:rsid w:val="00C72A99"/>
    <w:rsid w:val="00C81688"/>
    <w:rsid w:val="00C82CAA"/>
    <w:rsid w:val="00C83A44"/>
    <w:rsid w:val="00C84BD3"/>
    <w:rsid w:val="00C86FA5"/>
    <w:rsid w:val="00C91C3E"/>
    <w:rsid w:val="00C921D6"/>
    <w:rsid w:val="00C9315C"/>
    <w:rsid w:val="00C945D4"/>
    <w:rsid w:val="00C96014"/>
    <w:rsid w:val="00C97C15"/>
    <w:rsid w:val="00CA61F6"/>
    <w:rsid w:val="00CB1FA5"/>
    <w:rsid w:val="00CB5676"/>
    <w:rsid w:val="00CB61AC"/>
    <w:rsid w:val="00CB6C02"/>
    <w:rsid w:val="00CB72CE"/>
    <w:rsid w:val="00CB7731"/>
    <w:rsid w:val="00CC0EC3"/>
    <w:rsid w:val="00CC1A7C"/>
    <w:rsid w:val="00CC6BB5"/>
    <w:rsid w:val="00CC7DBE"/>
    <w:rsid w:val="00CD2973"/>
    <w:rsid w:val="00CD5ED0"/>
    <w:rsid w:val="00CD6C72"/>
    <w:rsid w:val="00CE01A5"/>
    <w:rsid w:val="00CE22D3"/>
    <w:rsid w:val="00CE5F5F"/>
    <w:rsid w:val="00CE6B10"/>
    <w:rsid w:val="00CF2D04"/>
    <w:rsid w:val="00CF34B1"/>
    <w:rsid w:val="00D01241"/>
    <w:rsid w:val="00D02098"/>
    <w:rsid w:val="00D049B7"/>
    <w:rsid w:val="00D055F6"/>
    <w:rsid w:val="00D10D89"/>
    <w:rsid w:val="00D14BFB"/>
    <w:rsid w:val="00D14DF7"/>
    <w:rsid w:val="00D23AA7"/>
    <w:rsid w:val="00D305D4"/>
    <w:rsid w:val="00D30A76"/>
    <w:rsid w:val="00D339A5"/>
    <w:rsid w:val="00D33BE0"/>
    <w:rsid w:val="00D4148A"/>
    <w:rsid w:val="00D42D77"/>
    <w:rsid w:val="00D435EA"/>
    <w:rsid w:val="00D53F81"/>
    <w:rsid w:val="00D638B7"/>
    <w:rsid w:val="00D64681"/>
    <w:rsid w:val="00D75C82"/>
    <w:rsid w:val="00D76C41"/>
    <w:rsid w:val="00D77375"/>
    <w:rsid w:val="00D90B8C"/>
    <w:rsid w:val="00D91CF9"/>
    <w:rsid w:val="00D92F9A"/>
    <w:rsid w:val="00D94084"/>
    <w:rsid w:val="00D955A3"/>
    <w:rsid w:val="00D96E9D"/>
    <w:rsid w:val="00D97DAE"/>
    <w:rsid w:val="00DA178A"/>
    <w:rsid w:val="00DA32F0"/>
    <w:rsid w:val="00DA5956"/>
    <w:rsid w:val="00DB0F76"/>
    <w:rsid w:val="00DB125F"/>
    <w:rsid w:val="00DB195D"/>
    <w:rsid w:val="00DB19D7"/>
    <w:rsid w:val="00DB2922"/>
    <w:rsid w:val="00DB3311"/>
    <w:rsid w:val="00DB3BAD"/>
    <w:rsid w:val="00DC0633"/>
    <w:rsid w:val="00DC3DE5"/>
    <w:rsid w:val="00DC5AF9"/>
    <w:rsid w:val="00DC703A"/>
    <w:rsid w:val="00DD0141"/>
    <w:rsid w:val="00DD0BC4"/>
    <w:rsid w:val="00DD0EE1"/>
    <w:rsid w:val="00DD3533"/>
    <w:rsid w:val="00DD39CC"/>
    <w:rsid w:val="00DD66B1"/>
    <w:rsid w:val="00DE0DB5"/>
    <w:rsid w:val="00DE370E"/>
    <w:rsid w:val="00DE4CF0"/>
    <w:rsid w:val="00DE60AA"/>
    <w:rsid w:val="00DE7BDE"/>
    <w:rsid w:val="00DF06B7"/>
    <w:rsid w:val="00DF668A"/>
    <w:rsid w:val="00E008B1"/>
    <w:rsid w:val="00E02C2E"/>
    <w:rsid w:val="00E0385D"/>
    <w:rsid w:val="00E04668"/>
    <w:rsid w:val="00E063BF"/>
    <w:rsid w:val="00E07FBF"/>
    <w:rsid w:val="00E12AFA"/>
    <w:rsid w:val="00E16B14"/>
    <w:rsid w:val="00E17077"/>
    <w:rsid w:val="00E20668"/>
    <w:rsid w:val="00E20D0A"/>
    <w:rsid w:val="00E210E1"/>
    <w:rsid w:val="00E2154B"/>
    <w:rsid w:val="00E23F79"/>
    <w:rsid w:val="00E24099"/>
    <w:rsid w:val="00E2443E"/>
    <w:rsid w:val="00E255A0"/>
    <w:rsid w:val="00E25B4A"/>
    <w:rsid w:val="00E30955"/>
    <w:rsid w:val="00E31C47"/>
    <w:rsid w:val="00E33F9A"/>
    <w:rsid w:val="00E34AFF"/>
    <w:rsid w:val="00E36D74"/>
    <w:rsid w:val="00E40B15"/>
    <w:rsid w:val="00E4378D"/>
    <w:rsid w:val="00E52082"/>
    <w:rsid w:val="00E525E7"/>
    <w:rsid w:val="00E54823"/>
    <w:rsid w:val="00E617B8"/>
    <w:rsid w:val="00E63730"/>
    <w:rsid w:val="00E63BB3"/>
    <w:rsid w:val="00E67942"/>
    <w:rsid w:val="00E67D97"/>
    <w:rsid w:val="00E67EA3"/>
    <w:rsid w:val="00E71CDF"/>
    <w:rsid w:val="00E74E37"/>
    <w:rsid w:val="00E81A1A"/>
    <w:rsid w:val="00E879BE"/>
    <w:rsid w:val="00E87A9C"/>
    <w:rsid w:val="00E87AE1"/>
    <w:rsid w:val="00E91001"/>
    <w:rsid w:val="00E92A15"/>
    <w:rsid w:val="00EA0230"/>
    <w:rsid w:val="00EA4A62"/>
    <w:rsid w:val="00EA720F"/>
    <w:rsid w:val="00EB448E"/>
    <w:rsid w:val="00EC02BF"/>
    <w:rsid w:val="00EC16DD"/>
    <w:rsid w:val="00EC6E8B"/>
    <w:rsid w:val="00ED0148"/>
    <w:rsid w:val="00ED0A8A"/>
    <w:rsid w:val="00ED0B44"/>
    <w:rsid w:val="00ED1EC9"/>
    <w:rsid w:val="00ED2120"/>
    <w:rsid w:val="00ED2A18"/>
    <w:rsid w:val="00ED3969"/>
    <w:rsid w:val="00ED44E4"/>
    <w:rsid w:val="00ED46EB"/>
    <w:rsid w:val="00ED60BF"/>
    <w:rsid w:val="00ED6C14"/>
    <w:rsid w:val="00EE0D4B"/>
    <w:rsid w:val="00EE1784"/>
    <w:rsid w:val="00EE2307"/>
    <w:rsid w:val="00EE2790"/>
    <w:rsid w:val="00EE40F6"/>
    <w:rsid w:val="00EE56BA"/>
    <w:rsid w:val="00EE6BD0"/>
    <w:rsid w:val="00F03FB2"/>
    <w:rsid w:val="00F04F60"/>
    <w:rsid w:val="00F12A58"/>
    <w:rsid w:val="00F14546"/>
    <w:rsid w:val="00F179C6"/>
    <w:rsid w:val="00F17A81"/>
    <w:rsid w:val="00F21172"/>
    <w:rsid w:val="00F2316F"/>
    <w:rsid w:val="00F23718"/>
    <w:rsid w:val="00F2535D"/>
    <w:rsid w:val="00F260C6"/>
    <w:rsid w:val="00F26433"/>
    <w:rsid w:val="00F264BD"/>
    <w:rsid w:val="00F26894"/>
    <w:rsid w:val="00F26AB8"/>
    <w:rsid w:val="00F30220"/>
    <w:rsid w:val="00F30A8D"/>
    <w:rsid w:val="00F30C30"/>
    <w:rsid w:val="00F342C7"/>
    <w:rsid w:val="00F35AB2"/>
    <w:rsid w:val="00F36CBD"/>
    <w:rsid w:val="00F37200"/>
    <w:rsid w:val="00F4158C"/>
    <w:rsid w:val="00F4197C"/>
    <w:rsid w:val="00F43395"/>
    <w:rsid w:val="00F433D4"/>
    <w:rsid w:val="00F43C0D"/>
    <w:rsid w:val="00F43CBF"/>
    <w:rsid w:val="00F44710"/>
    <w:rsid w:val="00F45374"/>
    <w:rsid w:val="00F46918"/>
    <w:rsid w:val="00F53643"/>
    <w:rsid w:val="00F57811"/>
    <w:rsid w:val="00F60D54"/>
    <w:rsid w:val="00F6161B"/>
    <w:rsid w:val="00F62423"/>
    <w:rsid w:val="00F62AAA"/>
    <w:rsid w:val="00F64224"/>
    <w:rsid w:val="00F700E5"/>
    <w:rsid w:val="00F73305"/>
    <w:rsid w:val="00F73E8A"/>
    <w:rsid w:val="00F75F19"/>
    <w:rsid w:val="00F80E49"/>
    <w:rsid w:val="00F813C9"/>
    <w:rsid w:val="00F8405A"/>
    <w:rsid w:val="00F906C3"/>
    <w:rsid w:val="00F93B6E"/>
    <w:rsid w:val="00F93BCC"/>
    <w:rsid w:val="00F945C7"/>
    <w:rsid w:val="00F9657B"/>
    <w:rsid w:val="00F978B7"/>
    <w:rsid w:val="00FA1627"/>
    <w:rsid w:val="00FA3161"/>
    <w:rsid w:val="00FA32DD"/>
    <w:rsid w:val="00FA3978"/>
    <w:rsid w:val="00FA3CB6"/>
    <w:rsid w:val="00FA798D"/>
    <w:rsid w:val="00FA7BD8"/>
    <w:rsid w:val="00FB0458"/>
    <w:rsid w:val="00FB0EF8"/>
    <w:rsid w:val="00FB2A1D"/>
    <w:rsid w:val="00FB6822"/>
    <w:rsid w:val="00FB741D"/>
    <w:rsid w:val="00FC198C"/>
    <w:rsid w:val="00FC2CD8"/>
    <w:rsid w:val="00FC3440"/>
    <w:rsid w:val="00FC36E4"/>
    <w:rsid w:val="00FC708B"/>
    <w:rsid w:val="00FC76CE"/>
    <w:rsid w:val="00FD04F6"/>
    <w:rsid w:val="00FD743E"/>
    <w:rsid w:val="00FE2B8A"/>
    <w:rsid w:val="00FE696E"/>
    <w:rsid w:val="00FF0FA2"/>
    <w:rsid w:val="00FF2509"/>
    <w:rsid w:val="00FF3BB2"/>
    <w:rsid w:val="00FF3C7B"/>
    <w:rsid w:val="00FF52B0"/>
    <w:rsid w:val="00FF645D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88AA593-8997-4239-8683-C25DF72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7A9C"/>
  </w:style>
  <w:style w:type="paragraph" w:styleId="Ttulo1">
    <w:name w:val="heading 1"/>
    <w:basedOn w:val="Prrafodelista"/>
    <w:next w:val="Normal"/>
    <w:link w:val="Ttulo1Car"/>
    <w:qFormat/>
    <w:rsid w:val="00C41A91"/>
    <w:pPr>
      <w:spacing w:after="0" w:line="360" w:lineRule="auto"/>
      <w:ind w:left="0"/>
      <w:jc w:val="both"/>
      <w:outlineLvl w:val="0"/>
    </w:pPr>
    <w:rPr>
      <w:rFonts w:ascii="Arial" w:hAnsi="Arial" w:cs="Arial"/>
      <w:b/>
      <w:sz w:val="28"/>
      <w:szCs w:val="24"/>
    </w:rPr>
  </w:style>
  <w:style w:type="paragraph" w:styleId="Ttulo2">
    <w:name w:val="heading 2"/>
    <w:basedOn w:val="Prrafodelista"/>
    <w:next w:val="Normal"/>
    <w:link w:val="Ttulo2Car"/>
    <w:qFormat/>
    <w:rsid w:val="00C41A91"/>
    <w:pPr>
      <w:numPr>
        <w:numId w:val="2"/>
      </w:numPr>
      <w:spacing w:after="0" w:line="360" w:lineRule="auto"/>
      <w:ind w:left="644"/>
      <w:jc w:val="both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1E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30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1A91"/>
    <w:rPr>
      <w:rFonts w:ascii="Arial" w:hAnsi="Arial" w:cs="Arial"/>
      <w:b/>
      <w:sz w:val="28"/>
      <w:szCs w:val="24"/>
    </w:rPr>
  </w:style>
  <w:style w:type="character" w:customStyle="1" w:styleId="Ttulo2Car">
    <w:name w:val="Título 2 Car"/>
    <w:basedOn w:val="Fuentedeprrafopredeter"/>
    <w:link w:val="Ttulo2"/>
    <w:rsid w:val="00C41A91"/>
    <w:rPr>
      <w:rFonts w:ascii="Arial" w:hAnsi="Arial" w:cs="Arial"/>
      <w:b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C41A91"/>
    <w:pPr>
      <w:ind w:left="720"/>
      <w:contextualSpacing/>
    </w:pPr>
  </w:style>
  <w:style w:type="paragraph" w:styleId="Textonotapie">
    <w:name w:val="footnote text"/>
    <w:aliases w:val="fn,fn Car Car,ALTS FOOTNOTE,Footnote Text 2,Footnote ak"/>
    <w:basedOn w:val="Normal"/>
    <w:link w:val="TextonotapieCar1"/>
    <w:qFormat/>
    <w:rsid w:val="00F179C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semiHidden/>
    <w:rsid w:val="00F179C6"/>
    <w:rPr>
      <w:sz w:val="20"/>
      <w:szCs w:val="20"/>
      <w:lang w:val="es-ES"/>
    </w:rPr>
  </w:style>
  <w:style w:type="character" w:customStyle="1" w:styleId="TextonotapieCar1">
    <w:name w:val="Texto nota pie Car1"/>
    <w:aliases w:val="fn Car,fn Car Car Car,ALTS FOOTNOTE Car,Footnote Text 2 Car,Footnote ak Car"/>
    <w:basedOn w:val="Fuentedeprrafopredeter"/>
    <w:link w:val="Textonotapie"/>
    <w:locked/>
    <w:rsid w:val="00F179C6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(Ref. de nota al pie),Ref,de nota al pie"/>
    <w:basedOn w:val="Fuentedeprrafopredeter"/>
    <w:qFormat/>
    <w:rsid w:val="00F179C6"/>
    <w:rPr>
      <w:rFonts w:cs="Times New Roman"/>
      <w:vertAlign w:val="superscript"/>
    </w:rPr>
  </w:style>
  <w:style w:type="character" w:customStyle="1" w:styleId="PrrafodelistaCar">
    <w:name w:val="Párrafo de lista Car"/>
    <w:link w:val="Prrafodelista"/>
    <w:uiPriority w:val="34"/>
    <w:rsid w:val="00F179C6"/>
    <w:rPr>
      <w:lang w:val="es-ES"/>
    </w:rPr>
  </w:style>
  <w:style w:type="table" w:styleId="Tablaconcuadrcula">
    <w:name w:val="Table Grid"/>
    <w:basedOn w:val="Tablanormal"/>
    <w:uiPriority w:val="59"/>
    <w:rsid w:val="00F179C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E48"/>
    <w:rPr>
      <w:rFonts w:ascii="Tahoma" w:hAnsi="Tahoma" w:cs="Tahoma"/>
      <w:sz w:val="16"/>
      <w:szCs w:val="1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D1E48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1E48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1E48"/>
    <w:rPr>
      <w:rFonts w:ascii="Times New Roman" w:hAnsi="Times New Roman" w:cs="Times New Roman"/>
      <w:sz w:val="24"/>
      <w:szCs w:val="24"/>
      <w:lang w:eastAsia="es-SV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B0AF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B0AF0"/>
    <w:rPr>
      <w:lang w:val="es-ES"/>
    </w:rPr>
  </w:style>
  <w:style w:type="paragraph" w:styleId="NormalWeb">
    <w:name w:val="Normal (Web)"/>
    <w:basedOn w:val="Normal"/>
    <w:rsid w:val="004D66E7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D66E7"/>
    <w:rPr>
      <w:rFonts w:cs="Times New Roman"/>
      <w:i/>
      <w:iCs/>
    </w:rPr>
  </w:style>
  <w:style w:type="paragraph" w:customStyle="1" w:styleId="listparagraph">
    <w:name w:val="listparagraph"/>
    <w:basedOn w:val="Normal"/>
    <w:uiPriority w:val="99"/>
    <w:rsid w:val="004D66E7"/>
    <w:pPr>
      <w:ind w:left="720"/>
    </w:pPr>
    <w:rPr>
      <w:rFonts w:ascii="Calibri" w:eastAsia="Calibri" w:hAnsi="Calibri" w:cs="Calibri"/>
    </w:rPr>
  </w:style>
  <w:style w:type="character" w:styleId="Textoennegrita">
    <w:name w:val="Strong"/>
    <w:basedOn w:val="Fuentedeprrafopredeter"/>
    <w:uiPriority w:val="22"/>
    <w:qFormat/>
    <w:rsid w:val="00BF07A6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6C30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sid w:val="006C30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301E"/>
    <w:pPr>
      <w:spacing w:line="240" w:lineRule="auto"/>
    </w:pPr>
    <w:rPr>
      <w:rFonts w:ascii="Arial" w:eastAsiaTheme="minorHAnsi" w:hAnsi="Arial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301E"/>
    <w:rPr>
      <w:rFonts w:ascii="Arial" w:eastAsiaTheme="minorHAnsi" w:hAnsi="Arial"/>
      <w:sz w:val="20"/>
      <w:szCs w:val="20"/>
      <w:lang w:val="es-ES" w:eastAsia="en-US"/>
    </w:rPr>
  </w:style>
  <w:style w:type="paragraph" w:customStyle="1" w:styleId="Default">
    <w:name w:val="Default"/>
    <w:rsid w:val="00EA4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comentario1">
    <w:name w:val="Texto comentario1"/>
    <w:basedOn w:val="Normal"/>
    <w:next w:val="Textocomentario"/>
    <w:uiPriority w:val="99"/>
    <w:unhideWhenUsed/>
    <w:rsid w:val="00E36D74"/>
    <w:pPr>
      <w:spacing w:line="240" w:lineRule="auto"/>
    </w:pPr>
    <w:rPr>
      <w:rFonts w:ascii="Arial" w:eastAsia="Calibri" w:hAnsi="Arial"/>
      <w:sz w:val="20"/>
      <w:szCs w:val="20"/>
      <w:lang w:val="es-ES"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97544F"/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C45C0C"/>
    <w:rPr>
      <w:color w:val="0563C1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36CBD"/>
    <w:pPr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6CBD"/>
    <w:rPr>
      <w:rFonts w:ascii="Courier New" w:eastAsiaTheme="minorHAnsi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64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C1B"/>
  </w:style>
  <w:style w:type="paragraph" w:styleId="Piedepgina">
    <w:name w:val="footer"/>
    <w:basedOn w:val="Normal"/>
    <w:link w:val="PiedepginaCar"/>
    <w:uiPriority w:val="99"/>
    <w:unhideWhenUsed/>
    <w:rsid w:val="00064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11B0-3A20-42B7-B253-1AAA8F55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1</Pages>
  <Words>2766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Martinez</dc:creator>
  <cp:lastModifiedBy>Roxana Martinez</cp:lastModifiedBy>
  <cp:revision>28</cp:revision>
  <cp:lastPrinted>2018-06-26T19:49:00Z</cp:lastPrinted>
  <dcterms:created xsi:type="dcterms:W3CDTF">2017-11-14T21:43:00Z</dcterms:created>
  <dcterms:modified xsi:type="dcterms:W3CDTF">2018-06-26T19:54:00Z</dcterms:modified>
</cp:coreProperties>
</file>