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91" w:rsidRPr="007C08A0" w:rsidRDefault="00856091" w:rsidP="00F34171">
      <w:pPr>
        <w:jc w:val="both"/>
        <w:rPr>
          <w:rFonts w:cstheme="minorHAnsi"/>
          <w:b/>
          <w:sz w:val="24"/>
          <w:szCs w:val="24"/>
        </w:rPr>
      </w:pPr>
      <w:r w:rsidRPr="007C08A0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1992249</wp:posOffset>
            </wp:positionH>
            <wp:positionV relativeFrom="paragraph">
              <wp:posOffset>80442</wp:posOffset>
            </wp:positionV>
            <wp:extent cx="1389888" cy="1163117"/>
            <wp:effectExtent l="19050" t="0" r="762" b="0"/>
            <wp:wrapNone/>
            <wp:docPr id="11" name="Imagen 1" descr="C:\Documents and Settings\lhurtado\Configuración local\Archivos temporales de Internet\Content.Outlook\EKFFFY03\LOGOTIPO SC VERTIC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hurtado\Configuración local\Archivos temporales de Internet\Content.Outlook\EKFFFY03\LOGOTIPO SC VERTIC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116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091" w:rsidRPr="007C08A0" w:rsidRDefault="00856091" w:rsidP="00F34171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F34171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F34171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F34171">
      <w:pPr>
        <w:jc w:val="both"/>
        <w:rPr>
          <w:rFonts w:cstheme="minorHAnsi"/>
          <w:sz w:val="24"/>
          <w:szCs w:val="24"/>
        </w:rPr>
      </w:pPr>
    </w:p>
    <w:p w:rsidR="00856091" w:rsidRPr="007C08A0" w:rsidRDefault="00856091" w:rsidP="00F34171">
      <w:pPr>
        <w:jc w:val="both"/>
        <w:rPr>
          <w:rFonts w:cstheme="minorHAnsi"/>
          <w:sz w:val="24"/>
          <w:szCs w:val="24"/>
        </w:rPr>
      </w:pPr>
    </w:p>
    <w:p w:rsidR="007C08A0" w:rsidRDefault="007C08A0" w:rsidP="00F34171">
      <w:pPr>
        <w:jc w:val="both"/>
        <w:rPr>
          <w:rFonts w:cstheme="minorHAnsi"/>
          <w:b/>
          <w:sz w:val="24"/>
          <w:szCs w:val="24"/>
        </w:rPr>
      </w:pPr>
    </w:p>
    <w:p w:rsidR="007C08A0" w:rsidRDefault="007C08A0" w:rsidP="00F34171">
      <w:pPr>
        <w:jc w:val="both"/>
        <w:rPr>
          <w:rFonts w:cstheme="minorHAnsi"/>
          <w:b/>
          <w:sz w:val="24"/>
          <w:szCs w:val="24"/>
        </w:rPr>
      </w:pPr>
    </w:p>
    <w:p w:rsidR="007C08A0" w:rsidRDefault="007C08A0" w:rsidP="00F34171">
      <w:pPr>
        <w:jc w:val="both"/>
        <w:rPr>
          <w:rFonts w:cstheme="minorHAnsi"/>
          <w:b/>
          <w:sz w:val="24"/>
          <w:szCs w:val="24"/>
        </w:rPr>
      </w:pPr>
    </w:p>
    <w:p w:rsidR="00F35AB2" w:rsidRPr="006C7644" w:rsidRDefault="00DB19D7" w:rsidP="00F34171">
      <w:pPr>
        <w:jc w:val="center"/>
        <w:rPr>
          <w:rFonts w:cstheme="minorHAnsi"/>
          <w:b/>
          <w:sz w:val="40"/>
          <w:szCs w:val="24"/>
        </w:rPr>
      </w:pPr>
      <w:r w:rsidRPr="006A3B6A">
        <w:rPr>
          <w:rFonts w:ascii="Arial" w:hAnsi="Arial" w:cs="Arial"/>
          <w:b/>
          <w:sz w:val="40"/>
          <w:szCs w:val="24"/>
        </w:rPr>
        <w:t xml:space="preserve">Informe de </w:t>
      </w:r>
      <w:r w:rsidR="00FA3978">
        <w:rPr>
          <w:rFonts w:ascii="Arial" w:hAnsi="Arial" w:cs="Arial"/>
          <w:b/>
          <w:sz w:val="40"/>
          <w:szCs w:val="24"/>
        </w:rPr>
        <w:t xml:space="preserve">seguimiento y </w:t>
      </w:r>
      <w:r w:rsidRPr="006A3B6A">
        <w:rPr>
          <w:rFonts w:ascii="Arial" w:hAnsi="Arial" w:cs="Arial"/>
          <w:b/>
          <w:sz w:val="40"/>
          <w:szCs w:val="24"/>
        </w:rPr>
        <w:t xml:space="preserve">evaluación </w:t>
      </w:r>
      <w:r w:rsidR="00E2154B">
        <w:rPr>
          <w:rFonts w:ascii="Arial" w:hAnsi="Arial" w:cs="Arial"/>
          <w:b/>
          <w:sz w:val="40"/>
          <w:szCs w:val="24"/>
        </w:rPr>
        <w:t>del PEI y POA</w:t>
      </w:r>
      <w:r w:rsidR="00F90A7A">
        <w:rPr>
          <w:rFonts w:ascii="Arial" w:hAnsi="Arial" w:cs="Arial"/>
          <w:b/>
          <w:sz w:val="40"/>
          <w:szCs w:val="24"/>
        </w:rPr>
        <w:t xml:space="preserve"> de </w:t>
      </w:r>
      <w:r w:rsidR="00F35AB2" w:rsidRPr="006A3B6A">
        <w:rPr>
          <w:rFonts w:ascii="Arial" w:hAnsi="Arial" w:cs="Arial"/>
          <w:b/>
          <w:sz w:val="40"/>
          <w:szCs w:val="24"/>
        </w:rPr>
        <w:t>201</w:t>
      </w:r>
      <w:r w:rsidR="00EC02BF">
        <w:rPr>
          <w:rFonts w:ascii="Arial" w:hAnsi="Arial" w:cs="Arial"/>
          <w:b/>
          <w:sz w:val="40"/>
          <w:szCs w:val="24"/>
        </w:rPr>
        <w:t>7</w:t>
      </w:r>
      <w:r w:rsidR="00F34171">
        <w:rPr>
          <w:rFonts w:ascii="Arial" w:hAnsi="Arial" w:cs="Arial"/>
          <w:b/>
          <w:sz w:val="40"/>
          <w:szCs w:val="24"/>
        </w:rPr>
        <w:t>.</w:t>
      </w:r>
    </w:p>
    <w:p w:rsidR="0074366F" w:rsidRPr="007C08A0" w:rsidRDefault="00856091" w:rsidP="00F341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08A0">
        <w:rPr>
          <w:rFonts w:cstheme="minorHAnsi"/>
          <w:b/>
          <w:bCs/>
          <w:sz w:val="24"/>
          <w:szCs w:val="24"/>
        </w:rPr>
        <w:br w:type="page"/>
      </w:r>
    </w:p>
    <w:p w:rsidR="00BE5AAE" w:rsidRDefault="00566F00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3B6A">
        <w:rPr>
          <w:rFonts w:ascii="Arial" w:hAnsi="Arial" w:cs="Arial"/>
          <w:b/>
          <w:sz w:val="24"/>
          <w:szCs w:val="24"/>
        </w:rPr>
        <w:t>Int</w:t>
      </w:r>
      <w:r w:rsidR="006A3B6A">
        <w:rPr>
          <w:rFonts w:ascii="Arial" w:hAnsi="Arial" w:cs="Arial"/>
          <w:b/>
          <w:sz w:val="24"/>
          <w:szCs w:val="24"/>
        </w:rPr>
        <w:t>roducción.</w:t>
      </w:r>
    </w:p>
    <w:p w:rsidR="006A3B6A" w:rsidRPr="006A3B6A" w:rsidRDefault="006A3B6A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9F7" w:rsidRDefault="00B87E38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B6A">
        <w:rPr>
          <w:rFonts w:ascii="Arial" w:hAnsi="Arial" w:cs="Arial"/>
          <w:sz w:val="24"/>
          <w:szCs w:val="24"/>
        </w:rPr>
        <w:t>E</w:t>
      </w:r>
      <w:r w:rsidR="00AB09F7">
        <w:rPr>
          <w:rFonts w:ascii="Arial" w:hAnsi="Arial" w:cs="Arial"/>
          <w:sz w:val="24"/>
          <w:szCs w:val="24"/>
        </w:rPr>
        <w:t xml:space="preserve">n cumplimiento de la función de monitorear, dar seguimiento y evaluar sus actuaciones, la Superintendencia de Competencia (SC) presenta el siguiente </w:t>
      </w:r>
      <w:r w:rsidRPr="006A3B6A">
        <w:rPr>
          <w:rFonts w:ascii="Arial" w:hAnsi="Arial" w:cs="Arial"/>
          <w:sz w:val="24"/>
          <w:szCs w:val="24"/>
        </w:rPr>
        <w:t>documento</w:t>
      </w:r>
      <w:r w:rsidR="00AB09F7">
        <w:rPr>
          <w:rFonts w:ascii="Arial" w:hAnsi="Arial" w:cs="Arial"/>
          <w:sz w:val="24"/>
          <w:szCs w:val="24"/>
        </w:rPr>
        <w:t>,</w:t>
      </w:r>
      <w:r w:rsidRPr="006A3B6A">
        <w:rPr>
          <w:rFonts w:ascii="Arial" w:hAnsi="Arial" w:cs="Arial"/>
          <w:sz w:val="24"/>
          <w:szCs w:val="24"/>
        </w:rPr>
        <w:t xml:space="preserve"> </w:t>
      </w:r>
      <w:r w:rsidR="00AB09F7">
        <w:rPr>
          <w:rFonts w:ascii="Arial" w:hAnsi="Arial" w:cs="Arial"/>
          <w:sz w:val="24"/>
          <w:szCs w:val="24"/>
        </w:rPr>
        <w:t xml:space="preserve">que </w:t>
      </w:r>
      <w:r w:rsidRPr="006A3B6A">
        <w:rPr>
          <w:rFonts w:ascii="Arial" w:hAnsi="Arial" w:cs="Arial"/>
          <w:sz w:val="24"/>
          <w:szCs w:val="24"/>
        </w:rPr>
        <w:t xml:space="preserve">contiene los resultados obtenidos </w:t>
      </w:r>
      <w:r w:rsidR="00AB09F7">
        <w:rPr>
          <w:rFonts w:ascii="Arial" w:hAnsi="Arial" w:cs="Arial"/>
          <w:sz w:val="24"/>
          <w:szCs w:val="24"/>
        </w:rPr>
        <w:t xml:space="preserve">en la evaluación del cumplimiento </w:t>
      </w:r>
      <w:r w:rsidRPr="006A3B6A">
        <w:rPr>
          <w:rFonts w:ascii="Arial" w:hAnsi="Arial" w:cs="Arial"/>
          <w:sz w:val="24"/>
          <w:szCs w:val="24"/>
        </w:rPr>
        <w:t xml:space="preserve">del </w:t>
      </w:r>
      <w:r w:rsidR="00EE56BA">
        <w:rPr>
          <w:rFonts w:ascii="Arial" w:hAnsi="Arial" w:cs="Arial"/>
          <w:sz w:val="24"/>
          <w:szCs w:val="24"/>
        </w:rPr>
        <w:t>p</w:t>
      </w:r>
      <w:r w:rsidRPr="006A3B6A">
        <w:rPr>
          <w:rFonts w:ascii="Arial" w:hAnsi="Arial" w:cs="Arial"/>
          <w:sz w:val="24"/>
          <w:szCs w:val="24"/>
        </w:rPr>
        <w:t xml:space="preserve">lan </w:t>
      </w:r>
      <w:r w:rsidR="00EE56BA">
        <w:rPr>
          <w:rFonts w:ascii="Arial" w:hAnsi="Arial" w:cs="Arial"/>
          <w:sz w:val="24"/>
          <w:szCs w:val="24"/>
        </w:rPr>
        <w:t>o</w:t>
      </w:r>
      <w:r w:rsidRPr="006A3B6A">
        <w:rPr>
          <w:rFonts w:ascii="Arial" w:hAnsi="Arial" w:cs="Arial"/>
          <w:sz w:val="24"/>
          <w:szCs w:val="24"/>
        </w:rPr>
        <w:t xml:space="preserve">perativo </w:t>
      </w:r>
      <w:r w:rsidR="00FC198C">
        <w:rPr>
          <w:rFonts w:ascii="Arial" w:hAnsi="Arial" w:cs="Arial"/>
          <w:sz w:val="24"/>
          <w:szCs w:val="24"/>
        </w:rPr>
        <w:t xml:space="preserve">y del Plan Estratégico </w:t>
      </w:r>
      <w:r w:rsidR="00414DD1" w:rsidRPr="006A3B6A">
        <w:rPr>
          <w:rFonts w:ascii="Arial" w:hAnsi="Arial" w:cs="Arial"/>
          <w:sz w:val="24"/>
          <w:szCs w:val="24"/>
        </w:rPr>
        <w:t xml:space="preserve">de la </w:t>
      </w:r>
      <w:r w:rsidR="00414DD1">
        <w:rPr>
          <w:rFonts w:ascii="Arial" w:hAnsi="Arial" w:cs="Arial"/>
          <w:sz w:val="24"/>
          <w:szCs w:val="24"/>
        </w:rPr>
        <w:t xml:space="preserve">institución </w:t>
      </w:r>
      <w:r w:rsidR="00AB09F7">
        <w:rPr>
          <w:rFonts w:ascii="Arial" w:hAnsi="Arial" w:cs="Arial"/>
          <w:sz w:val="24"/>
          <w:szCs w:val="24"/>
        </w:rPr>
        <w:t xml:space="preserve">durante </w:t>
      </w:r>
      <w:r w:rsidR="00AB09F7" w:rsidRPr="006A3B6A">
        <w:rPr>
          <w:rFonts w:ascii="Arial" w:hAnsi="Arial" w:cs="Arial"/>
          <w:sz w:val="24"/>
          <w:szCs w:val="24"/>
        </w:rPr>
        <w:t xml:space="preserve">el </w:t>
      </w:r>
      <w:r w:rsidR="0074637E">
        <w:rPr>
          <w:rFonts w:ascii="Arial" w:hAnsi="Arial" w:cs="Arial"/>
          <w:sz w:val="24"/>
          <w:szCs w:val="24"/>
        </w:rPr>
        <w:t>año</w:t>
      </w:r>
      <w:r w:rsidR="00EC02BF">
        <w:rPr>
          <w:rFonts w:ascii="Arial" w:hAnsi="Arial" w:cs="Arial"/>
          <w:sz w:val="24"/>
          <w:szCs w:val="24"/>
        </w:rPr>
        <w:t xml:space="preserve"> 2017</w:t>
      </w:r>
      <w:r w:rsidR="00AB09F7">
        <w:rPr>
          <w:rFonts w:ascii="Arial" w:hAnsi="Arial" w:cs="Arial"/>
          <w:sz w:val="24"/>
          <w:szCs w:val="24"/>
        </w:rPr>
        <w:t>.</w:t>
      </w:r>
    </w:p>
    <w:p w:rsidR="00AB09F7" w:rsidRDefault="00AB09F7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56BA" w:rsidRDefault="00EE56BA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un mejor desarrollo y comprensión de ese proceso</w:t>
      </w:r>
      <w:r w:rsidR="00B87E38" w:rsidRPr="006A3B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ha realizado</w:t>
      </w:r>
      <w:r w:rsidR="00B87E38" w:rsidRPr="006A3B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evaluación del plan operativo que se complementa con la evaluación de las unidades organizativas y así se ha preparado este informe.</w:t>
      </w:r>
    </w:p>
    <w:p w:rsidR="00EE56BA" w:rsidRDefault="00EE56BA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7B0" w:rsidRDefault="00EE56BA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8B1">
        <w:rPr>
          <w:rFonts w:ascii="Arial" w:hAnsi="Arial" w:cs="Arial"/>
          <w:sz w:val="24"/>
          <w:szCs w:val="24"/>
        </w:rPr>
        <w:t>El plan de</w:t>
      </w:r>
      <w:r w:rsidR="00BD73C3" w:rsidRPr="007568B1">
        <w:rPr>
          <w:rFonts w:ascii="Arial" w:hAnsi="Arial" w:cs="Arial"/>
          <w:sz w:val="24"/>
          <w:szCs w:val="24"/>
        </w:rPr>
        <w:t xml:space="preserve"> trabajo de</w:t>
      </w:r>
      <w:r w:rsidRPr="007568B1">
        <w:rPr>
          <w:rFonts w:ascii="Arial" w:hAnsi="Arial" w:cs="Arial"/>
          <w:sz w:val="24"/>
          <w:szCs w:val="24"/>
        </w:rPr>
        <w:t xml:space="preserve"> la SC define objetivos est</w:t>
      </w:r>
      <w:r w:rsidR="009B47B0" w:rsidRPr="007568B1">
        <w:rPr>
          <w:rFonts w:ascii="Arial" w:hAnsi="Arial" w:cs="Arial"/>
          <w:sz w:val="24"/>
          <w:szCs w:val="24"/>
        </w:rPr>
        <w:t>r</w:t>
      </w:r>
      <w:r w:rsidRPr="007568B1">
        <w:rPr>
          <w:rFonts w:ascii="Arial" w:hAnsi="Arial" w:cs="Arial"/>
          <w:sz w:val="24"/>
          <w:szCs w:val="24"/>
        </w:rPr>
        <w:t>atégicos</w:t>
      </w:r>
      <w:r w:rsidR="009B47B0" w:rsidRPr="007568B1">
        <w:rPr>
          <w:rFonts w:ascii="Arial" w:hAnsi="Arial" w:cs="Arial"/>
          <w:sz w:val="24"/>
          <w:szCs w:val="24"/>
        </w:rPr>
        <w:t xml:space="preserve">, los que se </w:t>
      </w:r>
      <w:r w:rsidR="00050EE6" w:rsidRPr="007568B1">
        <w:rPr>
          <w:rFonts w:ascii="Arial" w:hAnsi="Arial" w:cs="Arial"/>
          <w:sz w:val="24"/>
          <w:szCs w:val="24"/>
        </w:rPr>
        <w:t xml:space="preserve">despliegan </w:t>
      </w:r>
      <w:r w:rsidR="009B47B0" w:rsidRPr="007568B1">
        <w:rPr>
          <w:rFonts w:ascii="Arial" w:hAnsi="Arial" w:cs="Arial"/>
          <w:sz w:val="24"/>
          <w:szCs w:val="24"/>
        </w:rPr>
        <w:t>a través de acciones estratégicas, las que a su vez aterrizan por medio de actividades</w:t>
      </w:r>
      <w:r w:rsidR="00BD73C3" w:rsidRPr="007568B1">
        <w:rPr>
          <w:rFonts w:ascii="Arial" w:hAnsi="Arial" w:cs="Arial"/>
          <w:sz w:val="24"/>
          <w:szCs w:val="24"/>
        </w:rPr>
        <w:t>.</w:t>
      </w:r>
      <w:r w:rsidR="00050EE6" w:rsidRPr="007568B1">
        <w:rPr>
          <w:rFonts w:ascii="Arial" w:hAnsi="Arial" w:cs="Arial"/>
          <w:sz w:val="24"/>
          <w:szCs w:val="24"/>
        </w:rPr>
        <w:t xml:space="preserve"> El proceso seguido evalúa el cumplimiento de las actividades y desde ahí se dispone de una mirada clara sobre el avance en el cumplimiento de las acciones y objetivos estratégicos.</w:t>
      </w:r>
    </w:p>
    <w:p w:rsidR="009B47B0" w:rsidRDefault="009B47B0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025" w:rsidRDefault="005D62BF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objetivo de lograr una buena visualización del nivel de cumplimiento de</w:t>
      </w:r>
      <w:r w:rsidR="00A97D06">
        <w:rPr>
          <w:rFonts w:ascii="Arial" w:hAnsi="Arial" w:cs="Arial"/>
          <w:sz w:val="24"/>
          <w:szCs w:val="24"/>
        </w:rPr>
        <w:t xml:space="preserve"> las actividades</w:t>
      </w:r>
      <w:r w:rsidRPr="006A3B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 el informe </w:t>
      </w:r>
      <w:r w:rsidRPr="006A3B6A">
        <w:rPr>
          <w:rFonts w:ascii="Arial" w:hAnsi="Arial" w:cs="Arial"/>
          <w:sz w:val="24"/>
          <w:szCs w:val="24"/>
        </w:rPr>
        <w:t xml:space="preserve">se muestra </w:t>
      </w:r>
      <w:r>
        <w:rPr>
          <w:rFonts w:ascii="Arial" w:hAnsi="Arial" w:cs="Arial"/>
          <w:sz w:val="24"/>
          <w:szCs w:val="24"/>
        </w:rPr>
        <w:t xml:space="preserve">el </w:t>
      </w:r>
      <w:r w:rsidRPr="00063034">
        <w:rPr>
          <w:rFonts w:ascii="Arial" w:hAnsi="Arial" w:cs="Arial"/>
          <w:sz w:val="24"/>
          <w:szCs w:val="24"/>
        </w:rPr>
        <w:t>porcentaje de ejecución por medio de colores</w:t>
      </w:r>
      <w:r w:rsidRPr="006A3B6A">
        <w:rPr>
          <w:rFonts w:ascii="Arial" w:hAnsi="Arial" w:cs="Arial"/>
          <w:sz w:val="24"/>
          <w:szCs w:val="24"/>
        </w:rPr>
        <w:t xml:space="preserve">, utilizando la </w:t>
      </w:r>
      <w:r w:rsidR="00063034">
        <w:rPr>
          <w:rFonts w:ascii="Arial" w:hAnsi="Arial" w:cs="Arial"/>
          <w:sz w:val="24"/>
          <w:szCs w:val="24"/>
        </w:rPr>
        <w:t xml:space="preserve">técnica </w:t>
      </w:r>
      <w:r w:rsidRPr="006A3B6A">
        <w:rPr>
          <w:rFonts w:ascii="Arial" w:hAnsi="Arial" w:cs="Arial"/>
          <w:sz w:val="24"/>
          <w:szCs w:val="24"/>
        </w:rPr>
        <w:t>del semáforo</w:t>
      </w:r>
      <w:r w:rsidR="00063034">
        <w:rPr>
          <w:rFonts w:ascii="Arial" w:hAnsi="Arial" w:cs="Arial"/>
          <w:sz w:val="24"/>
          <w:szCs w:val="24"/>
        </w:rPr>
        <w:t xml:space="preserve"> así</w:t>
      </w:r>
      <w:r w:rsidR="001B6025">
        <w:rPr>
          <w:rFonts w:ascii="Arial" w:hAnsi="Arial" w:cs="Arial"/>
          <w:sz w:val="24"/>
          <w:szCs w:val="24"/>
        </w:rPr>
        <w:t>:</w:t>
      </w:r>
    </w:p>
    <w:p w:rsidR="00F9657B" w:rsidRDefault="00F9657B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5"/>
        <w:gridCol w:w="2711"/>
        <w:gridCol w:w="2942"/>
      </w:tblGrid>
      <w:tr w:rsidR="00F9657B" w:rsidTr="00F9657B">
        <w:tc>
          <w:tcPr>
            <w:tcW w:w="3175" w:type="dxa"/>
          </w:tcPr>
          <w:p w:rsidR="00F9657B" w:rsidRP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9657B">
              <w:rPr>
                <w:rFonts w:ascii="Arial" w:hAnsi="Arial" w:cs="Arial"/>
                <w:b/>
                <w:sz w:val="24"/>
                <w:szCs w:val="24"/>
              </w:rPr>
              <w:t>Rango</w:t>
            </w:r>
            <w:proofErr w:type="spellEnd"/>
            <w:r w:rsidRPr="00F9657B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F9657B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  <w:proofErr w:type="spellEnd"/>
          </w:p>
        </w:tc>
        <w:tc>
          <w:tcPr>
            <w:tcW w:w="2711" w:type="dxa"/>
          </w:tcPr>
          <w:p w:rsidR="00F9657B" w:rsidRP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Color</w:t>
            </w:r>
          </w:p>
        </w:tc>
        <w:tc>
          <w:tcPr>
            <w:tcW w:w="2942" w:type="dxa"/>
          </w:tcPr>
          <w:p w:rsidR="00F9657B" w:rsidRP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9657B">
              <w:rPr>
                <w:rFonts w:ascii="Arial" w:hAnsi="Arial" w:cs="Arial"/>
                <w:b/>
                <w:sz w:val="24"/>
                <w:szCs w:val="24"/>
              </w:rPr>
              <w:t>Ejecución</w:t>
            </w:r>
            <w:proofErr w:type="spellEnd"/>
          </w:p>
        </w:tc>
      </w:tr>
      <w:tr w:rsidR="00F9657B" w:rsidTr="00F9657B">
        <w:tc>
          <w:tcPr>
            <w:tcW w:w="3175" w:type="dxa"/>
          </w:tcPr>
          <w:p w:rsidR="00F9657B" w:rsidRP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Más de 75%</w:t>
            </w:r>
          </w:p>
        </w:tc>
        <w:tc>
          <w:tcPr>
            <w:tcW w:w="2711" w:type="dxa"/>
            <w:shd w:val="clear" w:color="auto" w:fill="92D050"/>
          </w:tcPr>
          <w:p w:rsid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Satisfactoria</w:t>
            </w:r>
            <w:proofErr w:type="spellEnd"/>
          </w:p>
        </w:tc>
      </w:tr>
      <w:tr w:rsidR="00F9657B" w:rsidTr="00F9657B">
        <w:tc>
          <w:tcPr>
            <w:tcW w:w="3175" w:type="dxa"/>
          </w:tcPr>
          <w:p w:rsidR="00F9657B" w:rsidRP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Entre 49.99% y 74.99%</w:t>
            </w:r>
          </w:p>
        </w:tc>
        <w:tc>
          <w:tcPr>
            <w:tcW w:w="2711" w:type="dxa"/>
            <w:shd w:val="clear" w:color="auto" w:fill="FFFF00"/>
          </w:tcPr>
          <w:p w:rsid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</w:t>
            </w:r>
          </w:p>
        </w:tc>
      </w:tr>
      <w:tr w:rsidR="00F9657B" w:rsidTr="00F9657B">
        <w:tc>
          <w:tcPr>
            <w:tcW w:w="3175" w:type="dxa"/>
            <w:shd w:val="clear" w:color="auto" w:fill="auto"/>
          </w:tcPr>
          <w:p w:rsidR="00F9657B" w:rsidRP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657B">
              <w:rPr>
                <w:rFonts w:ascii="Arial" w:hAnsi="Arial" w:cs="Arial"/>
                <w:b/>
                <w:sz w:val="24"/>
                <w:szCs w:val="24"/>
              </w:rPr>
              <w:t>Entre 0% y 49.99%</w:t>
            </w:r>
          </w:p>
        </w:tc>
        <w:tc>
          <w:tcPr>
            <w:tcW w:w="2711" w:type="dxa"/>
            <w:shd w:val="clear" w:color="auto" w:fill="FF0000"/>
          </w:tcPr>
          <w:p w:rsid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F9657B" w:rsidRDefault="00F9657B" w:rsidP="00F34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Baja</w:t>
            </w:r>
          </w:p>
        </w:tc>
      </w:tr>
    </w:tbl>
    <w:p w:rsidR="005D62BF" w:rsidRDefault="00063034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3757" w:rsidRDefault="00BA424D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establecer el desempeño de las 1</w:t>
      </w:r>
      <w:r w:rsidR="00414DD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unidades organizativas institucionales, </w:t>
      </w:r>
      <w:r w:rsidR="00113757">
        <w:rPr>
          <w:rFonts w:ascii="Arial" w:hAnsi="Arial" w:cs="Arial"/>
          <w:sz w:val="24"/>
          <w:szCs w:val="24"/>
        </w:rPr>
        <w:t xml:space="preserve">se ha verificado el </w:t>
      </w:r>
      <w:r w:rsidR="00C66A33">
        <w:rPr>
          <w:rFonts w:ascii="Arial" w:hAnsi="Arial" w:cs="Arial"/>
          <w:sz w:val="24"/>
          <w:szCs w:val="24"/>
        </w:rPr>
        <w:t xml:space="preserve">cumplimiento de sus actividades </w:t>
      </w:r>
      <w:r w:rsidR="00113757">
        <w:rPr>
          <w:rFonts w:ascii="Arial" w:hAnsi="Arial" w:cs="Arial"/>
          <w:sz w:val="24"/>
          <w:szCs w:val="24"/>
        </w:rPr>
        <w:t>y el resultado de esa evaluación se presenta en el consolidado que se incorpora también en este documento.</w:t>
      </w:r>
    </w:p>
    <w:p w:rsidR="00113757" w:rsidRDefault="00113757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7F0" w:rsidRDefault="000D67F0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la consecución de estos resultados, la SC </w:t>
      </w:r>
      <w:r w:rsidR="00AC309F">
        <w:rPr>
          <w:rFonts w:ascii="Arial" w:hAnsi="Arial" w:cs="Arial"/>
          <w:sz w:val="24"/>
          <w:szCs w:val="24"/>
        </w:rPr>
        <w:t>avanza más como</w:t>
      </w:r>
      <w:r>
        <w:rPr>
          <w:rFonts w:ascii="Arial" w:hAnsi="Arial" w:cs="Arial"/>
          <w:sz w:val="24"/>
          <w:szCs w:val="24"/>
        </w:rPr>
        <w:t xml:space="preserve"> una institución eficiente y eficaz</w:t>
      </w:r>
      <w:r w:rsidR="00AC30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C309F">
        <w:rPr>
          <w:rFonts w:ascii="Arial" w:hAnsi="Arial" w:cs="Arial"/>
          <w:sz w:val="24"/>
          <w:szCs w:val="24"/>
        </w:rPr>
        <w:t xml:space="preserve">que promueve y protege la competencia buscando incrementar la </w:t>
      </w:r>
      <w:r>
        <w:rPr>
          <w:rFonts w:ascii="Arial" w:hAnsi="Arial" w:cs="Arial"/>
          <w:sz w:val="24"/>
          <w:szCs w:val="24"/>
        </w:rPr>
        <w:t>eficiencia económica y el bienestar de los consumidores</w:t>
      </w:r>
      <w:r w:rsidR="00AC309F">
        <w:rPr>
          <w:rFonts w:ascii="Arial" w:hAnsi="Arial" w:cs="Arial"/>
          <w:sz w:val="24"/>
          <w:szCs w:val="24"/>
        </w:rPr>
        <w:t>.</w:t>
      </w:r>
    </w:p>
    <w:p w:rsidR="00AC309F" w:rsidRDefault="00AC309F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309F" w:rsidRDefault="00AC309F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7F0" w:rsidRDefault="000D67F0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7F0" w:rsidRDefault="000D67F0" w:rsidP="00F34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440" w:rsidRPr="006A3B6A" w:rsidRDefault="00FC3440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B6A" w:rsidRDefault="006A3B6A" w:rsidP="00F341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41A91" w:rsidRPr="00F04F60" w:rsidRDefault="00CB5676" w:rsidP="00F34171">
      <w:pPr>
        <w:pStyle w:val="Ttulo1"/>
        <w:numPr>
          <w:ilvl w:val="0"/>
          <w:numId w:val="32"/>
        </w:numPr>
      </w:pPr>
      <w:r w:rsidRPr="00F04F60">
        <w:t xml:space="preserve">Resultados de </w:t>
      </w:r>
      <w:r w:rsidR="004450CB" w:rsidRPr="00F04F60">
        <w:t xml:space="preserve">la </w:t>
      </w:r>
      <w:r w:rsidRPr="00F04F60">
        <w:t>evaluación de plan operativo</w:t>
      </w:r>
      <w:r w:rsidR="00D01241">
        <w:t xml:space="preserve"> por unidad</w:t>
      </w:r>
    </w:p>
    <w:p w:rsidR="007251B9" w:rsidRPr="006A3B6A" w:rsidRDefault="007251B9" w:rsidP="00F34171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6BD0" w:rsidRDefault="00EE6BD0" w:rsidP="00F34171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ya se ha indicado, el plan de la SC </w:t>
      </w:r>
      <w:r w:rsidR="00C615E6">
        <w:rPr>
          <w:rFonts w:ascii="Arial" w:hAnsi="Arial" w:cs="Arial"/>
          <w:sz w:val="24"/>
          <w:szCs w:val="24"/>
        </w:rPr>
        <w:t>establece</w:t>
      </w:r>
      <w:r>
        <w:rPr>
          <w:rFonts w:ascii="Arial" w:hAnsi="Arial" w:cs="Arial"/>
          <w:sz w:val="24"/>
          <w:szCs w:val="24"/>
        </w:rPr>
        <w:t xml:space="preserve"> objetivos estratégicos, acciones estratégicas y actividades. Para darle cumplimiento a la evaluación del plan operativo es necesario determinar cómo se cumplieron las actividades contenidas en cada una de las acciones estratégicas</w:t>
      </w:r>
      <w:r w:rsidR="00414DD1">
        <w:rPr>
          <w:rFonts w:ascii="Arial" w:hAnsi="Arial" w:cs="Arial"/>
          <w:sz w:val="24"/>
          <w:szCs w:val="24"/>
        </w:rPr>
        <w:t xml:space="preserve"> por unidad organizativa</w:t>
      </w:r>
      <w:r w:rsidR="00D90B8C">
        <w:rPr>
          <w:rFonts w:ascii="Arial" w:hAnsi="Arial" w:cs="Arial"/>
          <w:sz w:val="24"/>
          <w:szCs w:val="24"/>
        </w:rPr>
        <w:t xml:space="preserve">. A </w:t>
      </w:r>
      <w:r w:rsidR="009B1F63">
        <w:rPr>
          <w:rFonts w:ascii="Arial" w:hAnsi="Arial" w:cs="Arial"/>
          <w:sz w:val="24"/>
          <w:szCs w:val="24"/>
        </w:rPr>
        <w:t>continuación,</w:t>
      </w:r>
      <w:r w:rsidR="00D90B8C">
        <w:rPr>
          <w:rFonts w:ascii="Arial" w:hAnsi="Arial" w:cs="Arial"/>
          <w:sz w:val="24"/>
          <w:szCs w:val="24"/>
        </w:rPr>
        <w:t xml:space="preserve"> se describen por medio de los cuadros la</w:t>
      </w:r>
      <w:r w:rsidR="009B1F63">
        <w:rPr>
          <w:rFonts w:ascii="Arial" w:hAnsi="Arial" w:cs="Arial"/>
          <w:sz w:val="24"/>
          <w:szCs w:val="24"/>
        </w:rPr>
        <w:t>s</w:t>
      </w:r>
      <w:r w:rsidR="00D90B8C">
        <w:rPr>
          <w:rFonts w:ascii="Arial" w:hAnsi="Arial" w:cs="Arial"/>
          <w:sz w:val="24"/>
          <w:szCs w:val="24"/>
        </w:rPr>
        <w:t xml:space="preserve"> actividades que se desempeñaron con una ejecución “media” o “baja”, y se relatan las actividades más sustantivas ejecutadas exitosamente.</w:t>
      </w:r>
    </w:p>
    <w:p w:rsidR="00F04F60" w:rsidRDefault="00F04F60" w:rsidP="00F34171">
      <w:pPr>
        <w:pStyle w:val="Ttulo1"/>
      </w:pPr>
    </w:p>
    <w:p w:rsidR="00414DD1" w:rsidRPr="00DB195D" w:rsidRDefault="00414DD1" w:rsidP="00F34171">
      <w:pPr>
        <w:pStyle w:val="Ttulo1"/>
        <w:numPr>
          <w:ilvl w:val="0"/>
          <w:numId w:val="33"/>
        </w:numPr>
      </w:pPr>
      <w:r w:rsidRPr="00DB195D">
        <w:t>Intendencia de Abogacía de la Competencia (IAC)</w:t>
      </w:r>
    </w:p>
    <w:p w:rsidR="00414DD1" w:rsidRDefault="00414DD1" w:rsidP="00F34171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DA5956" w:rsidRPr="006A3B6A" w:rsidRDefault="00FF2438" w:rsidP="00F34171">
      <w:pPr>
        <w:tabs>
          <w:tab w:val="left" w:pos="-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909955</wp:posOffset>
            </wp:positionV>
            <wp:extent cx="5991225" cy="1685290"/>
            <wp:effectExtent l="0" t="0" r="9525" b="0"/>
            <wp:wrapTight wrapText="bothSides">
              <wp:wrapPolygon edited="0">
                <wp:start x="0" y="0"/>
                <wp:lineTo x="0" y="21242"/>
                <wp:lineTo x="21566" y="21242"/>
                <wp:lineTo x="21566" y="0"/>
                <wp:lineTo x="0" y="0"/>
              </wp:wrapPolygon>
            </wp:wrapTight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76200</wp:posOffset>
            </wp:positionV>
            <wp:extent cx="2838450" cy="692785"/>
            <wp:effectExtent l="0" t="0" r="0" b="0"/>
            <wp:wrapTight wrapText="bothSides">
              <wp:wrapPolygon edited="0">
                <wp:start x="0" y="0"/>
                <wp:lineTo x="0" y="19600"/>
                <wp:lineTo x="21455" y="19600"/>
                <wp:lineTo x="21455" y="0"/>
                <wp:lineTo x="0" y="0"/>
              </wp:wrapPolygon>
            </wp:wrapTight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38">
        <w:rPr>
          <w:noProof/>
        </w:rPr>
        <w:drawing>
          <wp:inline distT="0" distB="0" distL="0" distR="0">
            <wp:extent cx="2769235" cy="770192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02" cy="79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84" w:rsidRDefault="001F038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las </w:t>
      </w:r>
      <w:r w:rsidR="00FF2438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 actividades que tenía programadas la IAC, como lo muestran los cuadros anteriores, ejecut</w:t>
      </w:r>
      <w:r w:rsidR="00FF2438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="00FF2438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</w:t>
      </w:r>
      <w:r w:rsidR="0003186F">
        <w:rPr>
          <w:rFonts w:ascii="Arial" w:hAnsi="Arial" w:cs="Arial"/>
          <w:sz w:val="24"/>
          <w:szCs w:val="24"/>
        </w:rPr>
        <w:t>en verde</w:t>
      </w:r>
      <w:r w:rsidR="00FF2438">
        <w:rPr>
          <w:rFonts w:ascii="Arial" w:hAnsi="Arial" w:cs="Arial"/>
          <w:sz w:val="24"/>
          <w:szCs w:val="24"/>
        </w:rPr>
        <w:t>, 4</w:t>
      </w:r>
      <w:r>
        <w:rPr>
          <w:rFonts w:ascii="Arial" w:hAnsi="Arial" w:cs="Arial"/>
          <w:sz w:val="24"/>
          <w:szCs w:val="24"/>
        </w:rPr>
        <w:t xml:space="preserve"> en amarillo y </w:t>
      </w:r>
      <w:r w:rsidR="00FF243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en rojo, teniendo un porcentaje de ejecución del </w:t>
      </w:r>
      <w:r w:rsidR="00FF2438">
        <w:rPr>
          <w:rFonts w:ascii="Arial" w:hAnsi="Arial" w:cs="Arial"/>
          <w:sz w:val="24"/>
          <w:szCs w:val="24"/>
        </w:rPr>
        <w:t>92.95</w:t>
      </w:r>
      <w:r>
        <w:rPr>
          <w:rFonts w:ascii="Arial" w:hAnsi="Arial" w:cs="Arial"/>
          <w:sz w:val="24"/>
          <w:szCs w:val="24"/>
        </w:rPr>
        <w:t>%.</w:t>
      </w:r>
    </w:p>
    <w:p w:rsidR="0003186F" w:rsidRDefault="0003186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86F" w:rsidRDefault="0003186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Estratégia</w:t>
      </w:r>
      <w:proofErr w:type="spellEnd"/>
      <w:r>
        <w:rPr>
          <w:rFonts w:ascii="Arial" w:hAnsi="Arial" w:cs="Arial"/>
          <w:sz w:val="24"/>
          <w:szCs w:val="24"/>
        </w:rPr>
        <w:t xml:space="preserve"> de cabildeo de reformas a la LC”.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“Propuesta de actualización al Reglamento de la Ley de Competencia”.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video conferencias para la formulación y ejecución del plan de la RECAC.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contribuciones para la realización de eventos en el exterior o trabajos de redes internacionales.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participó en 13 eventos internacionales.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co</w:t>
      </w:r>
      <w:proofErr w:type="spellEnd"/>
      <w:r>
        <w:rPr>
          <w:rFonts w:ascii="Arial" w:hAnsi="Arial" w:cs="Arial"/>
          <w:sz w:val="24"/>
          <w:szCs w:val="24"/>
        </w:rPr>
        <w:t>-organizó el evento Comercio competencia en San Salvador con UNCTAD y SELA.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atendieron 70 reuniones del SNPC.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presentaron las recomendaciones del estudio de condiciones de competencia: “Distribución Minorista de Productos de Consumo Periódico de los Hogares”.</w:t>
      </w:r>
    </w:p>
    <w:p w:rsidR="001E20ED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llevó a cabo una mesa interinstitucional con el BCR</w:t>
      </w:r>
      <w:r w:rsidR="001E20ED">
        <w:rPr>
          <w:rFonts w:ascii="Arial" w:hAnsi="Arial" w:cs="Arial"/>
          <w:sz w:val="24"/>
          <w:szCs w:val="24"/>
        </w:rPr>
        <w:t xml:space="preserve"> sobre intereses bancarios y contratación de SIS.</w:t>
      </w:r>
    </w:p>
    <w:p w:rsidR="00AA6781" w:rsidRDefault="001E20ED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Informes finales sobre auditoría ISSS.</w:t>
      </w:r>
    </w:p>
    <w:p w:rsidR="00AA6781" w:rsidRDefault="00AA678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“Plan de alto nivel para la implementación </w:t>
      </w:r>
      <w:r w:rsidR="0077130F">
        <w:rPr>
          <w:rFonts w:ascii="Arial" w:hAnsi="Arial" w:cs="Arial"/>
          <w:sz w:val="24"/>
          <w:szCs w:val="24"/>
        </w:rPr>
        <w:t>de opiniones y recomendaciones de política pública”.</w:t>
      </w:r>
    </w:p>
    <w:p w:rsidR="001E20ED" w:rsidRDefault="00B403AD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0ED">
        <w:rPr>
          <w:rFonts w:ascii="Arial" w:hAnsi="Arial" w:cs="Arial"/>
          <w:sz w:val="24"/>
          <w:szCs w:val="24"/>
        </w:rPr>
        <w:t xml:space="preserve"> </w:t>
      </w:r>
      <w:r w:rsidR="00AF7DDF">
        <w:rPr>
          <w:rFonts w:ascii="Arial" w:hAnsi="Arial" w:cs="Arial"/>
          <w:sz w:val="24"/>
          <w:szCs w:val="24"/>
        </w:rPr>
        <w:t>Semana de la competencia.</w:t>
      </w:r>
    </w:p>
    <w:p w:rsidR="00AF7DDF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F7DDF">
        <w:rPr>
          <w:rFonts w:ascii="Arial" w:hAnsi="Arial" w:cs="Arial"/>
          <w:sz w:val="24"/>
          <w:szCs w:val="24"/>
        </w:rPr>
        <w:t>Concurso inter-universitario en el cual ganó la UTEC.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F7DDF">
        <w:rPr>
          <w:rFonts w:ascii="Arial" w:hAnsi="Arial" w:cs="Arial"/>
          <w:sz w:val="24"/>
          <w:szCs w:val="24"/>
        </w:rPr>
        <w:t>53 eventos</w:t>
      </w:r>
      <w:r>
        <w:rPr>
          <w:rFonts w:ascii="Arial" w:hAnsi="Arial" w:cs="Arial"/>
          <w:sz w:val="24"/>
          <w:szCs w:val="24"/>
        </w:rPr>
        <w:t xml:space="preserve"> (presentaciones, </w:t>
      </w:r>
      <w:r w:rsidR="008C509B">
        <w:rPr>
          <w:rFonts w:ascii="Arial" w:hAnsi="Arial" w:cs="Arial"/>
          <w:sz w:val="24"/>
          <w:szCs w:val="24"/>
        </w:rPr>
        <w:t>cine fórum</w:t>
      </w:r>
      <w:r>
        <w:rPr>
          <w:rFonts w:ascii="Arial" w:hAnsi="Arial" w:cs="Arial"/>
          <w:sz w:val="24"/>
          <w:szCs w:val="24"/>
        </w:rPr>
        <w:t>, teatro, punto SC).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Participación en festivales del buen vivir.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Rendición de cuentas.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19 consultas ciudadanas atendidas.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Memoria de labores 2016.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 documentos técnicos: “Material didáctico la denuncia: colaborando con la competencia” y “Herramientas de investigación de la Superintendencia de Competencia”.</w:t>
      </w:r>
    </w:p>
    <w:p w:rsidR="00AF7DDF" w:rsidRDefault="00AF7DDF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3BB0">
        <w:rPr>
          <w:rFonts w:ascii="Arial" w:hAnsi="Arial" w:cs="Arial"/>
          <w:sz w:val="24"/>
          <w:szCs w:val="24"/>
        </w:rPr>
        <w:t xml:space="preserve">2 </w:t>
      </w:r>
      <w:r w:rsidR="008C509B">
        <w:rPr>
          <w:rFonts w:ascii="Arial" w:hAnsi="Arial" w:cs="Arial"/>
          <w:sz w:val="24"/>
          <w:szCs w:val="24"/>
        </w:rPr>
        <w:t>resúmenes</w:t>
      </w:r>
      <w:r w:rsidR="006B3BB0">
        <w:rPr>
          <w:rFonts w:ascii="Arial" w:hAnsi="Arial" w:cs="Arial"/>
          <w:sz w:val="24"/>
          <w:szCs w:val="24"/>
        </w:rPr>
        <w:t xml:space="preserve"> de estudios: “Estudio de frijol” y “Actualización del estudio sectorial de competencia en el mercado de combustibles líquidos”.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35 nuevos libros en el CENDOC.</w:t>
      </w:r>
    </w:p>
    <w:p w:rsidR="006B3BB0" w:rsidRDefault="00CB690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3BB0">
        <w:rPr>
          <w:rFonts w:ascii="Arial" w:hAnsi="Arial" w:cs="Arial"/>
          <w:sz w:val="24"/>
          <w:szCs w:val="24"/>
        </w:rPr>
        <w:t>29 consultas/ prestamos atendidos a usuarios del CENDOC.</w:t>
      </w:r>
    </w:p>
    <w:p w:rsidR="006B3BB0" w:rsidRDefault="00CB6901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3BB0">
        <w:rPr>
          <w:rFonts w:ascii="Arial" w:hAnsi="Arial" w:cs="Arial"/>
          <w:sz w:val="24"/>
          <w:szCs w:val="24"/>
        </w:rPr>
        <w:t>25 pasantías gestionadas.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 evaluaciones de impacto: caso en sector azucarero y harinero.</w:t>
      </w:r>
    </w:p>
    <w:p w:rsidR="006B3BB0" w:rsidRDefault="006B3BB0" w:rsidP="00F3417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Suscripción de convenio con techo.</w:t>
      </w:r>
    </w:p>
    <w:p w:rsidR="006B3BB0" w:rsidRPr="001E20ED" w:rsidRDefault="006B3BB0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0384" w:rsidRDefault="00773AF0" w:rsidP="00F34171">
      <w:pPr>
        <w:pStyle w:val="Prrafodelista"/>
        <w:spacing w:after="0" w:line="240" w:lineRule="auto"/>
        <w:ind w:hanging="578"/>
        <w:jc w:val="both"/>
        <w:rPr>
          <w:rFonts w:ascii="Arial" w:hAnsi="Arial" w:cs="Arial"/>
          <w:sz w:val="24"/>
          <w:szCs w:val="24"/>
        </w:rPr>
      </w:pPr>
      <w:r w:rsidRPr="00AA6781">
        <w:rPr>
          <w:rFonts w:ascii="Arial" w:hAnsi="Arial" w:cs="Arial"/>
          <w:sz w:val="24"/>
          <w:szCs w:val="24"/>
        </w:rPr>
        <w:t>Detalle de los productos pendientes de las actividades con ejecución media o baja:</w:t>
      </w:r>
    </w:p>
    <w:p w:rsidR="00F34171" w:rsidRDefault="00F34171" w:rsidP="00F34171">
      <w:pPr>
        <w:pStyle w:val="Prrafodelista"/>
        <w:spacing w:after="0" w:line="240" w:lineRule="auto"/>
        <w:ind w:hanging="578"/>
        <w:jc w:val="both"/>
        <w:rPr>
          <w:rFonts w:ascii="Arial" w:hAnsi="Arial" w:cs="Arial"/>
          <w:sz w:val="24"/>
          <w:szCs w:val="24"/>
        </w:rPr>
      </w:pPr>
    </w:p>
    <w:p w:rsidR="00AA6781" w:rsidRDefault="00CB6901" w:rsidP="00F34171">
      <w:pPr>
        <w:pStyle w:val="Prrafodelista"/>
        <w:numPr>
          <w:ilvl w:val="0"/>
          <w:numId w:val="40"/>
        </w:numPr>
        <w:spacing w:after="0" w:line="240" w:lineRule="auto"/>
        <w:ind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AE.1.4.2. </w:t>
      </w:r>
      <w:r w:rsidR="00C364B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Gestionar la adopción de recomendaciones generadas por la SC dirigidas a instituciones públicas, incluidas las del SNPC</w:t>
      </w:r>
      <w:r w:rsidR="00C364B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solo se presentaron las recomendaciones de un estudio en lugar de dos, el de “Condiciones de competencia en la distribución minorista de productos de consumo periódico de los hogares”. </w:t>
      </w:r>
    </w:p>
    <w:p w:rsidR="00CB6901" w:rsidRDefault="00CB6901" w:rsidP="00F34171">
      <w:pPr>
        <w:pStyle w:val="Prrafodelista"/>
        <w:numPr>
          <w:ilvl w:val="0"/>
          <w:numId w:val="40"/>
        </w:numPr>
        <w:spacing w:after="0" w:line="240" w:lineRule="auto"/>
        <w:ind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AE.2.3.1. no se </w:t>
      </w:r>
      <w:r w:rsidR="00C364B7">
        <w:rPr>
          <w:rFonts w:ascii="Arial" w:hAnsi="Arial" w:cs="Arial"/>
          <w:sz w:val="24"/>
          <w:szCs w:val="24"/>
        </w:rPr>
        <w:t xml:space="preserve">publicaron los materiales didácticos siguientes: el estudio de PYMES y compras públicas y un </w:t>
      </w:r>
      <w:proofErr w:type="spellStart"/>
      <w:r w:rsidR="00C364B7">
        <w:rPr>
          <w:rFonts w:ascii="Arial" w:hAnsi="Arial" w:cs="Arial"/>
          <w:sz w:val="24"/>
          <w:szCs w:val="24"/>
        </w:rPr>
        <w:t>brochure</w:t>
      </w:r>
      <w:proofErr w:type="spellEnd"/>
      <w:r w:rsidR="00C364B7">
        <w:rPr>
          <w:rFonts w:ascii="Arial" w:hAnsi="Arial" w:cs="Arial"/>
          <w:sz w:val="24"/>
          <w:szCs w:val="24"/>
        </w:rPr>
        <w:t>.</w:t>
      </w:r>
    </w:p>
    <w:p w:rsidR="00C364B7" w:rsidRDefault="00C364B7" w:rsidP="00F34171">
      <w:pPr>
        <w:pStyle w:val="Prrafodelista"/>
        <w:numPr>
          <w:ilvl w:val="0"/>
          <w:numId w:val="40"/>
        </w:numPr>
        <w:spacing w:after="0" w:line="240" w:lineRule="auto"/>
        <w:ind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AE.2.3.2. “Ejecutar plan de participación ciudadana y mecanismos priorizados” no se llevaron a cabo todos los mecanismos de participación ciudadana programados.</w:t>
      </w:r>
    </w:p>
    <w:p w:rsidR="00C364B7" w:rsidRDefault="00C364B7" w:rsidP="00F34171">
      <w:pPr>
        <w:pStyle w:val="Prrafodelista"/>
        <w:numPr>
          <w:ilvl w:val="0"/>
          <w:numId w:val="40"/>
        </w:numPr>
        <w:spacing w:after="0" w:line="240" w:lineRule="auto"/>
        <w:ind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AE.3.3.1. “Realizar mediciones de impacto en el bienestar de los consumidores a raíz de las resoluciones emitidas por la SC”, no se realizó la evaluación de impacto de un caso de concentración económica.</w:t>
      </w:r>
    </w:p>
    <w:p w:rsidR="00C364B7" w:rsidRDefault="00C364B7" w:rsidP="00F34171">
      <w:pPr>
        <w:pStyle w:val="Prrafodelista"/>
        <w:numPr>
          <w:ilvl w:val="0"/>
          <w:numId w:val="40"/>
        </w:numPr>
        <w:spacing w:after="0" w:line="240" w:lineRule="auto"/>
        <w:ind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AE.4.1.2. “Gestionar recursos de asistencia técnica y/o financiera”, solamente se hicieron las gestiones para obtener recursos para el seminario de </w:t>
      </w:r>
      <w:r w:rsidR="0008216E">
        <w:rPr>
          <w:rFonts w:ascii="Arial" w:hAnsi="Arial" w:cs="Arial"/>
          <w:sz w:val="24"/>
          <w:szCs w:val="24"/>
        </w:rPr>
        <w:t xml:space="preserve">derecho de competencia y </w:t>
      </w:r>
      <w:r>
        <w:rPr>
          <w:rFonts w:ascii="Arial" w:hAnsi="Arial" w:cs="Arial"/>
          <w:sz w:val="24"/>
          <w:szCs w:val="24"/>
        </w:rPr>
        <w:t>desarrollo económico</w:t>
      </w:r>
      <w:r w:rsidR="000821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B6901" w:rsidRPr="00AA6781" w:rsidRDefault="00CB6901" w:rsidP="00F34171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14DD1" w:rsidRDefault="001F038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4DD1">
        <w:rPr>
          <w:rFonts w:ascii="Arial" w:hAnsi="Arial" w:cs="Arial"/>
          <w:sz w:val="24"/>
          <w:szCs w:val="24"/>
        </w:rPr>
        <w:t xml:space="preserve"> </w:t>
      </w:r>
    </w:p>
    <w:p w:rsidR="00D57DFB" w:rsidRDefault="00D57DF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DFB" w:rsidRDefault="00D57DF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DFB" w:rsidRDefault="00D57DF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DFB" w:rsidRDefault="00D57DF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DFB" w:rsidRDefault="00D57DFB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DD1" w:rsidRPr="00F04F60" w:rsidRDefault="00B26991" w:rsidP="00F34171">
      <w:pPr>
        <w:pStyle w:val="Ttulo1"/>
        <w:numPr>
          <w:ilvl w:val="0"/>
          <w:numId w:val="33"/>
        </w:numPr>
      </w:pPr>
      <w:r w:rsidRPr="00F04F60">
        <w:t>Intendencia Económica</w:t>
      </w:r>
    </w:p>
    <w:p w:rsidR="00B26991" w:rsidRPr="00B26991" w:rsidRDefault="00FF2D7D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116205</wp:posOffset>
            </wp:positionV>
            <wp:extent cx="2399030" cy="561975"/>
            <wp:effectExtent l="0" t="0" r="1270" b="9525"/>
            <wp:wrapTight wrapText="bothSides">
              <wp:wrapPolygon edited="0">
                <wp:start x="0" y="0"/>
                <wp:lineTo x="0" y="21234"/>
                <wp:lineTo x="21440" y="21234"/>
                <wp:lineTo x="2144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173355</wp:posOffset>
            </wp:positionV>
            <wp:extent cx="2272665" cy="556899"/>
            <wp:effectExtent l="0" t="0" r="0" b="0"/>
            <wp:wrapTight wrapText="bothSides">
              <wp:wrapPolygon edited="0">
                <wp:start x="0" y="0"/>
                <wp:lineTo x="0" y="19950"/>
                <wp:lineTo x="21365" y="19950"/>
                <wp:lineTo x="2136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55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BA2" w:rsidRDefault="000F5BA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DD1" w:rsidRDefault="00414DD1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7DFB" w:rsidRDefault="00D57DF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DFB" w:rsidRDefault="00D57DF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IE cumplió satisfactoriamente con las </w:t>
      </w:r>
      <w:r w:rsidR="00FF2D7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actividades que programo en su POA.</w:t>
      </w:r>
    </w:p>
    <w:p w:rsidR="00842DB9" w:rsidRDefault="00842DB9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3B28" w:rsidRDefault="00123B2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DFB" w:rsidRDefault="00D57DFB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informe de avance de estudio sobre las condiciones de competencia en el mercado de carne bovina en El Salvador.</w:t>
      </w:r>
    </w:p>
    <w:p w:rsidR="00D57DFB" w:rsidRDefault="00D57DFB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final sobre “barreras a la entrada en compras públicas para MYPES”.</w:t>
      </w:r>
    </w:p>
    <w:p w:rsidR="00D57DFB" w:rsidRDefault="00D57DFB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de resolución de recomendaciones sobre “Mercado Mayorista de Energía Eléctrica”.</w:t>
      </w:r>
    </w:p>
    <w:p w:rsidR="00D57DFB" w:rsidRDefault="00D57DFB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Documento final de “Caracterización </w:t>
      </w:r>
      <w:r w:rsidR="00182CB0">
        <w:rPr>
          <w:rFonts w:ascii="Arial" w:hAnsi="Arial" w:cs="Arial"/>
          <w:sz w:val="24"/>
          <w:szCs w:val="24"/>
        </w:rPr>
        <w:t>del Mercado Financiamiento a MYPES”.</w:t>
      </w:r>
    </w:p>
    <w:p w:rsidR="00182CB0" w:rsidRDefault="00182CB0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Sesiones de divulgación de los casos de concentración de cervezas, distribución eléctrica y el control de las concentraciones económicas.</w:t>
      </w:r>
    </w:p>
    <w:p w:rsidR="00182CB0" w:rsidRDefault="00182CB0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boletines sobre los precios de azúcar y combustible, publicaciones de la institución y el seminario internacional: “Derecho de competencia y desarrollo económico: ¿una sola fórmula para todos?</w:t>
      </w:r>
    </w:p>
    <w:p w:rsidR="00182CB0" w:rsidRDefault="00182CB0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Artículos publicados sobre cervezas, distribución minorista de energía eléctrica y sobre MYPES.</w:t>
      </w:r>
    </w:p>
    <w:p w:rsidR="00182CB0" w:rsidRDefault="00182CB0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Opiniones sobre procesos de contratación, normativa y aspectos varios (ver anexo 2).</w:t>
      </w:r>
    </w:p>
    <w:p w:rsidR="00182CB0" w:rsidRDefault="00182CB0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Documento:” Informes de incidencia de recomendaciones de estudios de competencia en políticas públicas”.</w:t>
      </w:r>
    </w:p>
    <w:p w:rsidR="00C817B9" w:rsidRDefault="00136D15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Monitoreo sobre: “</w:t>
      </w:r>
      <w:r w:rsidR="00C817B9">
        <w:rPr>
          <w:rFonts w:ascii="Arial" w:hAnsi="Arial" w:cs="Arial"/>
          <w:sz w:val="24"/>
          <w:szCs w:val="24"/>
        </w:rPr>
        <w:t>Dependencia alimentaria en El Salvador: la trascendencia de importaciones para el consumo nacional”; “Análisis de coyuntura y evolución de precios de la harina fuerte de trigo en El Salvador”, “Perspectiva regional del mercado de harina de trigo en El Salvador” y “Evolución del precio del servicio de energía eléctrica en El Salvador”.</w:t>
      </w:r>
    </w:p>
    <w:p w:rsidR="00C817B9" w:rsidRDefault="00455348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15 solicitudes de concentraciones anal</w:t>
      </w:r>
      <w:r w:rsidR="00842DB9">
        <w:rPr>
          <w:rFonts w:ascii="Arial" w:hAnsi="Arial" w:cs="Arial"/>
          <w:sz w:val="24"/>
          <w:szCs w:val="24"/>
        </w:rPr>
        <w:t>izadas y resueltas (ver anexo 3</w:t>
      </w:r>
      <w:r>
        <w:rPr>
          <w:rFonts w:ascii="Arial" w:hAnsi="Arial" w:cs="Arial"/>
          <w:sz w:val="24"/>
          <w:szCs w:val="24"/>
        </w:rPr>
        <w:t>)</w:t>
      </w:r>
      <w:r w:rsidR="00842DB9">
        <w:rPr>
          <w:rFonts w:ascii="Arial" w:hAnsi="Arial" w:cs="Arial"/>
          <w:sz w:val="24"/>
          <w:szCs w:val="24"/>
        </w:rPr>
        <w:t>.</w:t>
      </w:r>
    </w:p>
    <w:p w:rsidR="00455348" w:rsidRDefault="00842DB9" w:rsidP="00F3417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Informe de seguimiento a ABI-Cervecería y Tigo-caribeña.</w:t>
      </w:r>
    </w:p>
    <w:p w:rsidR="00770996" w:rsidRPr="00770996" w:rsidRDefault="00770996" w:rsidP="00770996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Seminario y relatoría de </w:t>
      </w:r>
      <w:r w:rsidRPr="00770996">
        <w:rPr>
          <w:rFonts w:ascii="Arial" w:hAnsi="Arial" w:cs="Arial"/>
          <w:sz w:val="24"/>
          <w:szCs w:val="24"/>
        </w:rPr>
        <w:t>"Derecho de competencia y desarrollo económico ¿una sola formula?</w:t>
      </w: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CB0" w:rsidRDefault="00182CB0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487" w:rsidRPr="004229B0" w:rsidRDefault="008B5487" w:rsidP="00F34171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14DD1" w:rsidRPr="00F04F60" w:rsidRDefault="004229B0" w:rsidP="00F34171">
      <w:pPr>
        <w:pStyle w:val="Ttulo1"/>
        <w:numPr>
          <w:ilvl w:val="0"/>
          <w:numId w:val="33"/>
        </w:numPr>
      </w:pPr>
      <w:r w:rsidRPr="00F04F60">
        <w:t>Intendencia de Investigaciones</w:t>
      </w:r>
    </w:p>
    <w:p w:rsidR="004229B0" w:rsidRDefault="00770996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34290</wp:posOffset>
            </wp:positionV>
            <wp:extent cx="2219325" cy="519430"/>
            <wp:effectExtent l="0" t="0" r="9525" b="0"/>
            <wp:wrapTight wrapText="bothSides">
              <wp:wrapPolygon edited="0">
                <wp:start x="0" y="0"/>
                <wp:lineTo x="0" y="20597"/>
                <wp:lineTo x="21507" y="20597"/>
                <wp:lineTo x="2150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DB9" w:rsidRPr="005501EB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77470</wp:posOffset>
            </wp:positionV>
            <wp:extent cx="2486025" cy="490855"/>
            <wp:effectExtent l="0" t="0" r="9525" b="4445"/>
            <wp:wrapTight wrapText="bothSides">
              <wp:wrapPolygon edited="0">
                <wp:start x="0" y="0"/>
                <wp:lineTo x="0" y="20957"/>
                <wp:lineTo x="21517" y="20957"/>
                <wp:lineTo x="21517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1EB" w:rsidRPr="005501EB">
        <w:rPr>
          <w:noProof/>
        </w:rPr>
        <w:t xml:space="preserve"> </w:t>
      </w:r>
    </w:p>
    <w:p w:rsidR="00E52082" w:rsidRDefault="00E5208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2DB9" w:rsidRDefault="00842DB9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DB9" w:rsidRDefault="00842DB9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082" w:rsidRDefault="005501E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1EB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Intendencia de Investigaciones cumplió exitosamente con las actividades programadas en</w:t>
      </w:r>
      <w:r w:rsidR="00F16762">
        <w:rPr>
          <w:rFonts w:ascii="Arial" w:hAnsi="Arial" w:cs="Arial"/>
          <w:sz w:val="24"/>
          <w:szCs w:val="24"/>
        </w:rPr>
        <w:t xml:space="preserve"> </w:t>
      </w:r>
      <w:r w:rsidR="00842DB9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>.</w:t>
      </w:r>
    </w:p>
    <w:p w:rsidR="005501EB" w:rsidRDefault="005501E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171" w:rsidRDefault="005501E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 las actividades más relevantes ejecutadas exitosamente se cuenta con:</w:t>
      </w:r>
    </w:p>
    <w:p w:rsidR="005501EB" w:rsidRDefault="005501E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4F60" w:rsidRDefault="00EE2C2A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Mecanismo para obtener indicios de prácticas anticompetitivas.</w:t>
      </w:r>
    </w:p>
    <w:p w:rsidR="00EE2C2A" w:rsidRDefault="00EE2C2A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Procedimiento sancionador sobre “Mejoras de instalaciones” en el cual se investiga </w:t>
      </w:r>
      <w:r w:rsidR="009C034C">
        <w:rPr>
          <w:rFonts w:ascii="Arial" w:hAnsi="Arial" w:cs="Arial"/>
          <w:sz w:val="24"/>
          <w:szCs w:val="24"/>
        </w:rPr>
        <w:t>un supuesto acuerdo entre competidores en licitación pública convocada por el Ministerio de Seguridad y Justicia.</w:t>
      </w:r>
    </w:p>
    <w:p w:rsidR="009C034C" w:rsidRDefault="009C034C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iniciaron 7 procedimientos sancionadores en sectores regulados y en su mayoría por denuncia.</w:t>
      </w:r>
    </w:p>
    <w:p w:rsidR="009C034C" w:rsidRDefault="009C034C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iniciaron estos 3 procedimientos sancionatorios por otras infracciones a la Ley: </w:t>
      </w:r>
      <w:proofErr w:type="spellStart"/>
      <w:r>
        <w:rPr>
          <w:rFonts w:ascii="Arial" w:hAnsi="Arial" w:cs="Arial"/>
          <w:sz w:val="24"/>
          <w:szCs w:val="24"/>
        </w:rPr>
        <w:t>Unigas</w:t>
      </w:r>
      <w:proofErr w:type="spellEnd"/>
      <w:r>
        <w:rPr>
          <w:rFonts w:ascii="Arial" w:hAnsi="Arial" w:cs="Arial"/>
          <w:sz w:val="24"/>
          <w:szCs w:val="24"/>
        </w:rPr>
        <w:t>, ODS, Alba petróleos y Tú Solidaria.</w:t>
      </w:r>
    </w:p>
    <w:p w:rsidR="009C034C" w:rsidRDefault="009C034C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iniciaron 7 actuaciones previas: Desechos sólidos, arrendamiento de vehículos, tuberías, alquiler de transporte, mercado de harina de trigo, sector de cerveza y de azúcar.</w:t>
      </w:r>
    </w:p>
    <w:p w:rsidR="009C034C" w:rsidRDefault="001033A2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gestionó el cobro coactivo de multas en 7 casos: AIG Vida, </w:t>
      </w:r>
      <w:r w:rsidR="007A2D3D">
        <w:rPr>
          <w:rFonts w:ascii="Arial" w:hAnsi="Arial" w:cs="Arial"/>
          <w:sz w:val="24"/>
          <w:szCs w:val="24"/>
        </w:rPr>
        <w:t xml:space="preserve">Telefónica, Molsa, </w:t>
      </w:r>
      <w:proofErr w:type="spellStart"/>
      <w:r w:rsidR="007A2D3D">
        <w:rPr>
          <w:rFonts w:ascii="Arial" w:hAnsi="Arial" w:cs="Arial"/>
          <w:sz w:val="24"/>
          <w:szCs w:val="24"/>
        </w:rPr>
        <w:t>Harisa</w:t>
      </w:r>
      <w:proofErr w:type="spellEnd"/>
      <w:r w:rsidR="007A2D3D">
        <w:rPr>
          <w:rFonts w:ascii="Arial" w:hAnsi="Arial" w:cs="Arial"/>
          <w:sz w:val="24"/>
          <w:szCs w:val="24"/>
        </w:rPr>
        <w:t>,</w:t>
      </w:r>
      <w:r w:rsidR="002326B8">
        <w:rPr>
          <w:rFonts w:ascii="Arial" w:hAnsi="Arial" w:cs="Arial"/>
          <w:sz w:val="24"/>
          <w:szCs w:val="24"/>
        </w:rPr>
        <w:t xml:space="preserve"> </w:t>
      </w:r>
      <w:r w:rsidR="00D4330D">
        <w:rPr>
          <w:rFonts w:ascii="Arial" w:hAnsi="Arial" w:cs="Arial"/>
          <w:sz w:val="24"/>
          <w:szCs w:val="24"/>
        </w:rPr>
        <w:t>Arroceras</w:t>
      </w:r>
      <w:r w:rsidR="002326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326B8">
        <w:rPr>
          <w:rFonts w:ascii="Arial" w:hAnsi="Arial" w:cs="Arial"/>
          <w:sz w:val="24"/>
          <w:szCs w:val="24"/>
        </w:rPr>
        <w:t>Digicel</w:t>
      </w:r>
      <w:proofErr w:type="spellEnd"/>
      <w:r w:rsidR="002326B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326B8">
        <w:rPr>
          <w:rFonts w:ascii="Arial" w:hAnsi="Arial" w:cs="Arial"/>
          <w:sz w:val="24"/>
          <w:szCs w:val="24"/>
        </w:rPr>
        <w:t>Unigas</w:t>
      </w:r>
      <w:proofErr w:type="spellEnd"/>
      <w:r w:rsidR="002326B8">
        <w:rPr>
          <w:rFonts w:ascii="Arial" w:hAnsi="Arial" w:cs="Arial"/>
          <w:sz w:val="24"/>
          <w:szCs w:val="24"/>
        </w:rPr>
        <w:t>.</w:t>
      </w:r>
    </w:p>
    <w:p w:rsidR="002326B8" w:rsidRDefault="002326B8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gestionó la ejecución forzosa del cumplimiento de las obligaciones conductuales de DIZUCAR.</w:t>
      </w:r>
    </w:p>
    <w:p w:rsidR="002326B8" w:rsidRDefault="002326B8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llevaron a cabo actos procesales para obtener una pronta y cumplida sentencia a favor de los sectores de agencias de viajes, petróleo, telefonía y aseguradoras.</w:t>
      </w:r>
    </w:p>
    <w:p w:rsidR="002326B8" w:rsidRDefault="002326B8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revisó los expedientes del proceso judicial de Ingenios y ASESUISA.</w:t>
      </w:r>
    </w:p>
    <w:p w:rsidR="002326B8" w:rsidRDefault="002326B8" w:rsidP="00F34171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elaboraron escritos en el caso de ASESUISA, beneficios de arroz, AIG VIDA y CTE.</w:t>
      </w:r>
    </w:p>
    <w:p w:rsidR="002326B8" w:rsidRDefault="002326B8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8FB" w:rsidRDefault="00B878F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4354" w:rsidRPr="00F04F60" w:rsidRDefault="007A4354" w:rsidP="00F34171">
      <w:pPr>
        <w:pStyle w:val="Ttulo1"/>
        <w:numPr>
          <w:ilvl w:val="0"/>
          <w:numId w:val="33"/>
        </w:numPr>
      </w:pPr>
      <w:r w:rsidRPr="00F04F60">
        <w:t>Unidad de Comunicaciones</w:t>
      </w:r>
    </w:p>
    <w:p w:rsidR="000A3DFD" w:rsidRPr="007A4354" w:rsidRDefault="009F7434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117475</wp:posOffset>
            </wp:positionV>
            <wp:extent cx="2362200" cy="576580"/>
            <wp:effectExtent l="0" t="0" r="0" b="0"/>
            <wp:wrapTight wrapText="bothSides">
              <wp:wrapPolygon edited="0">
                <wp:start x="0" y="0"/>
                <wp:lineTo x="0" y="19982"/>
                <wp:lineTo x="21426" y="19982"/>
                <wp:lineTo x="21426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106680</wp:posOffset>
            </wp:positionV>
            <wp:extent cx="2419350" cy="562610"/>
            <wp:effectExtent l="0" t="0" r="0" b="8890"/>
            <wp:wrapTight wrapText="bothSides">
              <wp:wrapPolygon edited="0">
                <wp:start x="0" y="0"/>
                <wp:lineTo x="0" y="21210"/>
                <wp:lineTo x="21430" y="21210"/>
                <wp:lineTo x="2143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082" w:rsidRDefault="00E5208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2082" w:rsidRPr="004229B0" w:rsidRDefault="00E5208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F7434" w:rsidRDefault="009F743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241935</wp:posOffset>
            </wp:positionV>
            <wp:extent cx="5496560" cy="1128395"/>
            <wp:effectExtent l="0" t="0" r="8890" b="0"/>
            <wp:wrapTight wrapText="bothSides">
              <wp:wrapPolygon edited="0">
                <wp:start x="0" y="0"/>
                <wp:lineTo x="0" y="21150"/>
                <wp:lineTo x="21560" y="21150"/>
                <wp:lineTo x="21560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434" w:rsidRDefault="009F743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Default="00A66046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5291" w:rsidRDefault="00B705B6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envíos de información noticiosa a medios de comunicación.</w:t>
      </w:r>
    </w:p>
    <w:p w:rsidR="00B705B6" w:rsidRDefault="00D01E1E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 entrevistas.</w:t>
      </w:r>
    </w:p>
    <w:p w:rsidR="00D01E1E" w:rsidRDefault="00D01E1E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publicaciones.</w:t>
      </w:r>
    </w:p>
    <w:p w:rsidR="00D01E1E" w:rsidRDefault="00D01E1E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producciones de videos.</w:t>
      </w:r>
    </w:p>
    <w:p w:rsidR="00D01E1E" w:rsidRDefault="00D01E1E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aplicaciones.</w:t>
      </w:r>
    </w:p>
    <w:p w:rsidR="00D01E1E" w:rsidRDefault="00D01E1E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Incremento de seguidores en redes sociales (49% en Facebook y 7.5% en twitter).</w:t>
      </w:r>
    </w:p>
    <w:p w:rsidR="00D01E1E" w:rsidRDefault="00D01E1E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participación ciudadana a nivel interno y externo.</w:t>
      </w:r>
    </w:p>
    <w:p w:rsidR="00D01E1E" w:rsidRDefault="004F5B3C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 de RDC.</w:t>
      </w:r>
    </w:p>
    <w:p w:rsidR="004F5B3C" w:rsidRDefault="004F5B3C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Diseño y diagramación de 4 publicaciones.</w:t>
      </w:r>
    </w:p>
    <w:p w:rsidR="004F5B3C" w:rsidRDefault="004F5B3C" w:rsidP="00F3417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Banner roll up sobre juego digital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tappy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5B3C" w:rsidRPr="004F5B3C" w:rsidRDefault="004F5B3C" w:rsidP="00F3417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229B0" w:rsidRDefault="004229B0" w:rsidP="00F34171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6046" w:rsidRDefault="00A66046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los productos pendientes de las actividades con ejecución media o baja: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4F5D" w:rsidRDefault="004F5B3C" w:rsidP="00F3417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AE.2.2.2.3</w:t>
      </w:r>
      <w:r w:rsidR="007C4F5D">
        <w:rPr>
          <w:rFonts w:ascii="Arial" w:hAnsi="Arial" w:cs="Arial"/>
          <w:sz w:val="24"/>
          <w:szCs w:val="24"/>
        </w:rPr>
        <w:t>, d</w:t>
      </w:r>
      <w:r w:rsidR="007C4F5D" w:rsidRPr="007C4F5D">
        <w:rPr>
          <w:rFonts w:ascii="Arial" w:hAnsi="Arial" w:cs="Arial"/>
          <w:sz w:val="24"/>
          <w:szCs w:val="24"/>
        </w:rPr>
        <w:t xml:space="preserve">e acuerdo con la coyuntura institucional de temáticas a divulgar, se realizaron </w:t>
      </w:r>
      <w:r>
        <w:rPr>
          <w:rFonts w:ascii="Arial" w:hAnsi="Arial" w:cs="Arial"/>
          <w:sz w:val="24"/>
          <w:szCs w:val="24"/>
        </w:rPr>
        <w:t>7</w:t>
      </w:r>
      <w:r w:rsidR="007C4F5D" w:rsidRPr="007C4F5D">
        <w:rPr>
          <w:rFonts w:ascii="Arial" w:hAnsi="Arial" w:cs="Arial"/>
          <w:sz w:val="24"/>
          <w:szCs w:val="24"/>
        </w:rPr>
        <w:t xml:space="preserve"> conferencias de prensa</w:t>
      </w:r>
      <w:r>
        <w:rPr>
          <w:rFonts w:ascii="Arial" w:hAnsi="Arial" w:cs="Arial"/>
          <w:sz w:val="24"/>
          <w:szCs w:val="24"/>
        </w:rPr>
        <w:t>.</w:t>
      </w:r>
      <w:r w:rsidR="007C4F5D" w:rsidRPr="007C4F5D">
        <w:rPr>
          <w:rFonts w:ascii="Arial" w:hAnsi="Arial" w:cs="Arial"/>
          <w:sz w:val="24"/>
          <w:szCs w:val="24"/>
        </w:rPr>
        <w:t xml:space="preserve"> </w:t>
      </w:r>
    </w:p>
    <w:p w:rsidR="007C4F5D" w:rsidRDefault="004F5B3C" w:rsidP="00F3417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AE.2.2.2.4, se realizaron 9 convocatorias a medios de comunicaciones.</w:t>
      </w:r>
    </w:p>
    <w:p w:rsidR="004F5B3C" w:rsidRDefault="006C3D19" w:rsidP="00F3417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AE.2.3.4.3, se ejecutó el plan de divulgación y quedo pendiente para el 2018 ejecutarlo.</w:t>
      </w:r>
    </w:p>
    <w:p w:rsidR="00FB2035" w:rsidRDefault="00FB2035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91A" w:rsidRDefault="005B191A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084" w:rsidRPr="00F04F60" w:rsidRDefault="00456E4E" w:rsidP="00F34171">
      <w:pPr>
        <w:pStyle w:val="Ttulo1"/>
        <w:numPr>
          <w:ilvl w:val="0"/>
          <w:numId w:val="33"/>
        </w:numPr>
      </w:pPr>
      <w:r>
        <w:rPr>
          <w:noProof/>
          <w:sz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280035</wp:posOffset>
            </wp:positionV>
            <wp:extent cx="2466975" cy="576580"/>
            <wp:effectExtent l="0" t="0" r="9525" b="0"/>
            <wp:wrapTight wrapText="bothSides">
              <wp:wrapPolygon edited="0">
                <wp:start x="0" y="0"/>
                <wp:lineTo x="0" y="20696"/>
                <wp:lineTo x="21517" y="20696"/>
                <wp:lineTo x="21517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084" w:rsidRPr="00F04F60">
        <w:t>Unidad de Informática</w:t>
      </w:r>
    </w:p>
    <w:p w:rsidR="004229B0" w:rsidRDefault="00456E4E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2D04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29210</wp:posOffset>
            </wp:positionV>
            <wp:extent cx="2173605" cy="607060"/>
            <wp:effectExtent l="0" t="0" r="0" b="2540"/>
            <wp:wrapTight wrapText="bothSides">
              <wp:wrapPolygon edited="0">
                <wp:start x="0" y="0"/>
                <wp:lineTo x="0" y="21013"/>
                <wp:lineTo x="21392" y="21013"/>
                <wp:lineTo x="2139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B1" w:rsidRPr="00300BB1">
        <w:rPr>
          <w:noProof/>
        </w:rPr>
        <w:t xml:space="preserve"> </w:t>
      </w:r>
      <w:r w:rsidR="00CF2D04" w:rsidRPr="00CF2D04">
        <w:rPr>
          <w:noProof/>
        </w:rPr>
        <w:t xml:space="preserve"> </w:t>
      </w:r>
    </w:p>
    <w:p w:rsidR="00A66046" w:rsidRDefault="00A66046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86377" w:rsidRDefault="00686377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377" w:rsidRDefault="00686377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Default="00CF2D0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B1">
        <w:rPr>
          <w:rFonts w:ascii="Arial" w:hAnsi="Arial" w:cs="Arial"/>
          <w:sz w:val="24"/>
          <w:szCs w:val="24"/>
        </w:rPr>
        <w:t>La unidad de informática cumpli</w:t>
      </w:r>
      <w:r w:rsidR="00300BB1" w:rsidRPr="00300BB1">
        <w:rPr>
          <w:rFonts w:ascii="Arial" w:hAnsi="Arial" w:cs="Arial"/>
          <w:sz w:val="24"/>
          <w:szCs w:val="24"/>
        </w:rPr>
        <w:t>ó</w:t>
      </w:r>
      <w:r w:rsidR="00CA455D">
        <w:rPr>
          <w:rFonts w:ascii="Arial" w:hAnsi="Arial" w:cs="Arial"/>
          <w:sz w:val="24"/>
          <w:szCs w:val="24"/>
        </w:rPr>
        <w:t xml:space="preserve"> satisfactoriamente con sus 14</w:t>
      </w:r>
      <w:r w:rsidRPr="00300BB1">
        <w:rPr>
          <w:rFonts w:ascii="Arial" w:hAnsi="Arial" w:cs="Arial"/>
          <w:sz w:val="24"/>
          <w:szCs w:val="24"/>
        </w:rPr>
        <w:t xml:space="preserve"> actividades programadas, las más relevantes siend</w:t>
      </w:r>
      <w:r w:rsidR="002D3BBA">
        <w:rPr>
          <w:rFonts w:ascii="Arial" w:hAnsi="Arial" w:cs="Arial"/>
          <w:sz w:val="24"/>
          <w:szCs w:val="24"/>
        </w:rPr>
        <w:t>o las enumeradas a continuación:</w:t>
      </w:r>
    </w:p>
    <w:p w:rsidR="002D3BBA" w:rsidRPr="00300BB1" w:rsidRDefault="002D3BBA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F21" w:rsidRDefault="00B16F21" w:rsidP="00F34171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adquirió: un disco duro externo, 4 UPS, un disco duro para servidor, un UPS para servidores, un supresor de </w:t>
      </w:r>
      <w:proofErr w:type="spellStart"/>
      <w:r>
        <w:rPr>
          <w:rFonts w:ascii="Arial" w:hAnsi="Arial" w:cs="Arial"/>
          <w:sz w:val="24"/>
          <w:szCs w:val="24"/>
        </w:rPr>
        <w:t>tra</w:t>
      </w:r>
      <w:r w:rsidR="002D3BB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siente</w:t>
      </w:r>
      <w:proofErr w:type="spellEnd"/>
      <w:r>
        <w:rPr>
          <w:rFonts w:ascii="Arial" w:hAnsi="Arial" w:cs="Arial"/>
          <w:sz w:val="24"/>
          <w:szCs w:val="24"/>
        </w:rPr>
        <w:t xml:space="preserve"> (evita los altos voltajes), un firewall (servicio de seguridad perimetral) y 5 laptop.</w:t>
      </w:r>
    </w:p>
    <w:p w:rsidR="00B16F21" w:rsidRDefault="002D3BBA" w:rsidP="00F34171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Proyectos implementados: Solución para la grabación audio/video de entrevistas en procedimientos sancionadores y solución para comunicación instantánea (chat) institucional que facilita la colaboración interna.</w:t>
      </w:r>
    </w:p>
    <w:p w:rsidR="002D3BBA" w:rsidRDefault="002D3BBA" w:rsidP="00F34171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sistemas informáticos nuevos: “Sistema de Gestión de Documentos Institucionales” y “Hoja de control de multas impuestas por la SC”.</w:t>
      </w:r>
    </w:p>
    <w:p w:rsidR="002D3BBA" w:rsidRDefault="00584C27" w:rsidP="00F34171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implementó mejoras en el sistema </w:t>
      </w:r>
      <w:r w:rsidR="00A20467">
        <w:rPr>
          <w:rFonts w:ascii="Arial" w:hAnsi="Arial" w:cs="Arial"/>
          <w:sz w:val="24"/>
          <w:szCs w:val="24"/>
        </w:rPr>
        <w:t>de información para noticias.</w:t>
      </w:r>
    </w:p>
    <w:p w:rsidR="00A20467" w:rsidRDefault="00A20467" w:rsidP="00F34171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continuó con el apoyo técnico informático en la actualización del Sistema de Información del Centro de Documentación de la SC (CENDOC-SC) y para la implementación de un sitio web institucional renovado.</w:t>
      </w:r>
    </w:p>
    <w:p w:rsidR="00A20467" w:rsidRDefault="00A20467" w:rsidP="00F34171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Asistencia técnica que incluyó el desarrollo de un registro en línea para la VII Reunión Anual del Grupo de Trabajo sobre Comercio y Competencia de América Latina y el Caribe y otra que incluyó el desarrollo del sitio informativo y de registro en línea en Seminario “Derecho de competencia y desarrollo económico ¿una sola fórmula para todos? </w:t>
      </w:r>
    </w:p>
    <w:p w:rsidR="00A20467" w:rsidRDefault="00A20467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0467" w:rsidRDefault="00A20467" w:rsidP="00F3417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Pr="00F04F60" w:rsidRDefault="005B191A" w:rsidP="00F34171">
      <w:pPr>
        <w:pStyle w:val="Ttulo1"/>
        <w:numPr>
          <w:ilvl w:val="0"/>
          <w:numId w:val="33"/>
        </w:numPr>
      </w:pPr>
      <w:r w:rsidRPr="00F04F60">
        <w:t>Unidad de Administración y Recursos Humanos</w:t>
      </w:r>
    </w:p>
    <w:p w:rsidR="00A66046" w:rsidRDefault="00A20467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107315</wp:posOffset>
            </wp:positionV>
            <wp:extent cx="2162175" cy="527685"/>
            <wp:effectExtent l="0" t="0" r="9525" b="0"/>
            <wp:wrapTight wrapText="bothSides">
              <wp:wrapPolygon edited="0">
                <wp:start x="0" y="0"/>
                <wp:lineTo x="0" y="20274"/>
                <wp:lineTo x="21505" y="20274"/>
                <wp:lineTo x="21505" y="0"/>
                <wp:lineTo x="0" y="0"/>
              </wp:wrapPolygon>
            </wp:wrapTight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107315</wp:posOffset>
            </wp:positionV>
            <wp:extent cx="2323465" cy="540385"/>
            <wp:effectExtent l="0" t="0" r="635" b="0"/>
            <wp:wrapTight wrapText="bothSides">
              <wp:wrapPolygon edited="0">
                <wp:start x="0" y="0"/>
                <wp:lineTo x="0" y="20559"/>
                <wp:lineTo x="21429" y="20559"/>
                <wp:lineTo x="21429" y="0"/>
                <wp:lineTo x="0" y="0"/>
              </wp:wrapPolygon>
            </wp:wrapTight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D3" w:rsidRPr="00CE22D3">
        <w:rPr>
          <w:noProof/>
        </w:rPr>
        <w:t xml:space="preserve"> </w:t>
      </w:r>
    </w:p>
    <w:p w:rsidR="000318A4" w:rsidRDefault="000318A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8A4" w:rsidRDefault="000318A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8A4" w:rsidRDefault="000318A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0467" w:rsidRDefault="00A20467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22D3" w:rsidRDefault="00CE22D3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las actividades más relevantes ejecutadas exitosamente se cuenta con: </w:t>
      </w:r>
    </w:p>
    <w:p w:rsidR="00A20467" w:rsidRDefault="00A20467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Default="00CE22D3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Gestionar el seguro médico del personal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Controlar los recursos administrativos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Tramitar Fondo Circulante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Elaborar planillas de pago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Controlar la asistencia de los empleados</w:t>
      </w:r>
      <w:r>
        <w:rPr>
          <w:rFonts w:ascii="Arial" w:hAnsi="Arial" w:cs="Arial"/>
          <w:sz w:val="24"/>
          <w:szCs w:val="24"/>
        </w:rPr>
        <w:t>.</w:t>
      </w:r>
    </w:p>
    <w:p w:rsidR="00CE22D3" w:rsidRDefault="00CE22D3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Realizar proceso de indemnización por renuncia.</w:t>
      </w:r>
    </w:p>
    <w:p w:rsidR="004D4E92" w:rsidRPr="00F16762" w:rsidRDefault="00CE22D3" w:rsidP="00144E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762">
        <w:rPr>
          <w:rFonts w:ascii="Arial" w:hAnsi="Arial" w:cs="Arial"/>
          <w:sz w:val="24"/>
          <w:szCs w:val="24"/>
        </w:rPr>
        <w:t>Formular y ejecutar un Plan de Capacitaciones nacionales</w:t>
      </w:r>
      <w:r w:rsidR="00A20467" w:rsidRPr="00F16762">
        <w:rPr>
          <w:rFonts w:ascii="Arial" w:hAnsi="Arial" w:cs="Arial"/>
          <w:sz w:val="24"/>
          <w:szCs w:val="24"/>
        </w:rPr>
        <w:t xml:space="preserve"> (40 capacitaciones impartidas)</w:t>
      </w:r>
      <w:r w:rsidRPr="00F16762">
        <w:rPr>
          <w:rFonts w:ascii="Arial" w:hAnsi="Arial" w:cs="Arial"/>
          <w:sz w:val="24"/>
          <w:szCs w:val="24"/>
        </w:rPr>
        <w:t>.</w:t>
      </w:r>
    </w:p>
    <w:p w:rsidR="00CE22D3" w:rsidRDefault="00CE22D3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2D3">
        <w:rPr>
          <w:rFonts w:ascii="Arial" w:hAnsi="Arial" w:cs="Arial"/>
          <w:sz w:val="24"/>
          <w:szCs w:val="24"/>
        </w:rPr>
        <w:t>Formular y ejecutar un Plan motivacional para el personal</w:t>
      </w:r>
      <w:r w:rsidR="00A20467">
        <w:rPr>
          <w:rFonts w:ascii="Arial" w:hAnsi="Arial" w:cs="Arial"/>
          <w:sz w:val="24"/>
          <w:szCs w:val="24"/>
        </w:rPr>
        <w:t xml:space="preserve"> (cartelera interna, celebración del día de la madre, jornada saludable, celebración del día del padre, </w:t>
      </w:r>
      <w:r w:rsidR="004D4E92">
        <w:rPr>
          <w:rFonts w:ascii="Arial" w:hAnsi="Arial" w:cs="Arial"/>
          <w:sz w:val="24"/>
          <w:szCs w:val="24"/>
        </w:rPr>
        <w:t>voluntariado SC: campaña “dibujando una sonrisa”, capacitación motivacional).</w:t>
      </w:r>
    </w:p>
    <w:p w:rsidR="00CE22D3" w:rsidRDefault="004D4E92" w:rsidP="00F3417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actualizó el</w:t>
      </w:r>
      <w:r w:rsidR="00CE22D3" w:rsidRPr="00CE22D3">
        <w:rPr>
          <w:rFonts w:ascii="Arial" w:hAnsi="Arial" w:cs="Arial"/>
          <w:sz w:val="24"/>
          <w:szCs w:val="24"/>
        </w:rPr>
        <w:t xml:space="preserve"> Manual de Descriptor de Puestos</w:t>
      </w:r>
      <w:r>
        <w:rPr>
          <w:rFonts w:ascii="Arial" w:hAnsi="Arial" w:cs="Arial"/>
          <w:sz w:val="24"/>
          <w:szCs w:val="24"/>
        </w:rPr>
        <w:t>, el de Organización y Funciones y el de procedimientos.</w:t>
      </w:r>
    </w:p>
    <w:p w:rsidR="00CE22D3" w:rsidRDefault="00CE22D3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22D3" w:rsidRPr="00CE22D3" w:rsidRDefault="00CE22D3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6046" w:rsidRDefault="003951FA" w:rsidP="00F34171">
      <w:pPr>
        <w:pStyle w:val="Ttulo1"/>
        <w:numPr>
          <w:ilvl w:val="0"/>
          <w:numId w:val="33"/>
        </w:numPr>
        <w:rPr>
          <w:b w:val="0"/>
          <w:sz w:val="24"/>
        </w:rPr>
      </w:pPr>
      <w:r w:rsidRPr="00F04F60">
        <w:t>Unidad de Adquisiciones y contrataciones</w:t>
      </w:r>
    </w:p>
    <w:p w:rsidR="00603FAE" w:rsidRPr="00603FAE" w:rsidRDefault="004D4E9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46990</wp:posOffset>
            </wp:positionV>
            <wp:extent cx="2333625" cy="544830"/>
            <wp:effectExtent l="0" t="0" r="9525" b="7620"/>
            <wp:wrapTight wrapText="bothSides">
              <wp:wrapPolygon edited="0">
                <wp:start x="0" y="0"/>
                <wp:lineTo x="0" y="21147"/>
                <wp:lineTo x="21512" y="21147"/>
                <wp:lineTo x="21512" y="0"/>
                <wp:lineTo x="0" y="0"/>
              </wp:wrapPolygon>
            </wp:wrapTight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60325</wp:posOffset>
            </wp:positionV>
            <wp:extent cx="2390775" cy="583565"/>
            <wp:effectExtent l="0" t="0" r="9525" b="0"/>
            <wp:wrapTight wrapText="bothSides">
              <wp:wrapPolygon edited="0">
                <wp:start x="0" y="0"/>
                <wp:lineTo x="0" y="20448"/>
                <wp:lineTo x="21514" y="20448"/>
                <wp:lineTo x="21514" y="0"/>
                <wp:lineTo x="0" y="0"/>
              </wp:wrapPolygon>
            </wp:wrapTight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E3C" w:rsidRPr="00B66E3C">
        <w:rPr>
          <w:noProof/>
        </w:rPr>
        <w:t xml:space="preserve">  </w:t>
      </w:r>
    </w:p>
    <w:p w:rsidR="00A66046" w:rsidRDefault="00A66046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6046" w:rsidRDefault="00A66046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6046" w:rsidRDefault="00A66046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6046" w:rsidRDefault="00AF7006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UACI cumplió exitosamente con </w:t>
      </w:r>
      <w:r w:rsidR="004D4E92">
        <w:rPr>
          <w:rFonts w:ascii="Arial" w:hAnsi="Arial" w:cs="Arial"/>
          <w:sz w:val="24"/>
          <w:szCs w:val="24"/>
        </w:rPr>
        <w:t>las</w:t>
      </w:r>
      <w:r w:rsidR="00B669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 actividades programadas, descritas a continuación: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7006" w:rsidRDefault="004D4E92" w:rsidP="00F34171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177</w:t>
      </w:r>
      <w:r w:rsidR="00AF7006">
        <w:rPr>
          <w:rFonts w:ascii="Arial" w:hAnsi="Arial" w:cs="Arial"/>
          <w:sz w:val="24"/>
          <w:szCs w:val="24"/>
        </w:rPr>
        <w:t xml:space="preserve"> órdenes de procesos de libre gestión.</w:t>
      </w:r>
    </w:p>
    <w:p w:rsidR="00AF7006" w:rsidRDefault="004D4E92" w:rsidP="00F34171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AF7006">
        <w:rPr>
          <w:rFonts w:ascii="Arial" w:hAnsi="Arial" w:cs="Arial"/>
          <w:sz w:val="24"/>
          <w:szCs w:val="24"/>
        </w:rPr>
        <w:t xml:space="preserve"> documentos legales.</w:t>
      </w:r>
    </w:p>
    <w:p w:rsidR="00AF7006" w:rsidRDefault="00AF7006" w:rsidP="00F34171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y presentar la PAAC.</w:t>
      </w:r>
    </w:p>
    <w:p w:rsidR="00AF7006" w:rsidRDefault="004D4E92" w:rsidP="00F34171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F7006">
        <w:rPr>
          <w:rFonts w:ascii="Arial" w:hAnsi="Arial" w:cs="Arial"/>
          <w:sz w:val="24"/>
          <w:szCs w:val="24"/>
        </w:rPr>
        <w:t xml:space="preserve"> informes legales sobre ejecución de la PAAC</w:t>
      </w:r>
      <w:r w:rsidR="00823EB4">
        <w:rPr>
          <w:rFonts w:ascii="Arial" w:hAnsi="Arial" w:cs="Arial"/>
          <w:sz w:val="24"/>
          <w:szCs w:val="24"/>
        </w:rPr>
        <w:t>.</w:t>
      </w:r>
    </w:p>
    <w:p w:rsidR="00823EB4" w:rsidRDefault="004D4E92" w:rsidP="00F34171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Capacitaciones</w:t>
      </w:r>
      <w:r w:rsidR="00823EB4">
        <w:rPr>
          <w:rFonts w:ascii="Arial" w:hAnsi="Arial" w:cs="Arial"/>
          <w:sz w:val="24"/>
          <w:szCs w:val="24"/>
        </w:rPr>
        <w:t xml:space="preserve"> sobre la LACAP, Reg</w:t>
      </w:r>
      <w:r w:rsidR="00A44F2C">
        <w:rPr>
          <w:rFonts w:ascii="Arial" w:hAnsi="Arial" w:cs="Arial"/>
          <w:sz w:val="24"/>
          <w:szCs w:val="24"/>
        </w:rPr>
        <w:t>lamento y Normativa relacionada a la Intendencia Económica.</w:t>
      </w:r>
    </w:p>
    <w:p w:rsidR="00F16762" w:rsidRDefault="00F16762" w:rsidP="00F167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762" w:rsidRDefault="00F16762" w:rsidP="00F167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762" w:rsidRDefault="00F16762" w:rsidP="00F167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098" w:rsidRPr="00F04F60" w:rsidRDefault="00D02098" w:rsidP="00F34171">
      <w:pPr>
        <w:pStyle w:val="Ttulo1"/>
        <w:numPr>
          <w:ilvl w:val="0"/>
          <w:numId w:val="33"/>
        </w:numPr>
      </w:pPr>
      <w:r w:rsidRPr="00F04F60">
        <w:t>Unidad de Auditoría Interna</w:t>
      </w:r>
    </w:p>
    <w:p w:rsidR="00D02098" w:rsidRPr="00D02098" w:rsidRDefault="004D4E9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17780</wp:posOffset>
            </wp:positionV>
            <wp:extent cx="2581275" cy="603250"/>
            <wp:effectExtent l="0" t="0" r="9525" b="0"/>
            <wp:wrapTight wrapText="bothSides">
              <wp:wrapPolygon edited="0">
                <wp:start x="0" y="0"/>
                <wp:lineTo x="0" y="20463"/>
                <wp:lineTo x="21520" y="20463"/>
                <wp:lineTo x="21520" y="0"/>
                <wp:lineTo x="0" y="0"/>
              </wp:wrapPolygon>
            </wp:wrapTight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593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17780</wp:posOffset>
            </wp:positionV>
            <wp:extent cx="2018030" cy="628650"/>
            <wp:effectExtent l="0" t="0" r="1270" b="0"/>
            <wp:wrapTight wrapText="bothSides">
              <wp:wrapPolygon edited="0">
                <wp:start x="0" y="0"/>
                <wp:lineTo x="0" y="20945"/>
                <wp:lineTo x="21410" y="20945"/>
                <wp:lineTo x="21410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593" w:rsidRPr="002A4593">
        <w:rPr>
          <w:noProof/>
        </w:rPr>
        <w:t xml:space="preserve"> </w:t>
      </w:r>
    </w:p>
    <w:p w:rsidR="00AF7006" w:rsidRPr="00AF7006" w:rsidRDefault="00AF7006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9B0" w:rsidRDefault="004229B0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593" w:rsidRDefault="002A4593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593" w:rsidRDefault="002A4593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593" w:rsidRDefault="002A4593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593">
        <w:rPr>
          <w:rFonts w:ascii="Arial" w:hAnsi="Arial" w:cs="Arial"/>
          <w:sz w:val="24"/>
          <w:szCs w:val="24"/>
        </w:rPr>
        <w:t xml:space="preserve">La unidad de </w:t>
      </w:r>
      <w:r>
        <w:rPr>
          <w:rFonts w:ascii="Arial" w:hAnsi="Arial" w:cs="Arial"/>
          <w:sz w:val="24"/>
          <w:szCs w:val="24"/>
        </w:rPr>
        <w:t xml:space="preserve">Auditoría Interna </w:t>
      </w:r>
      <w:r w:rsidR="00CE0863">
        <w:rPr>
          <w:rFonts w:ascii="Arial" w:hAnsi="Arial" w:cs="Arial"/>
          <w:sz w:val="24"/>
          <w:szCs w:val="24"/>
        </w:rPr>
        <w:t xml:space="preserve">verificó debidamente el cumplimiento y calidad de las normas administrativas y financieras. </w:t>
      </w:r>
      <w:r w:rsidR="00A227F5">
        <w:rPr>
          <w:rFonts w:ascii="Arial" w:hAnsi="Arial" w:cs="Arial"/>
          <w:sz w:val="24"/>
          <w:szCs w:val="24"/>
        </w:rPr>
        <w:t>Solamente se reportaron 4 hallazgos y recomendaciones en las unidades de Administración y Recursos Humanos y en la UACI.</w:t>
      </w:r>
    </w:p>
    <w:p w:rsidR="00AD093F" w:rsidRDefault="00AD093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093F" w:rsidRPr="00F04F60" w:rsidRDefault="00AD093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4593" w:rsidRDefault="00AD093F" w:rsidP="00F34171">
      <w:pPr>
        <w:pStyle w:val="Ttulo1"/>
        <w:numPr>
          <w:ilvl w:val="0"/>
          <w:numId w:val="33"/>
        </w:numPr>
      </w:pP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408305</wp:posOffset>
            </wp:positionV>
            <wp:extent cx="2456180" cy="599440"/>
            <wp:effectExtent l="0" t="0" r="1270" b="0"/>
            <wp:wrapTight wrapText="bothSides">
              <wp:wrapPolygon edited="0">
                <wp:start x="0" y="0"/>
                <wp:lineTo x="0" y="19907"/>
                <wp:lineTo x="21444" y="19907"/>
                <wp:lineTo x="21444" y="0"/>
                <wp:lineTo x="0" y="0"/>
              </wp:wrapPolygon>
            </wp:wrapTight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399415</wp:posOffset>
            </wp:positionV>
            <wp:extent cx="2560320" cy="598805"/>
            <wp:effectExtent l="0" t="0" r="0" b="0"/>
            <wp:wrapTight wrapText="bothSides">
              <wp:wrapPolygon edited="0">
                <wp:start x="0" y="0"/>
                <wp:lineTo x="0" y="19928"/>
                <wp:lineTo x="21375" y="19928"/>
                <wp:lineTo x="21375" y="0"/>
                <wp:lineTo x="0" y="0"/>
              </wp:wrapPolygon>
            </wp:wrapTight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48A">
        <w:t>Unidad Financiera Institucional</w:t>
      </w:r>
    </w:p>
    <w:p w:rsidR="00D4148A" w:rsidRPr="00D4148A" w:rsidRDefault="00D4148A" w:rsidP="00F34171">
      <w:pPr>
        <w:jc w:val="both"/>
      </w:pPr>
    </w:p>
    <w:p w:rsidR="00D4148A" w:rsidRDefault="00D4148A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UFI cumplió satisfactoriamente</w:t>
      </w:r>
      <w:r w:rsidR="00B66E3C">
        <w:rPr>
          <w:rFonts w:ascii="Arial" w:hAnsi="Arial" w:cs="Arial"/>
          <w:sz w:val="24"/>
          <w:szCs w:val="24"/>
        </w:rPr>
        <w:t xml:space="preserve"> con </w:t>
      </w:r>
      <w:r w:rsidR="00AD093F">
        <w:rPr>
          <w:rFonts w:ascii="Arial" w:hAnsi="Arial" w:cs="Arial"/>
          <w:sz w:val="24"/>
          <w:szCs w:val="24"/>
        </w:rPr>
        <w:t>las</w:t>
      </w:r>
      <w:r w:rsidR="00B66E3C">
        <w:rPr>
          <w:rFonts w:ascii="Arial" w:hAnsi="Arial" w:cs="Arial"/>
          <w:sz w:val="24"/>
          <w:szCs w:val="24"/>
        </w:rPr>
        <w:t xml:space="preserve"> </w:t>
      </w:r>
      <w:r w:rsidR="00AD093F">
        <w:rPr>
          <w:rFonts w:ascii="Arial" w:hAnsi="Arial" w:cs="Arial"/>
          <w:sz w:val="24"/>
          <w:szCs w:val="24"/>
        </w:rPr>
        <w:t>20</w:t>
      </w:r>
      <w:r w:rsidR="00B66E3C">
        <w:rPr>
          <w:rFonts w:ascii="Arial" w:hAnsi="Arial" w:cs="Arial"/>
          <w:sz w:val="24"/>
          <w:szCs w:val="24"/>
        </w:rPr>
        <w:t xml:space="preserve"> actividades programadas</w:t>
      </w:r>
      <w:r w:rsidR="00AD093F">
        <w:rPr>
          <w:rFonts w:ascii="Arial" w:hAnsi="Arial" w:cs="Arial"/>
          <w:sz w:val="24"/>
          <w:szCs w:val="24"/>
        </w:rPr>
        <w:t xml:space="preserve">, </w:t>
      </w:r>
      <w:r w:rsidR="00890C90">
        <w:rPr>
          <w:rFonts w:ascii="Arial" w:hAnsi="Arial" w:cs="Arial"/>
          <w:sz w:val="24"/>
          <w:szCs w:val="24"/>
        </w:rPr>
        <w:t xml:space="preserve">se </w:t>
      </w:r>
      <w:r w:rsidR="006E05CD">
        <w:rPr>
          <w:rFonts w:ascii="Arial" w:hAnsi="Arial" w:cs="Arial"/>
          <w:sz w:val="24"/>
          <w:szCs w:val="24"/>
        </w:rPr>
        <w:t>enumeran las más sustantivas</w:t>
      </w:r>
      <w:r w:rsidR="00B66E3C">
        <w:rPr>
          <w:rFonts w:ascii="Arial" w:hAnsi="Arial" w:cs="Arial"/>
          <w:sz w:val="24"/>
          <w:szCs w:val="24"/>
        </w:rPr>
        <w:t>: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0F4" w:rsidRDefault="00967FCC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Requerimiento de fondos de remuneración.</w:t>
      </w:r>
    </w:p>
    <w:p w:rsidR="00967FCC" w:rsidRDefault="006E05CD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Pago de remuneraciones.</w:t>
      </w:r>
    </w:p>
    <w:p w:rsidR="006E05CD" w:rsidRDefault="00AB6279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Requerimiento de fondos de bienes y servicios.</w:t>
      </w:r>
    </w:p>
    <w:p w:rsidR="00AB6279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Pago de bienes y servicios.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Cierre contable anual.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Cierres contables mensuales.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Percibido de ingresos.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Devengado de ingresos.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Validación del pagado de remuneraciones y de bienes y servicios.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conciliaciones bancarias.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 informes contables.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compromisos presupuestarios.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Modificaciones presupuestarias del presupuesto en ejecución.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conciliaciones bancarias.</w:t>
      </w:r>
    </w:p>
    <w:p w:rsidR="00A0598B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PEP institucional.</w:t>
      </w:r>
    </w:p>
    <w:p w:rsidR="00A0598B" w:rsidRPr="001810F4" w:rsidRDefault="00A0598B" w:rsidP="00F3417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a la ejecución presupuestaria.</w:t>
      </w:r>
    </w:p>
    <w:p w:rsidR="00B66E3C" w:rsidRPr="002E640A" w:rsidRDefault="00B66E3C" w:rsidP="00F34171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4148A" w:rsidRDefault="002E640A" w:rsidP="00F34171">
      <w:pPr>
        <w:pStyle w:val="Ttulo1"/>
        <w:numPr>
          <w:ilvl w:val="0"/>
          <w:numId w:val="33"/>
        </w:numPr>
        <w:tabs>
          <w:tab w:val="left" w:pos="709"/>
          <w:tab w:val="left" w:pos="851"/>
        </w:tabs>
      </w:pPr>
      <w:r w:rsidRPr="002E640A">
        <w:t>Secretaría General</w:t>
      </w:r>
    </w:p>
    <w:p w:rsidR="002E640A" w:rsidRDefault="00AD093F" w:rsidP="00F34171">
      <w:pPr>
        <w:jc w:val="both"/>
      </w:pPr>
      <w:r w:rsidRPr="002E640A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37465</wp:posOffset>
            </wp:positionV>
            <wp:extent cx="2019300" cy="588645"/>
            <wp:effectExtent l="0" t="0" r="0" b="1905"/>
            <wp:wrapTight wrapText="bothSides">
              <wp:wrapPolygon edited="0">
                <wp:start x="0" y="0"/>
                <wp:lineTo x="0" y="20971"/>
                <wp:lineTo x="21396" y="20971"/>
                <wp:lineTo x="2139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17780</wp:posOffset>
            </wp:positionV>
            <wp:extent cx="2419350" cy="608965"/>
            <wp:effectExtent l="0" t="0" r="0" b="0"/>
            <wp:wrapTight wrapText="bothSides">
              <wp:wrapPolygon edited="0">
                <wp:start x="0" y="0"/>
                <wp:lineTo x="0" y="20271"/>
                <wp:lineTo x="21430" y="20271"/>
                <wp:lineTo x="21430" y="0"/>
                <wp:lineTo x="0" y="0"/>
              </wp:wrapPolygon>
            </wp:wrapTight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40A" w:rsidRPr="002E640A" w:rsidRDefault="002E640A" w:rsidP="00F34171">
      <w:pPr>
        <w:jc w:val="both"/>
      </w:pPr>
    </w:p>
    <w:p w:rsidR="00D4148A" w:rsidRDefault="00D4148A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48A" w:rsidRDefault="002E640A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40A">
        <w:rPr>
          <w:rFonts w:ascii="Arial" w:hAnsi="Arial" w:cs="Arial"/>
          <w:sz w:val="24"/>
          <w:szCs w:val="24"/>
        </w:rPr>
        <w:t xml:space="preserve">La Secretaría General cumplió exitosamente con </w:t>
      </w:r>
      <w:r w:rsidR="00C16657">
        <w:rPr>
          <w:rFonts w:ascii="Arial" w:hAnsi="Arial" w:cs="Arial"/>
          <w:sz w:val="24"/>
          <w:szCs w:val="24"/>
        </w:rPr>
        <w:t xml:space="preserve">las 5 </w:t>
      </w:r>
      <w:r w:rsidRPr="002E640A">
        <w:rPr>
          <w:rFonts w:ascii="Arial" w:hAnsi="Arial" w:cs="Arial"/>
          <w:sz w:val="24"/>
          <w:szCs w:val="24"/>
        </w:rPr>
        <w:t>actividades programadas, descritas a continuación: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657" w:rsidRDefault="00875F54" w:rsidP="00F34171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657">
        <w:rPr>
          <w:rFonts w:ascii="Arial" w:hAnsi="Arial" w:cs="Arial"/>
          <w:sz w:val="24"/>
          <w:szCs w:val="24"/>
        </w:rPr>
        <w:t xml:space="preserve">Brindar asistencia técnica y legal al CD, </w:t>
      </w:r>
      <w:r w:rsidR="00C16657" w:rsidRPr="00C16657">
        <w:rPr>
          <w:rFonts w:ascii="Arial" w:hAnsi="Arial" w:cs="Arial"/>
          <w:sz w:val="24"/>
          <w:szCs w:val="24"/>
        </w:rPr>
        <w:t xml:space="preserve">49 </w:t>
      </w:r>
      <w:r w:rsidRPr="00C16657">
        <w:rPr>
          <w:rFonts w:ascii="Arial" w:hAnsi="Arial" w:cs="Arial"/>
          <w:sz w:val="24"/>
          <w:szCs w:val="24"/>
        </w:rPr>
        <w:t>actas elaboradas y firmadas</w:t>
      </w:r>
      <w:r w:rsidR="00C16657" w:rsidRPr="00C16657">
        <w:rPr>
          <w:rFonts w:ascii="Arial" w:hAnsi="Arial" w:cs="Arial"/>
          <w:sz w:val="24"/>
          <w:szCs w:val="24"/>
        </w:rPr>
        <w:t>.</w:t>
      </w:r>
      <w:r w:rsidRPr="00C16657">
        <w:rPr>
          <w:rFonts w:ascii="Arial" w:hAnsi="Arial" w:cs="Arial"/>
          <w:sz w:val="24"/>
          <w:szCs w:val="24"/>
        </w:rPr>
        <w:t xml:space="preserve"> </w:t>
      </w:r>
    </w:p>
    <w:p w:rsidR="00875F54" w:rsidRPr="00C16657" w:rsidRDefault="00875F54" w:rsidP="00F34171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657">
        <w:rPr>
          <w:rFonts w:ascii="Arial" w:hAnsi="Arial" w:cs="Arial"/>
          <w:sz w:val="24"/>
          <w:szCs w:val="24"/>
        </w:rPr>
        <w:t>Asistencia en traducci</w:t>
      </w:r>
      <w:r w:rsidR="00C16657">
        <w:rPr>
          <w:rFonts w:ascii="Arial" w:hAnsi="Arial" w:cs="Arial"/>
          <w:sz w:val="24"/>
          <w:szCs w:val="24"/>
        </w:rPr>
        <w:t xml:space="preserve">ones a la Unidad de Comunicaciones en </w:t>
      </w:r>
      <w:r w:rsidRPr="00C16657">
        <w:rPr>
          <w:rFonts w:ascii="Arial" w:hAnsi="Arial" w:cs="Arial"/>
          <w:sz w:val="24"/>
          <w:szCs w:val="24"/>
        </w:rPr>
        <w:t>comunicados de</w:t>
      </w:r>
      <w:r w:rsidR="00C16657">
        <w:rPr>
          <w:rFonts w:ascii="Arial" w:hAnsi="Arial" w:cs="Arial"/>
          <w:sz w:val="24"/>
          <w:szCs w:val="24"/>
        </w:rPr>
        <w:t xml:space="preserve"> prensa.</w:t>
      </w:r>
    </w:p>
    <w:p w:rsidR="00875F54" w:rsidRDefault="00875F54" w:rsidP="00F34171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Administrar Auditoría Externa.</w:t>
      </w:r>
    </w:p>
    <w:p w:rsidR="000F5BA2" w:rsidRPr="002C7A18" w:rsidRDefault="00875F54" w:rsidP="00F34171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A18">
        <w:rPr>
          <w:rFonts w:ascii="Arial" w:hAnsi="Arial" w:cs="Arial"/>
          <w:sz w:val="24"/>
          <w:szCs w:val="24"/>
        </w:rPr>
        <w:t>Crear procedimientos para la custodia de la información confidencial.</w:t>
      </w:r>
    </w:p>
    <w:p w:rsidR="000F5BA2" w:rsidRDefault="000F5BA2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171" w:rsidRDefault="00F34171" w:rsidP="00F34171">
      <w:pPr>
        <w:pStyle w:val="Ttulo1"/>
        <w:tabs>
          <w:tab w:val="left" w:pos="709"/>
          <w:tab w:val="left" w:pos="851"/>
        </w:tabs>
        <w:ind w:left="720"/>
      </w:pPr>
    </w:p>
    <w:p w:rsidR="005648D5" w:rsidRDefault="005648D5" w:rsidP="00F34171">
      <w:pPr>
        <w:pStyle w:val="Ttulo1"/>
        <w:numPr>
          <w:ilvl w:val="0"/>
          <w:numId w:val="33"/>
        </w:numPr>
        <w:tabs>
          <w:tab w:val="left" w:pos="709"/>
          <w:tab w:val="left" w:pos="851"/>
        </w:tabs>
      </w:pPr>
      <w:r>
        <w:t>Unidad de Planificación</w:t>
      </w:r>
    </w:p>
    <w:p w:rsidR="005648D5" w:rsidRPr="005648D5" w:rsidRDefault="00C16657" w:rsidP="00F34171">
      <w:pPr>
        <w:jc w:val="both"/>
      </w:pPr>
      <w:r w:rsidRPr="00556485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3810</wp:posOffset>
            </wp:positionV>
            <wp:extent cx="2171700" cy="651510"/>
            <wp:effectExtent l="0" t="0" r="0" b="0"/>
            <wp:wrapTight wrapText="bothSides">
              <wp:wrapPolygon edited="0">
                <wp:start x="0" y="0"/>
                <wp:lineTo x="0" y="20842"/>
                <wp:lineTo x="21411" y="20842"/>
                <wp:lineTo x="21411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3175</wp:posOffset>
            </wp:positionV>
            <wp:extent cx="2362200" cy="551815"/>
            <wp:effectExtent l="0" t="0" r="0" b="635"/>
            <wp:wrapTight wrapText="bothSides">
              <wp:wrapPolygon edited="0">
                <wp:start x="0" y="0"/>
                <wp:lineTo x="0" y="20879"/>
                <wp:lineTo x="21426" y="20879"/>
                <wp:lineTo x="21426" y="0"/>
                <wp:lineTo x="0" y="0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40A" w:rsidRDefault="002E640A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48A" w:rsidRDefault="00D4148A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6485" w:rsidRDefault="00556485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48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Unidad de Planificación cumplió satisfactoriamente con las </w:t>
      </w:r>
      <w:r w:rsidR="00C1665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actividades programadas, </w:t>
      </w:r>
      <w:r w:rsidR="00C16657">
        <w:rPr>
          <w:rFonts w:ascii="Arial" w:hAnsi="Arial" w:cs="Arial"/>
          <w:sz w:val="24"/>
          <w:szCs w:val="24"/>
        </w:rPr>
        <w:t xml:space="preserve">siendo las más sustantivas las </w:t>
      </w:r>
      <w:r>
        <w:rPr>
          <w:rFonts w:ascii="Arial" w:hAnsi="Arial" w:cs="Arial"/>
          <w:sz w:val="24"/>
          <w:szCs w:val="24"/>
        </w:rPr>
        <w:t>descritas a continuación: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6485" w:rsidRDefault="009A0422" w:rsidP="00F34171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las solicitudes de modificación al PEI y/o POA que se presenten</w:t>
      </w:r>
      <w:r w:rsidR="00C16657">
        <w:rPr>
          <w:rFonts w:ascii="Arial" w:hAnsi="Arial" w:cs="Arial"/>
          <w:sz w:val="24"/>
          <w:szCs w:val="24"/>
        </w:rPr>
        <w:t>.</w:t>
      </w:r>
      <w:r w:rsidR="00FB0EF8">
        <w:rPr>
          <w:rFonts w:ascii="Arial" w:hAnsi="Arial" w:cs="Arial"/>
          <w:sz w:val="24"/>
          <w:szCs w:val="24"/>
        </w:rPr>
        <w:t xml:space="preserve"> </w:t>
      </w:r>
    </w:p>
    <w:p w:rsidR="009A0422" w:rsidRDefault="009A0422" w:rsidP="00F34171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Monitorear y evaluar </w:t>
      </w:r>
      <w:proofErr w:type="spellStart"/>
      <w:r>
        <w:rPr>
          <w:rFonts w:ascii="Arial" w:hAnsi="Arial" w:cs="Arial"/>
          <w:sz w:val="24"/>
          <w:szCs w:val="24"/>
        </w:rPr>
        <w:t>POAs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0422" w:rsidRDefault="009A0422" w:rsidP="00F34171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Monitorear y evaluar PEI.</w:t>
      </w:r>
    </w:p>
    <w:p w:rsidR="009A0422" w:rsidRPr="00556485" w:rsidRDefault="009A0422" w:rsidP="00F34171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Identificar, analizar y gestionar riesgo institucional.</w:t>
      </w:r>
    </w:p>
    <w:p w:rsidR="00D4148A" w:rsidRDefault="00D4148A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67B4" w:rsidRDefault="00C16657" w:rsidP="00F34171">
      <w:pPr>
        <w:pStyle w:val="Ttulo1"/>
        <w:numPr>
          <w:ilvl w:val="0"/>
          <w:numId w:val="33"/>
        </w:numPr>
        <w:tabs>
          <w:tab w:val="left" w:pos="709"/>
          <w:tab w:val="left" w:pos="851"/>
        </w:tabs>
      </w:pPr>
      <w:r w:rsidRPr="00BB67B4"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304165</wp:posOffset>
            </wp:positionV>
            <wp:extent cx="2171700" cy="616585"/>
            <wp:effectExtent l="0" t="0" r="0" b="0"/>
            <wp:wrapTight wrapText="bothSides">
              <wp:wrapPolygon edited="0">
                <wp:start x="0" y="0"/>
                <wp:lineTo x="0" y="20688"/>
                <wp:lineTo x="21411" y="20688"/>
                <wp:lineTo x="21411" y="0"/>
                <wp:lineTo x="0" y="0"/>
              </wp:wrapPolygon>
            </wp:wrapTight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24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304165</wp:posOffset>
            </wp:positionV>
            <wp:extent cx="2537460" cy="593090"/>
            <wp:effectExtent l="0" t="0" r="0" b="0"/>
            <wp:wrapTight wrapText="bothSides">
              <wp:wrapPolygon edited="0">
                <wp:start x="0" y="0"/>
                <wp:lineTo x="0" y="20120"/>
                <wp:lineTo x="21405" y="20120"/>
                <wp:lineTo x="21405" y="0"/>
                <wp:lineTo x="0" y="0"/>
              </wp:wrapPolygon>
            </wp:wrapTight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7B4" w:rsidRPr="00BB67B4">
        <w:t>Unidad de Acceso a la Información Pública</w:t>
      </w:r>
    </w:p>
    <w:p w:rsidR="00EC16DD" w:rsidRPr="00EC16DD" w:rsidRDefault="00EC16DD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16DD">
        <w:rPr>
          <w:rFonts w:ascii="Arial" w:hAnsi="Arial" w:cs="Arial"/>
          <w:sz w:val="24"/>
          <w:szCs w:val="24"/>
        </w:rPr>
        <w:t>La U</w:t>
      </w:r>
      <w:r>
        <w:rPr>
          <w:rFonts w:ascii="Arial" w:hAnsi="Arial" w:cs="Arial"/>
          <w:sz w:val="24"/>
          <w:szCs w:val="24"/>
        </w:rPr>
        <w:t>nidad de Acceso a la Información Pública re</w:t>
      </w:r>
      <w:r w:rsidR="00C16657">
        <w:rPr>
          <w:rFonts w:ascii="Arial" w:hAnsi="Arial" w:cs="Arial"/>
          <w:sz w:val="24"/>
          <w:szCs w:val="24"/>
        </w:rPr>
        <w:t>alizó con éxito la respuesta a 17</w:t>
      </w:r>
      <w:r>
        <w:rPr>
          <w:rFonts w:ascii="Arial" w:hAnsi="Arial" w:cs="Arial"/>
          <w:sz w:val="24"/>
          <w:szCs w:val="24"/>
        </w:rPr>
        <w:t xml:space="preserve"> solicitudes de información de manera pronta en cumplimiento a la LAIP.</w:t>
      </w:r>
    </w:p>
    <w:p w:rsidR="00F34171" w:rsidRDefault="00F34171" w:rsidP="00F34171">
      <w:pPr>
        <w:pStyle w:val="Ttulo1"/>
        <w:spacing w:line="240" w:lineRule="auto"/>
      </w:pPr>
    </w:p>
    <w:p w:rsidR="00F34171" w:rsidRDefault="00F34171" w:rsidP="00F34171">
      <w:pPr>
        <w:pStyle w:val="Ttulo1"/>
        <w:spacing w:line="240" w:lineRule="auto"/>
      </w:pPr>
    </w:p>
    <w:p w:rsidR="00F16762" w:rsidRDefault="00F16762" w:rsidP="00F16762"/>
    <w:p w:rsidR="00F16762" w:rsidRDefault="00F16762" w:rsidP="00F16762"/>
    <w:p w:rsidR="00F16762" w:rsidRDefault="00F16762" w:rsidP="00F16762"/>
    <w:p w:rsidR="001027B9" w:rsidRPr="000F5BA2" w:rsidRDefault="000318A4" w:rsidP="00F34171">
      <w:pPr>
        <w:pStyle w:val="Ttulo1"/>
        <w:spacing w:line="240" w:lineRule="auto"/>
        <w:rPr>
          <w:sz w:val="24"/>
        </w:rPr>
      </w:pPr>
      <w:r>
        <w:t xml:space="preserve">Consolidado de la </w:t>
      </w:r>
      <w:r w:rsidR="00226A24">
        <w:t xml:space="preserve">evaluación </w:t>
      </w:r>
      <w:r>
        <w:t xml:space="preserve">de POA </w:t>
      </w:r>
      <w:r w:rsidR="00226A24">
        <w:t>institucional</w:t>
      </w:r>
      <w:r w:rsidR="00F34171">
        <w:t>:</w:t>
      </w:r>
    </w:p>
    <w:p w:rsidR="00F34171" w:rsidRDefault="00F34171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CAA" w:rsidRDefault="00F342C7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 la planificación vigente, </w:t>
      </w:r>
      <w:r w:rsidR="00C17FB4">
        <w:rPr>
          <w:rFonts w:ascii="Arial" w:hAnsi="Arial" w:cs="Arial"/>
          <w:sz w:val="24"/>
          <w:szCs w:val="24"/>
        </w:rPr>
        <w:t>la evaluación integral del POA se calculará</w:t>
      </w:r>
      <w:r w:rsidR="0099219F">
        <w:rPr>
          <w:rFonts w:ascii="Arial" w:hAnsi="Arial" w:cs="Arial"/>
          <w:sz w:val="24"/>
          <w:szCs w:val="24"/>
        </w:rPr>
        <w:t xml:space="preserve"> consolidando la evaluación obtenida por cada una de las unidades funcionales </w:t>
      </w:r>
      <w:r w:rsidR="00C82CAA">
        <w:rPr>
          <w:rFonts w:ascii="Arial" w:hAnsi="Arial" w:cs="Arial"/>
          <w:sz w:val="24"/>
          <w:szCs w:val="24"/>
        </w:rPr>
        <w:t>con base en las atribuciones de la SC establecida en la Ley de Competencia, de acuerdo a los siguientes porcentajes:</w:t>
      </w:r>
    </w:p>
    <w:p w:rsidR="00F342C7" w:rsidRDefault="00F16762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828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860425</wp:posOffset>
            </wp:positionH>
            <wp:positionV relativeFrom="paragraph">
              <wp:posOffset>86360</wp:posOffset>
            </wp:positionV>
            <wp:extent cx="3450590" cy="2263140"/>
            <wp:effectExtent l="0" t="0" r="0" b="3810"/>
            <wp:wrapTight wrapText="bothSides">
              <wp:wrapPolygon edited="0">
                <wp:start x="0" y="0"/>
                <wp:lineTo x="0" y="21455"/>
                <wp:lineTo x="16576" y="21455"/>
                <wp:lineTo x="21465" y="20909"/>
                <wp:lineTo x="21465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6CF" w:rsidRDefault="009066CF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DD5" w:rsidRDefault="00914DD5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990" w:rsidRDefault="00B66990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entonces, la evaluación consolidada institucional de cada unidad organizativa</w:t>
      </w:r>
      <w:r w:rsidRPr="00F342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 SC, queda tal como lo muestra el siguiente cuadro:</w:t>
      </w:r>
    </w:p>
    <w:p w:rsidR="00064C1B" w:rsidRPr="006A3B6A" w:rsidRDefault="00064C1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2268"/>
        <w:gridCol w:w="2835"/>
      </w:tblGrid>
      <w:tr w:rsidR="00BF1D04" w:rsidRPr="009B1F63" w:rsidTr="00387C4E">
        <w:trPr>
          <w:trHeight w:val="582"/>
        </w:trPr>
        <w:tc>
          <w:tcPr>
            <w:tcW w:w="3573" w:type="dxa"/>
            <w:noWrap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UNIDADES</w:t>
            </w:r>
          </w:p>
        </w:tc>
        <w:tc>
          <w:tcPr>
            <w:tcW w:w="2268" w:type="dxa"/>
            <w:hideMark/>
          </w:tcPr>
          <w:p w:rsidR="001C4CFD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EVALUACIÓN POA</w:t>
            </w:r>
          </w:p>
          <w:p w:rsidR="00BF1D04" w:rsidRPr="00FA3CB6" w:rsidRDefault="001C4CFD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(sin pesos)</w:t>
            </w:r>
            <w:r w:rsidR="009B1F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 xml:space="preserve">EVALUACIÓN FINAL </w:t>
            </w:r>
            <w:r w:rsidRPr="00FA3CB6">
              <w:rPr>
                <w:rFonts w:ascii="Arial" w:hAnsi="Arial" w:cs="Arial"/>
                <w:sz w:val="22"/>
                <w:szCs w:val="22"/>
              </w:rPr>
              <w:br/>
            </w:r>
            <w:r w:rsidR="001C4CFD">
              <w:rPr>
                <w:rFonts w:ascii="Arial" w:hAnsi="Arial" w:cs="Arial"/>
                <w:sz w:val="22"/>
                <w:szCs w:val="22"/>
              </w:rPr>
              <w:t xml:space="preserve">(con pesos </w:t>
            </w:r>
            <w:proofErr w:type="spellStart"/>
            <w:r w:rsidR="001C4CFD">
              <w:rPr>
                <w:rFonts w:ascii="Arial" w:hAnsi="Arial" w:cs="Arial"/>
                <w:sz w:val="22"/>
                <w:szCs w:val="22"/>
              </w:rPr>
              <w:t>asignados</w:t>
            </w:r>
            <w:proofErr w:type="spellEnd"/>
            <w:r w:rsidR="001C4CF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noWrap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INTENDENCIA DE INVESTIGACIONES</w:t>
            </w:r>
          </w:p>
        </w:tc>
        <w:tc>
          <w:tcPr>
            <w:tcW w:w="2268" w:type="dxa"/>
            <w:noWrap/>
          </w:tcPr>
          <w:p w:rsidR="00BF1D04" w:rsidRPr="00FA3CB6" w:rsidRDefault="00584AD6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Default="00B82392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BD7263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B82392" w:rsidRPr="00FA3CB6" w:rsidRDefault="00B82392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D04" w:rsidRPr="006A3B6A" w:rsidTr="005B4D10">
        <w:trPr>
          <w:trHeight w:val="661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INTENDENCIA DE ABOGACÍA DE LA COMPETENCIA</w:t>
            </w:r>
          </w:p>
        </w:tc>
        <w:tc>
          <w:tcPr>
            <w:tcW w:w="2268" w:type="dxa"/>
            <w:noWrap/>
          </w:tcPr>
          <w:p w:rsidR="00584AD6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92.95</w:t>
            </w:r>
          </w:p>
        </w:tc>
        <w:tc>
          <w:tcPr>
            <w:tcW w:w="2835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13.94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INTENDENCIA ECONÓMICA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98.</w:t>
            </w:r>
            <w:r w:rsidR="00250B64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835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14.7</w:t>
            </w:r>
            <w:r w:rsidR="00250B64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noWrap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INFORMÁTICA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</w:tr>
      <w:tr w:rsidR="00BF1D04" w:rsidRPr="006A3B6A" w:rsidTr="00387C4E">
        <w:trPr>
          <w:trHeight w:val="534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ADMINISTRACIÓN Y RECURSOS HUMANOS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noWrap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COMUNICACIONES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94.14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9.41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FINANCIERA INSTITUCIONAL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98.36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4.92</w:t>
            </w:r>
          </w:p>
        </w:tc>
      </w:tr>
      <w:tr w:rsidR="00BF1D04" w:rsidRPr="006A3B6A" w:rsidTr="005B4D10">
        <w:trPr>
          <w:trHeight w:val="810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ADQUISICIONES Y CONTRATACIONES INSTITUCIONAL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SECRETARÍA GENERAL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UNIDAD DE PLANIFICACIÓN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</w:t>
            </w:r>
          </w:p>
        </w:tc>
      </w:tr>
      <w:tr w:rsidR="00BF1D04" w:rsidRPr="006A3B6A" w:rsidTr="005B4D10">
        <w:trPr>
          <w:trHeight w:val="405"/>
        </w:trPr>
        <w:tc>
          <w:tcPr>
            <w:tcW w:w="3573" w:type="dxa"/>
            <w:hideMark/>
          </w:tcPr>
          <w:p w:rsidR="00BF1D04" w:rsidRPr="00FA3CB6" w:rsidRDefault="00BF1D04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CB6">
              <w:rPr>
                <w:rFonts w:ascii="Arial" w:hAnsi="Arial" w:cs="Arial"/>
                <w:sz w:val="22"/>
                <w:szCs w:val="22"/>
              </w:rPr>
              <w:t>AUDITORÍA INTERNA</w:t>
            </w:r>
          </w:p>
        </w:tc>
        <w:tc>
          <w:tcPr>
            <w:tcW w:w="2268" w:type="dxa"/>
            <w:noWrap/>
          </w:tcPr>
          <w:p w:rsidR="00BF1D04" w:rsidRPr="00FA3CB6" w:rsidRDefault="00914DD5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F1D04" w:rsidRPr="00FA3CB6" w:rsidRDefault="00BD7263" w:rsidP="00F341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</w:tr>
      <w:tr w:rsidR="00B82392" w:rsidRPr="006A3B6A" w:rsidTr="005B4D10">
        <w:trPr>
          <w:trHeight w:val="405"/>
        </w:trPr>
        <w:tc>
          <w:tcPr>
            <w:tcW w:w="3573" w:type="dxa"/>
          </w:tcPr>
          <w:p w:rsidR="00B82392" w:rsidRPr="00FA3CB6" w:rsidRDefault="00B82392" w:rsidP="00F34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</w:t>
            </w:r>
          </w:p>
        </w:tc>
        <w:tc>
          <w:tcPr>
            <w:tcW w:w="2268" w:type="dxa"/>
            <w:noWrap/>
          </w:tcPr>
          <w:p w:rsidR="00B82392" w:rsidRDefault="00914DD5" w:rsidP="00F34171">
            <w:pPr>
              <w:jc w:val="both"/>
              <w:rPr>
                <w:rFonts w:ascii="Arial" w:hAnsi="Arial" w:cs="Arial"/>
              </w:rPr>
            </w:pPr>
            <w:r w:rsidRPr="00914DD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  <w:noWrap/>
          </w:tcPr>
          <w:p w:rsidR="00B82392" w:rsidRPr="00FA3CB6" w:rsidRDefault="00BD7263" w:rsidP="00F34171">
            <w:pPr>
              <w:jc w:val="both"/>
              <w:rPr>
                <w:rFonts w:ascii="Arial" w:hAnsi="Arial" w:cs="Arial"/>
              </w:rPr>
            </w:pPr>
            <w:r w:rsidRPr="00BD7263">
              <w:rPr>
                <w:rFonts w:ascii="Arial" w:hAnsi="Arial" w:cs="Arial"/>
                <w:sz w:val="22"/>
                <w:szCs w:val="22"/>
              </w:rPr>
              <w:t>3.00</w:t>
            </w:r>
          </w:p>
        </w:tc>
      </w:tr>
      <w:tr w:rsidR="00BF1D04" w:rsidRPr="006A3B6A" w:rsidTr="00387C4E">
        <w:trPr>
          <w:trHeight w:val="208"/>
        </w:trPr>
        <w:tc>
          <w:tcPr>
            <w:tcW w:w="5841" w:type="dxa"/>
            <w:gridSpan w:val="2"/>
          </w:tcPr>
          <w:p w:rsidR="00BF1D04" w:rsidRPr="00FA3CB6" w:rsidRDefault="00584AD6" w:rsidP="00F34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</w:t>
            </w:r>
            <w:r w:rsidR="00BB7ED3">
              <w:rPr>
                <w:rFonts w:ascii="Arial" w:hAnsi="Arial" w:cs="Arial"/>
              </w:rPr>
              <w:t xml:space="preserve">      EVALUACIÓN ANUAL</w:t>
            </w:r>
          </w:p>
        </w:tc>
        <w:tc>
          <w:tcPr>
            <w:tcW w:w="2835" w:type="dxa"/>
            <w:noWrap/>
          </w:tcPr>
          <w:p w:rsidR="00BF1D04" w:rsidRPr="00FA3CB6" w:rsidRDefault="00250B64" w:rsidP="00F34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98.06</w:t>
            </w:r>
          </w:p>
        </w:tc>
      </w:tr>
    </w:tbl>
    <w:p w:rsidR="000113A9" w:rsidRPr="006A3B6A" w:rsidRDefault="000113A9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08B1" w:rsidRDefault="00763CC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esfuerzo realizado por la SC en 201</w:t>
      </w:r>
      <w:r w:rsidR="00AB5AD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ha cosechado muy buenos frutos y eso se </w:t>
      </w:r>
      <w:r w:rsidR="002D3828">
        <w:rPr>
          <w:rFonts w:ascii="Arial" w:hAnsi="Arial" w:cs="Arial"/>
          <w:sz w:val="24"/>
          <w:szCs w:val="24"/>
        </w:rPr>
        <w:t xml:space="preserve">ve reflejado en el alcance del </w:t>
      </w:r>
      <w:r w:rsidR="00BD7263">
        <w:rPr>
          <w:rFonts w:ascii="Arial" w:hAnsi="Arial" w:cs="Arial"/>
          <w:sz w:val="24"/>
          <w:szCs w:val="24"/>
        </w:rPr>
        <w:t>98.0</w:t>
      </w:r>
      <w:r w:rsidR="00250B6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 en la evaluación final a nivel institucional, lo que sin duda contribuye a cumplir la Visión, Misión y Objetivos institucionales en favor de mejorar la eficiencia económica y el bienestar de los consumidores</w:t>
      </w:r>
      <w:r w:rsidR="00034BEE">
        <w:rPr>
          <w:rFonts w:ascii="Arial" w:hAnsi="Arial" w:cs="Arial"/>
          <w:sz w:val="24"/>
          <w:szCs w:val="24"/>
        </w:rPr>
        <w:t>.</w:t>
      </w:r>
    </w:p>
    <w:p w:rsidR="00BB67B4" w:rsidRDefault="00BB67B4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C7B" w:rsidRDefault="00FF3C7B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3C7B">
        <w:rPr>
          <w:rFonts w:ascii="Arial" w:hAnsi="Arial" w:cs="Arial"/>
          <w:b/>
          <w:sz w:val="24"/>
          <w:szCs w:val="24"/>
        </w:rPr>
        <w:t>Eje</w:t>
      </w:r>
      <w:r w:rsidR="0031198D">
        <w:rPr>
          <w:rFonts w:ascii="Arial" w:hAnsi="Arial" w:cs="Arial"/>
          <w:b/>
          <w:sz w:val="24"/>
          <w:szCs w:val="24"/>
        </w:rPr>
        <w:t xml:space="preserve">cución presupuestaria </w:t>
      </w:r>
      <w:r w:rsidR="00BB7ED3">
        <w:rPr>
          <w:rFonts w:ascii="Arial" w:hAnsi="Arial" w:cs="Arial"/>
          <w:b/>
          <w:sz w:val="24"/>
          <w:szCs w:val="24"/>
        </w:rPr>
        <w:t xml:space="preserve">de actividades de POA </w:t>
      </w:r>
      <w:r w:rsidR="0031198D">
        <w:rPr>
          <w:rFonts w:ascii="Arial" w:hAnsi="Arial" w:cs="Arial"/>
          <w:b/>
          <w:sz w:val="24"/>
          <w:szCs w:val="24"/>
        </w:rPr>
        <w:t>2017:</w:t>
      </w:r>
    </w:p>
    <w:p w:rsidR="00FF3C7B" w:rsidRDefault="004B3AF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129540</wp:posOffset>
            </wp:positionV>
            <wp:extent cx="4667250" cy="2811145"/>
            <wp:effectExtent l="0" t="0" r="0" b="8255"/>
            <wp:wrapTight wrapText="bothSides">
              <wp:wrapPolygon edited="0">
                <wp:start x="0" y="0"/>
                <wp:lineTo x="0" y="21517"/>
                <wp:lineTo x="21512" y="21517"/>
                <wp:lineTo x="21512" y="0"/>
                <wp:lineTo x="0" y="0"/>
              </wp:wrapPolygon>
            </wp:wrapTight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1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3C7B" w:rsidRPr="00FF3C7B" w:rsidRDefault="00FF3C7B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C7B" w:rsidRDefault="00FF3C7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BD8" w:rsidRDefault="00FA7BD8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E63" w:rsidRDefault="005B1E63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AF2" w:rsidRDefault="004B3AF2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3C7B" w:rsidRDefault="00FF3C7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presupuesto de POA </w:t>
      </w:r>
      <w:r w:rsidR="004B3AF2">
        <w:rPr>
          <w:rFonts w:ascii="Arial" w:hAnsi="Arial" w:cs="Arial"/>
          <w:sz w:val="24"/>
          <w:szCs w:val="24"/>
        </w:rPr>
        <w:t>se ejecutó en un 98.96%.</w:t>
      </w:r>
    </w:p>
    <w:p w:rsidR="00FF3C7B" w:rsidRDefault="00FF3C7B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0F2" w:rsidRDefault="004760F2" w:rsidP="00F3417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Evaluación de Resultados de PEI:</w:t>
      </w:r>
    </w:p>
    <w:p w:rsidR="004760F2" w:rsidRDefault="004760F2" w:rsidP="00F341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7254" w:rsidRDefault="0076725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254">
        <w:rPr>
          <w:rFonts w:ascii="Arial" w:hAnsi="Arial" w:cs="Arial"/>
          <w:sz w:val="24"/>
          <w:szCs w:val="24"/>
        </w:rPr>
        <w:t>A continuación,</w:t>
      </w:r>
      <w:r w:rsidR="0021633A">
        <w:rPr>
          <w:rFonts w:ascii="Arial" w:hAnsi="Arial" w:cs="Arial"/>
          <w:sz w:val="24"/>
          <w:szCs w:val="24"/>
        </w:rPr>
        <w:t xml:space="preserve"> se puede ver la evaluación de los resultados programados en el PEI</w:t>
      </w:r>
      <w:r w:rsidR="00D100CB">
        <w:rPr>
          <w:rFonts w:ascii="Arial" w:hAnsi="Arial" w:cs="Arial"/>
          <w:sz w:val="24"/>
          <w:szCs w:val="24"/>
        </w:rPr>
        <w:t>:</w:t>
      </w:r>
    </w:p>
    <w:p w:rsidR="00D100CB" w:rsidRDefault="00F16762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90170</wp:posOffset>
            </wp:positionV>
            <wp:extent cx="2419350" cy="590550"/>
            <wp:effectExtent l="0" t="0" r="0" b="0"/>
            <wp:wrapTight wrapText="bothSides">
              <wp:wrapPolygon edited="0">
                <wp:start x="0" y="0"/>
                <wp:lineTo x="0" y="20206"/>
                <wp:lineTo x="21430" y="20206"/>
                <wp:lineTo x="21430" y="0"/>
                <wp:lineTo x="0" y="0"/>
              </wp:wrapPolygon>
            </wp:wrapTight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86360</wp:posOffset>
            </wp:positionV>
            <wp:extent cx="2419350" cy="565816"/>
            <wp:effectExtent l="0" t="0" r="0" b="5715"/>
            <wp:wrapTight wrapText="bothSides">
              <wp:wrapPolygon edited="0">
                <wp:start x="0" y="0"/>
                <wp:lineTo x="0" y="21091"/>
                <wp:lineTo x="21430" y="21091"/>
                <wp:lineTo x="21430" y="0"/>
                <wp:lineTo x="0" y="0"/>
              </wp:wrapPolygon>
            </wp:wrapTight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65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254" w:rsidRDefault="00F16762" w:rsidP="00F34171">
      <w:pPr>
        <w:spacing w:after="0" w:line="240" w:lineRule="auto"/>
        <w:jc w:val="both"/>
        <w:rPr>
          <w:noProof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591820</wp:posOffset>
            </wp:positionV>
            <wp:extent cx="5724525" cy="895350"/>
            <wp:effectExtent l="0" t="0" r="9525" b="0"/>
            <wp:wrapTight wrapText="bothSides">
              <wp:wrapPolygon edited="0">
                <wp:start x="0" y="0"/>
                <wp:lineTo x="0" y="20221"/>
                <wp:lineTo x="21564" y="20221"/>
                <wp:lineTo x="21564" y="0"/>
                <wp:lineTo x="0" y="0"/>
              </wp:wrapPolygon>
            </wp:wrapTight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00CB" w:rsidRDefault="00D100CB" w:rsidP="00F34171">
      <w:pPr>
        <w:spacing w:after="0" w:line="240" w:lineRule="auto"/>
        <w:jc w:val="both"/>
        <w:rPr>
          <w:noProof/>
        </w:rPr>
      </w:pPr>
    </w:p>
    <w:p w:rsidR="00D100CB" w:rsidRDefault="00D100CB" w:rsidP="00F34171">
      <w:pPr>
        <w:spacing w:after="0" w:line="240" w:lineRule="auto"/>
        <w:jc w:val="both"/>
        <w:rPr>
          <w:noProof/>
        </w:rPr>
      </w:pPr>
    </w:p>
    <w:p w:rsidR="00767254" w:rsidRDefault="0076725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31C6" w:rsidRDefault="00767254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SC ha tenido un avance del </w:t>
      </w:r>
      <w:r w:rsidR="00557450">
        <w:rPr>
          <w:rFonts w:ascii="Arial" w:hAnsi="Arial" w:cs="Arial"/>
          <w:sz w:val="24"/>
          <w:szCs w:val="24"/>
        </w:rPr>
        <w:t>92.50</w:t>
      </w:r>
      <w:r>
        <w:rPr>
          <w:rFonts w:ascii="Arial" w:hAnsi="Arial" w:cs="Arial"/>
          <w:sz w:val="24"/>
          <w:szCs w:val="24"/>
        </w:rPr>
        <w:t>% a nivel de los resultados de PEI</w:t>
      </w:r>
      <w:r w:rsidR="00557450">
        <w:rPr>
          <w:rFonts w:ascii="Arial" w:hAnsi="Arial" w:cs="Arial"/>
          <w:sz w:val="24"/>
          <w:szCs w:val="24"/>
        </w:rPr>
        <w:t>, ver anexo 4 “Evaluación de PEI</w:t>
      </w:r>
      <w:r w:rsidR="006C4B4A">
        <w:rPr>
          <w:rFonts w:ascii="Arial" w:hAnsi="Arial" w:cs="Arial"/>
          <w:sz w:val="24"/>
          <w:szCs w:val="24"/>
        </w:rPr>
        <w:t>”</w:t>
      </w:r>
      <w:r w:rsidR="00557450">
        <w:rPr>
          <w:rFonts w:ascii="Arial" w:hAnsi="Arial" w:cs="Arial"/>
          <w:sz w:val="24"/>
          <w:szCs w:val="24"/>
        </w:rPr>
        <w:t xml:space="preserve"> para más detalle.</w:t>
      </w:r>
    </w:p>
    <w:p w:rsidR="00770996" w:rsidRDefault="00770996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0996" w:rsidRDefault="00770996" w:rsidP="00F34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0996" w:rsidSect="00064C1B">
      <w:footerReference w:type="default" r:id="rId35"/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1D" w:rsidRDefault="00D66C1D" w:rsidP="00F179C6">
      <w:pPr>
        <w:spacing w:after="0" w:line="240" w:lineRule="auto"/>
      </w:pPr>
      <w:r>
        <w:separator/>
      </w:r>
    </w:p>
  </w:endnote>
  <w:endnote w:type="continuationSeparator" w:id="0">
    <w:p w:rsidR="00D66C1D" w:rsidRDefault="00D66C1D" w:rsidP="00F1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C1B" w:rsidRDefault="00064C1B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27B1D" w:rsidRPr="00127B1D">
      <w:rPr>
        <w:caps/>
        <w:noProof/>
        <w:color w:val="4F81BD" w:themeColor="accent1"/>
        <w:lang w:val="es-ES"/>
      </w:rPr>
      <w:t>12</w:t>
    </w:r>
    <w:r>
      <w:rPr>
        <w:caps/>
        <w:color w:val="4F81BD" w:themeColor="accent1"/>
      </w:rPr>
      <w:fldChar w:fldCharType="end"/>
    </w:r>
  </w:p>
  <w:p w:rsidR="00064C1B" w:rsidRDefault="00064C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1D" w:rsidRDefault="00D66C1D" w:rsidP="00F179C6">
      <w:pPr>
        <w:spacing w:after="0" w:line="240" w:lineRule="auto"/>
      </w:pPr>
      <w:r>
        <w:separator/>
      </w:r>
    </w:p>
  </w:footnote>
  <w:footnote w:type="continuationSeparator" w:id="0">
    <w:p w:rsidR="00D66C1D" w:rsidRDefault="00D66C1D" w:rsidP="00F17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DC9"/>
    <w:multiLevelType w:val="hybridMultilevel"/>
    <w:tmpl w:val="6A0E0E5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55DE"/>
    <w:multiLevelType w:val="hybridMultilevel"/>
    <w:tmpl w:val="C1ECEC3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EC7"/>
    <w:multiLevelType w:val="hybridMultilevel"/>
    <w:tmpl w:val="FA3466D0"/>
    <w:lvl w:ilvl="0" w:tplc="A01006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1111F"/>
    <w:multiLevelType w:val="hybridMultilevel"/>
    <w:tmpl w:val="6B028F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A7952"/>
    <w:multiLevelType w:val="hybridMultilevel"/>
    <w:tmpl w:val="B7CA4E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94F29"/>
    <w:multiLevelType w:val="hybridMultilevel"/>
    <w:tmpl w:val="01322D8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75EFD"/>
    <w:multiLevelType w:val="hybridMultilevel"/>
    <w:tmpl w:val="3EDE5E88"/>
    <w:lvl w:ilvl="0" w:tplc="F356A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C18E3"/>
    <w:multiLevelType w:val="hybridMultilevel"/>
    <w:tmpl w:val="44388F68"/>
    <w:lvl w:ilvl="0" w:tplc="441EBCE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370ED4"/>
    <w:multiLevelType w:val="hybridMultilevel"/>
    <w:tmpl w:val="1D7C90A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66182"/>
    <w:multiLevelType w:val="hybridMultilevel"/>
    <w:tmpl w:val="74A8B9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10DA1"/>
    <w:multiLevelType w:val="multilevel"/>
    <w:tmpl w:val="33083ED4"/>
    <w:lvl w:ilvl="0">
      <w:start w:val="1"/>
      <w:numFmt w:val="upperRoman"/>
      <w:lvlText w:val="%1. 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035C4"/>
    <w:multiLevelType w:val="multilevel"/>
    <w:tmpl w:val="61CE8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2D749DC"/>
    <w:multiLevelType w:val="hybridMultilevel"/>
    <w:tmpl w:val="C4FA567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57D1B"/>
    <w:multiLevelType w:val="hybridMultilevel"/>
    <w:tmpl w:val="543CD8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250B3"/>
    <w:multiLevelType w:val="hybridMultilevel"/>
    <w:tmpl w:val="5B265292"/>
    <w:lvl w:ilvl="0" w:tplc="1E6A4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A8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05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83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C6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E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8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9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E7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0358D4"/>
    <w:multiLevelType w:val="hybridMultilevel"/>
    <w:tmpl w:val="2328276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021238"/>
    <w:multiLevelType w:val="hybridMultilevel"/>
    <w:tmpl w:val="2FAAEA64"/>
    <w:lvl w:ilvl="0" w:tplc="44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F7ABBF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EAE019D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C816B01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C77098E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D08C36A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E2CA1FA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5AFCE34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8764689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7" w15:restartNumberingAfterBreak="0">
    <w:nsid w:val="2FB31AC2"/>
    <w:multiLevelType w:val="hybridMultilevel"/>
    <w:tmpl w:val="01DC9996"/>
    <w:lvl w:ilvl="0" w:tplc="ACF24E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45F5"/>
    <w:multiLevelType w:val="hybridMultilevel"/>
    <w:tmpl w:val="5D3C54B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07AA3"/>
    <w:multiLevelType w:val="hybridMultilevel"/>
    <w:tmpl w:val="01EADFA8"/>
    <w:lvl w:ilvl="0" w:tplc="440A0011">
      <w:start w:val="1"/>
      <w:numFmt w:val="decimal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13DC6"/>
    <w:multiLevelType w:val="hybridMultilevel"/>
    <w:tmpl w:val="D5525A2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56A2"/>
    <w:multiLevelType w:val="multilevel"/>
    <w:tmpl w:val="61CE8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C5D72AF"/>
    <w:multiLevelType w:val="hybridMultilevel"/>
    <w:tmpl w:val="53A4146E"/>
    <w:lvl w:ilvl="0" w:tplc="1284A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C44268"/>
    <w:multiLevelType w:val="hybridMultilevel"/>
    <w:tmpl w:val="95904CEC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86AC1"/>
    <w:multiLevelType w:val="hybridMultilevel"/>
    <w:tmpl w:val="DD8A7E4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61E72"/>
    <w:multiLevelType w:val="hybridMultilevel"/>
    <w:tmpl w:val="BBE4B36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35CA5"/>
    <w:multiLevelType w:val="multilevel"/>
    <w:tmpl w:val="7444F8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D4176"/>
    <w:multiLevelType w:val="hybridMultilevel"/>
    <w:tmpl w:val="39DE54B0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9975F0"/>
    <w:multiLevelType w:val="hybridMultilevel"/>
    <w:tmpl w:val="871EF6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86A63"/>
    <w:multiLevelType w:val="hybridMultilevel"/>
    <w:tmpl w:val="1B96A00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D2D3D"/>
    <w:multiLevelType w:val="hybridMultilevel"/>
    <w:tmpl w:val="3BFEC82E"/>
    <w:lvl w:ilvl="0" w:tplc="204A0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16259"/>
    <w:multiLevelType w:val="hybridMultilevel"/>
    <w:tmpl w:val="05E0C436"/>
    <w:lvl w:ilvl="0" w:tplc="440A0011">
      <w:start w:val="1"/>
      <w:numFmt w:val="upperRoman"/>
      <w:lvlText w:val="%1. "/>
      <w:lvlJc w:val="left"/>
      <w:pPr>
        <w:ind w:left="502" w:hanging="360"/>
      </w:pPr>
      <w:rPr>
        <w:rFonts w:hint="default"/>
        <w:b/>
      </w:rPr>
    </w:lvl>
    <w:lvl w:ilvl="1" w:tplc="CDA48B16" w:tentative="1">
      <w:start w:val="1"/>
      <w:numFmt w:val="lowerLetter"/>
      <w:lvlText w:val="%2."/>
      <w:lvlJc w:val="left"/>
      <w:pPr>
        <w:ind w:left="1440" w:hanging="360"/>
      </w:pPr>
    </w:lvl>
    <w:lvl w:ilvl="2" w:tplc="6F0CBE28" w:tentative="1">
      <w:start w:val="1"/>
      <w:numFmt w:val="lowerRoman"/>
      <w:lvlText w:val="%3."/>
      <w:lvlJc w:val="right"/>
      <w:pPr>
        <w:ind w:left="2160" w:hanging="180"/>
      </w:pPr>
    </w:lvl>
    <w:lvl w:ilvl="3" w:tplc="8564EC5C" w:tentative="1">
      <w:start w:val="1"/>
      <w:numFmt w:val="decimal"/>
      <w:lvlText w:val="%4."/>
      <w:lvlJc w:val="left"/>
      <w:pPr>
        <w:ind w:left="2880" w:hanging="360"/>
      </w:pPr>
    </w:lvl>
    <w:lvl w:ilvl="4" w:tplc="216A4D6E" w:tentative="1">
      <w:start w:val="1"/>
      <w:numFmt w:val="lowerLetter"/>
      <w:lvlText w:val="%5."/>
      <w:lvlJc w:val="left"/>
      <w:pPr>
        <w:ind w:left="3600" w:hanging="360"/>
      </w:pPr>
    </w:lvl>
    <w:lvl w:ilvl="5" w:tplc="E886DF02" w:tentative="1">
      <w:start w:val="1"/>
      <w:numFmt w:val="lowerRoman"/>
      <w:lvlText w:val="%6."/>
      <w:lvlJc w:val="right"/>
      <w:pPr>
        <w:ind w:left="4320" w:hanging="180"/>
      </w:pPr>
    </w:lvl>
    <w:lvl w:ilvl="6" w:tplc="DB968474" w:tentative="1">
      <w:start w:val="1"/>
      <w:numFmt w:val="decimal"/>
      <w:lvlText w:val="%7."/>
      <w:lvlJc w:val="left"/>
      <w:pPr>
        <w:ind w:left="5040" w:hanging="360"/>
      </w:pPr>
    </w:lvl>
    <w:lvl w:ilvl="7" w:tplc="DDD27288" w:tentative="1">
      <w:start w:val="1"/>
      <w:numFmt w:val="lowerLetter"/>
      <w:lvlText w:val="%8."/>
      <w:lvlJc w:val="left"/>
      <w:pPr>
        <w:ind w:left="5760" w:hanging="360"/>
      </w:pPr>
    </w:lvl>
    <w:lvl w:ilvl="8" w:tplc="615EE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B5EBD"/>
    <w:multiLevelType w:val="hybridMultilevel"/>
    <w:tmpl w:val="7444F89C"/>
    <w:lvl w:ilvl="0" w:tplc="3F0C3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5616D"/>
    <w:multiLevelType w:val="multilevel"/>
    <w:tmpl w:val="009A5ED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4" w15:restartNumberingAfterBreak="0">
    <w:nsid w:val="5D6B1EF3"/>
    <w:multiLevelType w:val="hybridMultilevel"/>
    <w:tmpl w:val="1C6236E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D6545"/>
    <w:multiLevelType w:val="multilevel"/>
    <w:tmpl w:val="A22E5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EFE713E"/>
    <w:multiLevelType w:val="hybridMultilevel"/>
    <w:tmpl w:val="2AB0157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02FEA"/>
    <w:multiLevelType w:val="hybridMultilevel"/>
    <w:tmpl w:val="DB76F0A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2024"/>
    <w:multiLevelType w:val="hybridMultilevel"/>
    <w:tmpl w:val="FAA6725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F345B"/>
    <w:multiLevelType w:val="hybridMultilevel"/>
    <w:tmpl w:val="839C5E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20670"/>
    <w:multiLevelType w:val="hybridMultilevel"/>
    <w:tmpl w:val="B5DA15EA"/>
    <w:lvl w:ilvl="0" w:tplc="1AFE024A">
      <w:start w:val="1"/>
      <w:numFmt w:val="upperLetter"/>
      <w:pStyle w:val="Ttulo2"/>
      <w:lvlText w:val="%1. "/>
      <w:lvlJc w:val="left"/>
      <w:pPr>
        <w:ind w:left="360" w:hanging="360"/>
      </w:pPr>
      <w:rPr>
        <w:rFonts w:hint="default"/>
        <w:b/>
      </w:rPr>
    </w:lvl>
    <w:lvl w:ilvl="1" w:tplc="F914FECA">
      <w:start w:val="1"/>
      <w:numFmt w:val="decimal"/>
      <w:lvlText w:val="%2."/>
      <w:lvlJc w:val="left"/>
      <w:pPr>
        <w:ind w:left="1364" w:hanging="360"/>
      </w:pPr>
      <w:rPr>
        <w:rFonts w:hint="default"/>
        <w:b/>
      </w:rPr>
    </w:lvl>
    <w:lvl w:ilvl="2" w:tplc="440A001B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C8385F"/>
    <w:multiLevelType w:val="hybridMultilevel"/>
    <w:tmpl w:val="948425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A4E5B"/>
    <w:multiLevelType w:val="hybridMultilevel"/>
    <w:tmpl w:val="ADE002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527AA"/>
    <w:multiLevelType w:val="hybridMultilevel"/>
    <w:tmpl w:val="4198DD98"/>
    <w:lvl w:ilvl="0" w:tplc="19A8A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0"/>
  </w:num>
  <w:num w:numId="3">
    <w:abstractNumId w:val="8"/>
  </w:num>
  <w:num w:numId="4">
    <w:abstractNumId w:val="16"/>
  </w:num>
  <w:num w:numId="5">
    <w:abstractNumId w:val="27"/>
  </w:num>
  <w:num w:numId="6">
    <w:abstractNumId w:val="33"/>
  </w:num>
  <w:num w:numId="7">
    <w:abstractNumId w:val="41"/>
  </w:num>
  <w:num w:numId="8">
    <w:abstractNumId w:val="11"/>
  </w:num>
  <w:num w:numId="9">
    <w:abstractNumId w:val="35"/>
  </w:num>
  <w:num w:numId="10">
    <w:abstractNumId w:val="13"/>
  </w:num>
  <w:num w:numId="11">
    <w:abstractNumId w:val="39"/>
  </w:num>
  <w:num w:numId="12">
    <w:abstractNumId w:val="21"/>
  </w:num>
  <w:num w:numId="13">
    <w:abstractNumId w:val="15"/>
  </w:num>
  <w:num w:numId="14">
    <w:abstractNumId w:val="14"/>
  </w:num>
  <w:num w:numId="15">
    <w:abstractNumId w:val="9"/>
  </w:num>
  <w:num w:numId="16">
    <w:abstractNumId w:val="1"/>
  </w:num>
  <w:num w:numId="17">
    <w:abstractNumId w:val="36"/>
  </w:num>
  <w:num w:numId="18">
    <w:abstractNumId w:val="17"/>
  </w:num>
  <w:num w:numId="19">
    <w:abstractNumId w:val="22"/>
  </w:num>
  <w:num w:numId="20">
    <w:abstractNumId w:val="18"/>
  </w:num>
  <w:num w:numId="21">
    <w:abstractNumId w:val="30"/>
  </w:num>
  <w:num w:numId="22">
    <w:abstractNumId w:val="2"/>
  </w:num>
  <w:num w:numId="23">
    <w:abstractNumId w:val="19"/>
  </w:num>
  <w:num w:numId="24">
    <w:abstractNumId w:val="37"/>
  </w:num>
  <w:num w:numId="25">
    <w:abstractNumId w:val="25"/>
  </w:num>
  <w:num w:numId="26">
    <w:abstractNumId w:val="28"/>
  </w:num>
  <w:num w:numId="27">
    <w:abstractNumId w:val="5"/>
  </w:num>
  <w:num w:numId="28">
    <w:abstractNumId w:val="34"/>
  </w:num>
  <w:num w:numId="29">
    <w:abstractNumId w:val="24"/>
  </w:num>
  <w:num w:numId="30">
    <w:abstractNumId w:val="31"/>
    <w:lvlOverride w:ilvl="0">
      <w:startOverride w:val="1"/>
    </w:lvlOverride>
  </w:num>
  <w:num w:numId="31">
    <w:abstractNumId w:val="10"/>
  </w:num>
  <w:num w:numId="32">
    <w:abstractNumId w:val="43"/>
  </w:num>
  <w:num w:numId="33">
    <w:abstractNumId w:val="32"/>
  </w:num>
  <w:num w:numId="34">
    <w:abstractNumId w:val="23"/>
  </w:num>
  <w:num w:numId="35">
    <w:abstractNumId w:val="42"/>
  </w:num>
  <w:num w:numId="36">
    <w:abstractNumId w:val="4"/>
  </w:num>
  <w:num w:numId="37">
    <w:abstractNumId w:val="38"/>
  </w:num>
  <w:num w:numId="38">
    <w:abstractNumId w:val="0"/>
  </w:num>
  <w:num w:numId="39">
    <w:abstractNumId w:val="26"/>
  </w:num>
  <w:num w:numId="40">
    <w:abstractNumId w:val="7"/>
  </w:num>
  <w:num w:numId="41">
    <w:abstractNumId w:val="6"/>
  </w:num>
  <w:num w:numId="42">
    <w:abstractNumId w:val="29"/>
  </w:num>
  <w:num w:numId="43">
    <w:abstractNumId w:val="3"/>
  </w:num>
  <w:num w:numId="44">
    <w:abstractNumId w:val="20"/>
  </w:num>
  <w:num w:numId="4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4E"/>
    <w:rsid w:val="00001E78"/>
    <w:rsid w:val="0000212C"/>
    <w:rsid w:val="00004331"/>
    <w:rsid w:val="00004C85"/>
    <w:rsid w:val="00005926"/>
    <w:rsid w:val="00007680"/>
    <w:rsid w:val="000113A9"/>
    <w:rsid w:val="00013D7D"/>
    <w:rsid w:val="00016889"/>
    <w:rsid w:val="00017DB9"/>
    <w:rsid w:val="00021EB5"/>
    <w:rsid w:val="0002403B"/>
    <w:rsid w:val="00025F23"/>
    <w:rsid w:val="000317B5"/>
    <w:rsid w:val="0003186F"/>
    <w:rsid w:val="000318A4"/>
    <w:rsid w:val="00034BEE"/>
    <w:rsid w:val="00036232"/>
    <w:rsid w:val="00036734"/>
    <w:rsid w:val="00045016"/>
    <w:rsid w:val="00045BFD"/>
    <w:rsid w:val="000464C4"/>
    <w:rsid w:val="00050EE6"/>
    <w:rsid w:val="00053B2C"/>
    <w:rsid w:val="00055598"/>
    <w:rsid w:val="00055AF8"/>
    <w:rsid w:val="00055B6C"/>
    <w:rsid w:val="000565F7"/>
    <w:rsid w:val="0006246C"/>
    <w:rsid w:val="00063034"/>
    <w:rsid w:val="000636F8"/>
    <w:rsid w:val="00064C1B"/>
    <w:rsid w:val="00067090"/>
    <w:rsid w:val="000702A9"/>
    <w:rsid w:val="0007040D"/>
    <w:rsid w:val="00072B60"/>
    <w:rsid w:val="00072D6A"/>
    <w:rsid w:val="00076760"/>
    <w:rsid w:val="00077AA9"/>
    <w:rsid w:val="00077AF5"/>
    <w:rsid w:val="0008216E"/>
    <w:rsid w:val="00082580"/>
    <w:rsid w:val="00082E74"/>
    <w:rsid w:val="000849FE"/>
    <w:rsid w:val="00091E38"/>
    <w:rsid w:val="00095CAD"/>
    <w:rsid w:val="000A2595"/>
    <w:rsid w:val="000A261D"/>
    <w:rsid w:val="000A2FC5"/>
    <w:rsid w:val="000A33E1"/>
    <w:rsid w:val="000A3DFD"/>
    <w:rsid w:val="000A5785"/>
    <w:rsid w:val="000A6577"/>
    <w:rsid w:val="000B0DA1"/>
    <w:rsid w:val="000B3053"/>
    <w:rsid w:val="000C0889"/>
    <w:rsid w:val="000C5981"/>
    <w:rsid w:val="000C63E3"/>
    <w:rsid w:val="000C78C3"/>
    <w:rsid w:val="000D1CB6"/>
    <w:rsid w:val="000D24A0"/>
    <w:rsid w:val="000D37F2"/>
    <w:rsid w:val="000D4348"/>
    <w:rsid w:val="000D67F0"/>
    <w:rsid w:val="000E008A"/>
    <w:rsid w:val="000E0F24"/>
    <w:rsid w:val="000E2397"/>
    <w:rsid w:val="000E35A7"/>
    <w:rsid w:val="000E4499"/>
    <w:rsid w:val="000F43E0"/>
    <w:rsid w:val="000F5BA2"/>
    <w:rsid w:val="000F7C48"/>
    <w:rsid w:val="000F7E7D"/>
    <w:rsid w:val="001027B9"/>
    <w:rsid w:val="00102CC0"/>
    <w:rsid w:val="001033A2"/>
    <w:rsid w:val="00104104"/>
    <w:rsid w:val="00104B4A"/>
    <w:rsid w:val="00104CE9"/>
    <w:rsid w:val="00107C5C"/>
    <w:rsid w:val="0011284F"/>
    <w:rsid w:val="001133FE"/>
    <w:rsid w:val="00113757"/>
    <w:rsid w:val="00117F8B"/>
    <w:rsid w:val="00122D6F"/>
    <w:rsid w:val="00123B28"/>
    <w:rsid w:val="0012731F"/>
    <w:rsid w:val="00127B1D"/>
    <w:rsid w:val="00132792"/>
    <w:rsid w:val="00136A48"/>
    <w:rsid w:val="00136D15"/>
    <w:rsid w:val="00142D86"/>
    <w:rsid w:val="001441DD"/>
    <w:rsid w:val="0014498C"/>
    <w:rsid w:val="001520EF"/>
    <w:rsid w:val="0015238B"/>
    <w:rsid w:val="00155DA0"/>
    <w:rsid w:val="00156DBF"/>
    <w:rsid w:val="00160228"/>
    <w:rsid w:val="00160A69"/>
    <w:rsid w:val="00162360"/>
    <w:rsid w:val="00167F8D"/>
    <w:rsid w:val="00172D72"/>
    <w:rsid w:val="00174B34"/>
    <w:rsid w:val="00176361"/>
    <w:rsid w:val="00176FE5"/>
    <w:rsid w:val="001773B1"/>
    <w:rsid w:val="001810F4"/>
    <w:rsid w:val="00182CB0"/>
    <w:rsid w:val="001844C7"/>
    <w:rsid w:val="001856F7"/>
    <w:rsid w:val="00186CE4"/>
    <w:rsid w:val="00191E1B"/>
    <w:rsid w:val="0019240F"/>
    <w:rsid w:val="00192C0A"/>
    <w:rsid w:val="00192D1E"/>
    <w:rsid w:val="001948D7"/>
    <w:rsid w:val="00195FC7"/>
    <w:rsid w:val="00196991"/>
    <w:rsid w:val="00197618"/>
    <w:rsid w:val="001A0BB5"/>
    <w:rsid w:val="001B0258"/>
    <w:rsid w:val="001B14AB"/>
    <w:rsid w:val="001B15EA"/>
    <w:rsid w:val="001B6025"/>
    <w:rsid w:val="001C1E97"/>
    <w:rsid w:val="001C3ECC"/>
    <w:rsid w:val="001C4B5B"/>
    <w:rsid w:val="001C4CFD"/>
    <w:rsid w:val="001C59C6"/>
    <w:rsid w:val="001C5CB6"/>
    <w:rsid w:val="001D1E46"/>
    <w:rsid w:val="001D7CE8"/>
    <w:rsid w:val="001E0425"/>
    <w:rsid w:val="001E1641"/>
    <w:rsid w:val="001E20ED"/>
    <w:rsid w:val="001E23DE"/>
    <w:rsid w:val="001E5A3B"/>
    <w:rsid w:val="001E5E9E"/>
    <w:rsid w:val="001F0384"/>
    <w:rsid w:val="001F0841"/>
    <w:rsid w:val="001F2520"/>
    <w:rsid w:val="001F3C94"/>
    <w:rsid w:val="001F3D21"/>
    <w:rsid w:val="00200260"/>
    <w:rsid w:val="00200395"/>
    <w:rsid w:val="002044EE"/>
    <w:rsid w:val="00205A05"/>
    <w:rsid w:val="00207B55"/>
    <w:rsid w:val="00215842"/>
    <w:rsid w:val="0021633A"/>
    <w:rsid w:val="0022111D"/>
    <w:rsid w:val="00222AB0"/>
    <w:rsid w:val="00224B2C"/>
    <w:rsid w:val="002266D1"/>
    <w:rsid w:val="00226A24"/>
    <w:rsid w:val="00227D05"/>
    <w:rsid w:val="002306CE"/>
    <w:rsid w:val="00230812"/>
    <w:rsid w:val="002311E4"/>
    <w:rsid w:val="002326B8"/>
    <w:rsid w:val="00250B64"/>
    <w:rsid w:val="00250B94"/>
    <w:rsid w:val="00251807"/>
    <w:rsid w:val="00252394"/>
    <w:rsid w:val="002575BA"/>
    <w:rsid w:val="002668AF"/>
    <w:rsid w:val="002745B3"/>
    <w:rsid w:val="00280797"/>
    <w:rsid w:val="00281833"/>
    <w:rsid w:val="002841C1"/>
    <w:rsid w:val="00287E4D"/>
    <w:rsid w:val="00290998"/>
    <w:rsid w:val="0029775C"/>
    <w:rsid w:val="002A26D3"/>
    <w:rsid w:val="002A3B6A"/>
    <w:rsid w:val="002A4593"/>
    <w:rsid w:val="002A5074"/>
    <w:rsid w:val="002A78F2"/>
    <w:rsid w:val="002B597C"/>
    <w:rsid w:val="002C154E"/>
    <w:rsid w:val="002C6473"/>
    <w:rsid w:val="002C6C32"/>
    <w:rsid w:val="002C7A18"/>
    <w:rsid w:val="002D1816"/>
    <w:rsid w:val="002D3828"/>
    <w:rsid w:val="002D3BBA"/>
    <w:rsid w:val="002D4321"/>
    <w:rsid w:val="002D5907"/>
    <w:rsid w:val="002D6AD5"/>
    <w:rsid w:val="002E5F51"/>
    <w:rsid w:val="002E640A"/>
    <w:rsid w:val="002F408F"/>
    <w:rsid w:val="002F4DAD"/>
    <w:rsid w:val="002F78AA"/>
    <w:rsid w:val="00300BB1"/>
    <w:rsid w:val="00304289"/>
    <w:rsid w:val="0030428A"/>
    <w:rsid w:val="0031198D"/>
    <w:rsid w:val="0031215F"/>
    <w:rsid w:val="00316A03"/>
    <w:rsid w:val="0032214E"/>
    <w:rsid w:val="00324379"/>
    <w:rsid w:val="003244C2"/>
    <w:rsid w:val="003254E5"/>
    <w:rsid w:val="0033599A"/>
    <w:rsid w:val="00336E8E"/>
    <w:rsid w:val="00337455"/>
    <w:rsid w:val="00340A18"/>
    <w:rsid w:val="00341010"/>
    <w:rsid w:val="00342033"/>
    <w:rsid w:val="0034309E"/>
    <w:rsid w:val="0034566C"/>
    <w:rsid w:val="00347B82"/>
    <w:rsid w:val="00350333"/>
    <w:rsid w:val="00351269"/>
    <w:rsid w:val="003521E1"/>
    <w:rsid w:val="00356FD2"/>
    <w:rsid w:val="00357F87"/>
    <w:rsid w:val="00362EF1"/>
    <w:rsid w:val="00371E31"/>
    <w:rsid w:val="00373566"/>
    <w:rsid w:val="00376350"/>
    <w:rsid w:val="0038120C"/>
    <w:rsid w:val="003860E1"/>
    <w:rsid w:val="00387C4E"/>
    <w:rsid w:val="00387DDC"/>
    <w:rsid w:val="0039159B"/>
    <w:rsid w:val="00391C77"/>
    <w:rsid w:val="00393478"/>
    <w:rsid w:val="003951FA"/>
    <w:rsid w:val="003A1760"/>
    <w:rsid w:val="003A260C"/>
    <w:rsid w:val="003A474B"/>
    <w:rsid w:val="003A6176"/>
    <w:rsid w:val="003A7304"/>
    <w:rsid w:val="003A7F14"/>
    <w:rsid w:val="003B0339"/>
    <w:rsid w:val="003B05C4"/>
    <w:rsid w:val="003B0AF0"/>
    <w:rsid w:val="003B0B2B"/>
    <w:rsid w:val="003B2B70"/>
    <w:rsid w:val="003B34AA"/>
    <w:rsid w:val="003B734C"/>
    <w:rsid w:val="003B7839"/>
    <w:rsid w:val="003C2915"/>
    <w:rsid w:val="003C31F0"/>
    <w:rsid w:val="003C5CA8"/>
    <w:rsid w:val="003C6375"/>
    <w:rsid w:val="003C6538"/>
    <w:rsid w:val="003D16BF"/>
    <w:rsid w:val="003D5CF6"/>
    <w:rsid w:val="003D706D"/>
    <w:rsid w:val="003E00AD"/>
    <w:rsid w:val="003E0937"/>
    <w:rsid w:val="003E1E22"/>
    <w:rsid w:val="003F1088"/>
    <w:rsid w:val="003F1BE9"/>
    <w:rsid w:val="00403665"/>
    <w:rsid w:val="0040595F"/>
    <w:rsid w:val="0041043E"/>
    <w:rsid w:val="00411D39"/>
    <w:rsid w:val="00414051"/>
    <w:rsid w:val="00414DD1"/>
    <w:rsid w:val="004160E1"/>
    <w:rsid w:val="004229B0"/>
    <w:rsid w:val="00422FCD"/>
    <w:rsid w:val="0042555D"/>
    <w:rsid w:val="00430837"/>
    <w:rsid w:val="004317A2"/>
    <w:rsid w:val="0043599A"/>
    <w:rsid w:val="004450CB"/>
    <w:rsid w:val="00446324"/>
    <w:rsid w:val="00447CC4"/>
    <w:rsid w:val="004502B5"/>
    <w:rsid w:val="004528F5"/>
    <w:rsid w:val="00455348"/>
    <w:rsid w:val="00455A07"/>
    <w:rsid w:val="00456E4E"/>
    <w:rsid w:val="00460BC2"/>
    <w:rsid w:val="00466F83"/>
    <w:rsid w:val="004717BE"/>
    <w:rsid w:val="00473CAE"/>
    <w:rsid w:val="004760F2"/>
    <w:rsid w:val="004819B2"/>
    <w:rsid w:val="00487B57"/>
    <w:rsid w:val="00492771"/>
    <w:rsid w:val="004957D9"/>
    <w:rsid w:val="004A1A88"/>
    <w:rsid w:val="004A26D5"/>
    <w:rsid w:val="004A7BF9"/>
    <w:rsid w:val="004B09C4"/>
    <w:rsid w:val="004B3AF2"/>
    <w:rsid w:val="004C2BD2"/>
    <w:rsid w:val="004C51F2"/>
    <w:rsid w:val="004C637B"/>
    <w:rsid w:val="004D47C2"/>
    <w:rsid w:val="004D4E92"/>
    <w:rsid w:val="004D6354"/>
    <w:rsid w:val="004D66E7"/>
    <w:rsid w:val="004E0744"/>
    <w:rsid w:val="004E2FB7"/>
    <w:rsid w:val="004E360F"/>
    <w:rsid w:val="004E3799"/>
    <w:rsid w:val="004F04CB"/>
    <w:rsid w:val="004F5B3C"/>
    <w:rsid w:val="0051214C"/>
    <w:rsid w:val="005132D6"/>
    <w:rsid w:val="005211C2"/>
    <w:rsid w:val="00522FB3"/>
    <w:rsid w:val="00523438"/>
    <w:rsid w:val="00525DD5"/>
    <w:rsid w:val="005314FC"/>
    <w:rsid w:val="00533FE3"/>
    <w:rsid w:val="00536CCB"/>
    <w:rsid w:val="00540BC5"/>
    <w:rsid w:val="0054301D"/>
    <w:rsid w:val="005444DA"/>
    <w:rsid w:val="00545E50"/>
    <w:rsid w:val="00547041"/>
    <w:rsid w:val="00547563"/>
    <w:rsid w:val="005501EB"/>
    <w:rsid w:val="00550A29"/>
    <w:rsid w:val="00556485"/>
    <w:rsid w:val="00557450"/>
    <w:rsid w:val="005648D5"/>
    <w:rsid w:val="00566F00"/>
    <w:rsid w:val="0056726B"/>
    <w:rsid w:val="00571972"/>
    <w:rsid w:val="005731A9"/>
    <w:rsid w:val="00574C8E"/>
    <w:rsid w:val="005812F3"/>
    <w:rsid w:val="0058305A"/>
    <w:rsid w:val="005846DD"/>
    <w:rsid w:val="00584AD6"/>
    <w:rsid w:val="00584C27"/>
    <w:rsid w:val="00586012"/>
    <w:rsid w:val="00593148"/>
    <w:rsid w:val="005955D6"/>
    <w:rsid w:val="005A25C9"/>
    <w:rsid w:val="005A2F46"/>
    <w:rsid w:val="005A6A6E"/>
    <w:rsid w:val="005B0442"/>
    <w:rsid w:val="005B11A1"/>
    <w:rsid w:val="005B191A"/>
    <w:rsid w:val="005B1AC6"/>
    <w:rsid w:val="005B1E63"/>
    <w:rsid w:val="005B24D0"/>
    <w:rsid w:val="005B4D10"/>
    <w:rsid w:val="005B4D6A"/>
    <w:rsid w:val="005B55AE"/>
    <w:rsid w:val="005B660F"/>
    <w:rsid w:val="005B67D0"/>
    <w:rsid w:val="005C2C71"/>
    <w:rsid w:val="005C383C"/>
    <w:rsid w:val="005C4C12"/>
    <w:rsid w:val="005C7601"/>
    <w:rsid w:val="005D28FD"/>
    <w:rsid w:val="005D4E31"/>
    <w:rsid w:val="005D62BF"/>
    <w:rsid w:val="005E11A8"/>
    <w:rsid w:val="005F17B5"/>
    <w:rsid w:val="005F1806"/>
    <w:rsid w:val="005F29C2"/>
    <w:rsid w:val="005F32D8"/>
    <w:rsid w:val="005F443A"/>
    <w:rsid w:val="005F55FD"/>
    <w:rsid w:val="00603FAE"/>
    <w:rsid w:val="00605874"/>
    <w:rsid w:val="006077E2"/>
    <w:rsid w:val="0061733A"/>
    <w:rsid w:val="00624EF9"/>
    <w:rsid w:val="0062543F"/>
    <w:rsid w:val="00634691"/>
    <w:rsid w:val="006361D4"/>
    <w:rsid w:val="00636588"/>
    <w:rsid w:val="00640365"/>
    <w:rsid w:val="00647418"/>
    <w:rsid w:val="00654804"/>
    <w:rsid w:val="00655BF8"/>
    <w:rsid w:val="006600B1"/>
    <w:rsid w:val="00661351"/>
    <w:rsid w:val="00663669"/>
    <w:rsid w:val="00663B2E"/>
    <w:rsid w:val="006656D2"/>
    <w:rsid w:val="0067272C"/>
    <w:rsid w:val="00672CE1"/>
    <w:rsid w:val="0067723A"/>
    <w:rsid w:val="00682BE9"/>
    <w:rsid w:val="00686377"/>
    <w:rsid w:val="00694738"/>
    <w:rsid w:val="00695A08"/>
    <w:rsid w:val="006A3B6A"/>
    <w:rsid w:val="006A4220"/>
    <w:rsid w:val="006A4822"/>
    <w:rsid w:val="006A5CDF"/>
    <w:rsid w:val="006A5FAE"/>
    <w:rsid w:val="006A749F"/>
    <w:rsid w:val="006A7823"/>
    <w:rsid w:val="006B05EB"/>
    <w:rsid w:val="006B3B07"/>
    <w:rsid w:val="006B3BB0"/>
    <w:rsid w:val="006C12BF"/>
    <w:rsid w:val="006C301E"/>
    <w:rsid w:val="006C339B"/>
    <w:rsid w:val="006C3D19"/>
    <w:rsid w:val="006C434D"/>
    <w:rsid w:val="006C47FB"/>
    <w:rsid w:val="006C4B4A"/>
    <w:rsid w:val="006C6E9E"/>
    <w:rsid w:val="006C7644"/>
    <w:rsid w:val="006D0B60"/>
    <w:rsid w:val="006D258C"/>
    <w:rsid w:val="006D2AED"/>
    <w:rsid w:val="006D5183"/>
    <w:rsid w:val="006D5B74"/>
    <w:rsid w:val="006D6517"/>
    <w:rsid w:val="006D6FF8"/>
    <w:rsid w:val="006E05CD"/>
    <w:rsid w:val="006E57A4"/>
    <w:rsid w:val="0071208B"/>
    <w:rsid w:val="00716CF6"/>
    <w:rsid w:val="00721227"/>
    <w:rsid w:val="007223CC"/>
    <w:rsid w:val="00724E65"/>
    <w:rsid w:val="007251B9"/>
    <w:rsid w:val="00725FB9"/>
    <w:rsid w:val="0072789F"/>
    <w:rsid w:val="00730D2D"/>
    <w:rsid w:val="0073251A"/>
    <w:rsid w:val="00732944"/>
    <w:rsid w:val="00734AC4"/>
    <w:rsid w:val="00736730"/>
    <w:rsid w:val="007433D3"/>
    <w:rsid w:val="0074366F"/>
    <w:rsid w:val="00745066"/>
    <w:rsid w:val="00745B02"/>
    <w:rsid w:val="0074637E"/>
    <w:rsid w:val="00755F6F"/>
    <w:rsid w:val="007568B1"/>
    <w:rsid w:val="00756C03"/>
    <w:rsid w:val="00761917"/>
    <w:rsid w:val="00763CC4"/>
    <w:rsid w:val="00767254"/>
    <w:rsid w:val="00770996"/>
    <w:rsid w:val="0077130F"/>
    <w:rsid w:val="00772A80"/>
    <w:rsid w:val="00773AF0"/>
    <w:rsid w:val="00775743"/>
    <w:rsid w:val="0077762C"/>
    <w:rsid w:val="0078718A"/>
    <w:rsid w:val="00792553"/>
    <w:rsid w:val="007968F3"/>
    <w:rsid w:val="007A2D3D"/>
    <w:rsid w:val="007A4354"/>
    <w:rsid w:val="007A4EA4"/>
    <w:rsid w:val="007B07C3"/>
    <w:rsid w:val="007B16CF"/>
    <w:rsid w:val="007B1E02"/>
    <w:rsid w:val="007C08A0"/>
    <w:rsid w:val="007C3433"/>
    <w:rsid w:val="007C4F5D"/>
    <w:rsid w:val="007C565C"/>
    <w:rsid w:val="007D0283"/>
    <w:rsid w:val="007D6933"/>
    <w:rsid w:val="007E1E5C"/>
    <w:rsid w:val="007E56DB"/>
    <w:rsid w:val="007F27E4"/>
    <w:rsid w:val="007F3265"/>
    <w:rsid w:val="0080056B"/>
    <w:rsid w:val="008036EA"/>
    <w:rsid w:val="008041BD"/>
    <w:rsid w:val="0080585C"/>
    <w:rsid w:val="00805C66"/>
    <w:rsid w:val="00812E7B"/>
    <w:rsid w:val="00813D62"/>
    <w:rsid w:val="008165D2"/>
    <w:rsid w:val="00817BEC"/>
    <w:rsid w:val="008204CC"/>
    <w:rsid w:val="0082177D"/>
    <w:rsid w:val="00822C27"/>
    <w:rsid w:val="00823EB4"/>
    <w:rsid w:val="00827D64"/>
    <w:rsid w:val="008327A6"/>
    <w:rsid w:val="008349A4"/>
    <w:rsid w:val="00840F25"/>
    <w:rsid w:val="00841970"/>
    <w:rsid w:val="00841E82"/>
    <w:rsid w:val="00842550"/>
    <w:rsid w:val="00842DB9"/>
    <w:rsid w:val="008438FB"/>
    <w:rsid w:val="00845C49"/>
    <w:rsid w:val="008468A1"/>
    <w:rsid w:val="008470BC"/>
    <w:rsid w:val="00856091"/>
    <w:rsid w:val="00863358"/>
    <w:rsid w:val="00865866"/>
    <w:rsid w:val="00867A6D"/>
    <w:rsid w:val="008727BE"/>
    <w:rsid w:val="00875F54"/>
    <w:rsid w:val="0088105C"/>
    <w:rsid w:val="00881390"/>
    <w:rsid w:val="00881F01"/>
    <w:rsid w:val="008835A8"/>
    <w:rsid w:val="00890C90"/>
    <w:rsid w:val="008925E9"/>
    <w:rsid w:val="008A7E4E"/>
    <w:rsid w:val="008A7FCA"/>
    <w:rsid w:val="008B3CBF"/>
    <w:rsid w:val="008B519A"/>
    <w:rsid w:val="008B5487"/>
    <w:rsid w:val="008B6F06"/>
    <w:rsid w:val="008B7235"/>
    <w:rsid w:val="008C287E"/>
    <w:rsid w:val="008C505B"/>
    <w:rsid w:val="008C509B"/>
    <w:rsid w:val="008C52E1"/>
    <w:rsid w:val="008C5466"/>
    <w:rsid w:val="008D1E48"/>
    <w:rsid w:val="008D6C07"/>
    <w:rsid w:val="008D763C"/>
    <w:rsid w:val="008E0F84"/>
    <w:rsid w:val="008E4039"/>
    <w:rsid w:val="008E43B8"/>
    <w:rsid w:val="008E7F07"/>
    <w:rsid w:val="008F1A98"/>
    <w:rsid w:val="008F2E19"/>
    <w:rsid w:val="008F34BC"/>
    <w:rsid w:val="008F4A1A"/>
    <w:rsid w:val="008F6683"/>
    <w:rsid w:val="008F67BA"/>
    <w:rsid w:val="00903434"/>
    <w:rsid w:val="009066CF"/>
    <w:rsid w:val="0090729A"/>
    <w:rsid w:val="009073D9"/>
    <w:rsid w:val="00914DD5"/>
    <w:rsid w:val="00916ABE"/>
    <w:rsid w:val="00916EE8"/>
    <w:rsid w:val="00920A65"/>
    <w:rsid w:val="009224E8"/>
    <w:rsid w:val="00923158"/>
    <w:rsid w:val="0092780E"/>
    <w:rsid w:val="009340D2"/>
    <w:rsid w:val="00942F2D"/>
    <w:rsid w:val="00945097"/>
    <w:rsid w:val="0094522A"/>
    <w:rsid w:val="0094632E"/>
    <w:rsid w:val="00950532"/>
    <w:rsid w:val="00951695"/>
    <w:rsid w:val="0096204F"/>
    <w:rsid w:val="009652A9"/>
    <w:rsid w:val="00966882"/>
    <w:rsid w:val="00967FCC"/>
    <w:rsid w:val="00971EE5"/>
    <w:rsid w:val="009721AF"/>
    <w:rsid w:val="00974AC5"/>
    <w:rsid w:val="00974D0A"/>
    <w:rsid w:val="0097544F"/>
    <w:rsid w:val="009769BB"/>
    <w:rsid w:val="00976E95"/>
    <w:rsid w:val="00976F7E"/>
    <w:rsid w:val="009776CE"/>
    <w:rsid w:val="0098246B"/>
    <w:rsid w:val="0098620D"/>
    <w:rsid w:val="009871B3"/>
    <w:rsid w:val="0099219F"/>
    <w:rsid w:val="0099399E"/>
    <w:rsid w:val="00996D71"/>
    <w:rsid w:val="0099790F"/>
    <w:rsid w:val="009A0422"/>
    <w:rsid w:val="009A09FB"/>
    <w:rsid w:val="009A4084"/>
    <w:rsid w:val="009A7FB7"/>
    <w:rsid w:val="009B0D63"/>
    <w:rsid w:val="009B1581"/>
    <w:rsid w:val="009B1A81"/>
    <w:rsid w:val="009B1F63"/>
    <w:rsid w:val="009B3966"/>
    <w:rsid w:val="009B47B0"/>
    <w:rsid w:val="009B670E"/>
    <w:rsid w:val="009C0151"/>
    <w:rsid w:val="009C034C"/>
    <w:rsid w:val="009C3247"/>
    <w:rsid w:val="009C4DEF"/>
    <w:rsid w:val="009C6069"/>
    <w:rsid w:val="009D08DC"/>
    <w:rsid w:val="009D2D92"/>
    <w:rsid w:val="009D3A1D"/>
    <w:rsid w:val="009D4EC5"/>
    <w:rsid w:val="009D62BE"/>
    <w:rsid w:val="009E257B"/>
    <w:rsid w:val="009E6FFE"/>
    <w:rsid w:val="009F0F9D"/>
    <w:rsid w:val="009F3B2E"/>
    <w:rsid w:val="009F44C3"/>
    <w:rsid w:val="009F6625"/>
    <w:rsid w:val="009F6B28"/>
    <w:rsid w:val="009F7434"/>
    <w:rsid w:val="00A02216"/>
    <w:rsid w:val="00A0598B"/>
    <w:rsid w:val="00A07343"/>
    <w:rsid w:val="00A117C2"/>
    <w:rsid w:val="00A1310A"/>
    <w:rsid w:val="00A17E7B"/>
    <w:rsid w:val="00A20467"/>
    <w:rsid w:val="00A205A2"/>
    <w:rsid w:val="00A227F5"/>
    <w:rsid w:val="00A22DCE"/>
    <w:rsid w:val="00A2496E"/>
    <w:rsid w:val="00A32054"/>
    <w:rsid w:val="00A35576"/>
    <w:rsid w:val="00A37158"/>
    <w:rsid w:val="00A4386E"/>
    <w:rsid w:val="00A44F2C"/>
    <w:rsid w:val="00A4510E"/>
    <w:rsid w:val="00A46577"/>
    <w:rsid w:val="00A46904"/>
    <w:rsid w:val="00A5341C"/>
    <w:rsid w:val="00A550F0"/>
    <w:rsid w:val="00A620A9"/>
    <w:rsid w:val="00A6294D"/>
    <w:rsid w:val="00A6327D"/>
    <w:rsid w:val="00A66046"/>
    <w:rsid w:val="00A66AF1"/>
    <w:rsid w:val="00A66F65"/>
    <w:rsid w:val="00A676E6"/>
    <w:rsid w:val="00A74F4A"/>
    <w:rsid w:val="00A7741D"/>
    <w:rsid w:val="00A77F7F"/>
    <w:rsid w:val="00A86AB7"/>
    <w:rsid w:val="00A86FD1"/>
    <w:rsid w:val="00A91135"/>
    <w:rsid w:val="00A9135E"/>
    <w:rsid w:val="00A92C16"/>
    <w:rsid w:val="00A9335E"/>
    <w:rsid w:val="00A97D06"/>
    <w:rsid w:val="00AA5291"/>
    <w:rsid w:val="00AA5DCD"/>
    <w:rsid w:val="00AA6781"/>
    <w:rsid w:val="00AA759E"/>
    <w:rsid w:val="00AA7BDC"/>
    <w:rsid w:val="00AB0422"/>
    <w:rsid w:val="00AB09F7"/>
    <w:rsid w:val="00AB2B9F"/>
    <w:rsid w:val="00AB3490"/>
    <w:rsid w:val="00AB3F88"/>
    <w:rsid w:val="00AB4029"/>
    <w:rsid w:val="00AB44DC"/>
    <w:rsid w:val="00AB5AD9"/>
    <w:rsid w:val="00AB6279"/>
    <w:rsid w:val="00AB6D91"/>
    <w:rsid w:val="00AC309F"/>
    <w:rsid w:val="00AC50DE"/>
    <w:rsid w:val="00AC5F7E"/>
    <w:rsid w:val="00AD093F"/>
    <w:rsid w:val="00AD2030"/>
    <w:rsid w:val="00AD237D"/>
    <w:rsid w:val="00AD59C8"/>
    <w:rsid w:val="00AD5F61"/>
    <w:rsid w:val="00AE0C7D"/>
    <w:rsid w:val="00AE73F5"/>
    <w:rsid w:val="00AE7643"/>
    <w:rsid w:val="00AF1FC6"/>
    <w:rsid w:val="00AF5B71"/>
    <w:rsid w:val="00AF6CA7"/>
    <w:rsid w:val="00AF7006"/>
    <w:rsid w:val="00AF7316"/>
    <w:rsid w:val="00AF7DDF"/>
    <w:rsid w:val="00B03E10"/>
    <w:rsid w:val="00B04CA4"/>
    <w:rsid w:val="00B110E0"/>
    <w:rsid w:val="00B16F21"/>
    <w:rsid w:val="00B17307"/>
    <w:rsid w:val="00B22C27"/>
    <w:rsid w:val="00B26991"/>
    <w:rsid w:val="00B308A5"/>
    <w:rsid w:val="00B33818"/>
    <w:rsid w:val="00B35B40"/>
    <w:rsid w:val="00B403AD"/>
    <w:rsid w:val="00B42E3C"/>
    <w:rsid w:val="00B452ED"/>
    <w:rsid w:val="00B501AD"/>
    <w:rsid w:val="00B55D97"/>
    <w:rsid w:val="00B55F5F"/>
    <w:rsid w:val="00B57685"/>
    <w:rsid w:val="00B579F9"/>
    <w:rsid w:val="00B619B7"/>
    <w:rsid w:val="00B6423D"/>
    <w:rsid w:val="00B6429B"/>
    <w:rsid w:val="00B66361"/>
    <w:rsid w:val="00B66990"/>
    <w:rsid w:val="00B66E3C"/>
    <w:rsid w:val="00B705B6"/>
    <w:rsid w:val="00B7063C"/>
    <w:rsid w:val="00B711D2"/>
    <w:rsid w:val="00B76A06"/>
    <w:rsid w:val="00B814C5"/>
    <w:rsid w:val="00B81746"/>
    <w:rsid w:val="00B82392"/>
    <w:rsid w:val="00B83335"/>
    <w:rsid w:val="00B878FB"/>
    <w:rsid w:val="00B87D74"/>
    <w:rsid w:val="00B87E38"/>
    <w:rsid w:val="00B90940"/>
    <w:rsid w:val="00B91A47"/>
    <w:rsid w:val="00B92148"/>
    <w:rsid w:val="00B95084"/>
    <w:rsid w:val="00B9753A"/>
    <w:rsid w:val="00BA2194"/>
    <w:rsid w:val="00BA31C6"/>
    <w:rsid w:val="00BA424D"/>
    <w:rsid w:val="00BA4535"/>
    <w:rsid w:val="00BB028F"/>
    <w:rsid w:val="00BB67B4"/>
    <w:rsid w:val="00BB73EC"/>
    <w:rsid w:val="00BB7ED3"/>
    <w:rsid w:val="00BC0CAF"/>
    <w:rsid w:val="00BC38D9"/>
    <w:rsid w:val="00BC5582"/>
    <w:rsid w:val="00BC591E"/>
    <w:rsid w:val="00BD262B"/>
    <w:rsid w:val="00BD4CBF"/>
    <w:rsid w:val="00BD6707"/>
    <w:rsid w:val="00BD7263"/>
    <w:rsid w:val="00BD73C3"/>
    <w:rsid w:val="00BE5810"/>
    <w:rsid w:val="00BE5AAE"/>
    <w:rsid w:val="00BE5B83"/>
    <w:rsid w:val="00BE608D"/>
    <w:rsid w:val="00BE69A1"/>
    <w:rsid w:val="00BF07A6"/>
    <w:rsid w:val="00BF1D04"/>
    <w:rsid w:val="00BF29C3"/>
    <w:rsid w:val="00BF2D93"/>
    <w:rsid w:val="00BF3250"/>
    <w:rsid w:val="00BF4B8D"/>
    <w:rsid w:val="00BF5635"/>
    <w:rsid w:val="00BF6A3B"/>
    <w:rsid w:val="00C06DBD"/>
    <w:rsid w:val="00C12679"/>
    <w:rsid w:val="00C14640"/>
    <w:rsid w:val="00C15AF1"/>
    <w:rsid w:val="00C15B00"/>
    <w:rsid w:val="00C15C17"/>
    <w:rsid w:val="00C16657"/>
    <w:rsid w:val="00C17B9B"/>
    <w:rsid w:val="00C17FB4"/>
    <w:rsid w:val="00C20817"/>
    <w:rsid w:val="00C21839"/>
    <w:rsid w:val="00C2289F"/>
    <w:rsid w:val="00C23379"/>
    <w:rsid w:val="00C247DB"/>
    <w:rsid w:val="00C25550"/>
    <w:rsid w:val="00C27CB3"/>
    <w:rsid w:val="00C301CB"/>
    <w:rsid w:val="00C30D5D"/>
    <w:rsid w:val="00C364B7"/>
    <w:rsid w:val="00C405D0"/>
    <w:rsid w:val="00C41A91"/>
    <w:rsid w:val="00C41D7B"/>
    <w:rsid w:val="00C42BF7"/>
    <w:rsid w:val="00C4363C"/>
    <w:rsid w:val="00C43D35"/>
    <w:rsid w:val="00C45C0C"/>
    <w:rsid w:val="00C4684A"/>
    <w:rsid w:val="00C47DAF"/>
    <w:rsid w:val="00C56B78"/>
    <w:rsid w:val="00C615E6"/>
    <w:rsid w:val="00C62014"/>
    <w:rsid w:val="00C62814"/>
    <w:rsid w:val="00C62DE2"/>
    <w:rsid w:val="00C63997"/>
    <w:rsid w:val="00C66A33"/>
    <w:rsid w:val="00C7296D"/>
    <w:rsid w:val="00C72A99"/>
    <w:rsid w:val="00C81688"/>
    <w:rsid w:val="00C817B9"/>
    <w:rsid w:val="00C82CAA"/>
    <w:rsid w:val="00C83A44"/>
    <w:rsid w:val="00C84BD3"/>
    <w:rsid w:val="00C86FA5"/>
    <w:rsid w:val="00C91C3E"/>
    <w:rsid w:val="00C921D6"/>
    <w:rsid w:val="00C9315C"/>
    <w:rsid w:val="00C945D4"/>
    <w:rsid w:val="00C96014"/>
    <w:rsid w:val="00C97C15"/>
    <w:rsid w:val="00CA455D"/>
    <w:rsid w:val="00CB1FA5"/>
    <w:rsid w:val="00CB5676"/>
    <w:rsid w:val="00CB6901"/>
    <w:rsid w:val="00CB6C02"/>
    <w:rsid w:val="00CB72CE"/>
    <w:rsid w:val="00CB7731"/>
    <w:rsid w:val="00CC0EC3"/>
    <w:rsid w:val="00CC1A7C"/>
    <w:rsid w:val="00CC6BB5"/>
    <w:rsid w:val="00CC7DBE"/>
    <w:rsid w:val="00CD2973"/>
    <w:rsid w:val="00CD5ED0"/>
    <w:rsid w:val="00CD6C72"/>
    <w:rsid w:val="00CE01A5"/>
    <w:rsid w:val="00CE0863"/>
    <w:rsid w:val="00CE22D3"/>
    <w:rsid w:val="00CE5F5F"/>
    <w:rsid w:val="00CE6B10"/>
    <w:rsid w:val="00CE7185"/>
    <w:rsid w:val="00CF2D04"/>
    <w:rsid w:val="00CF34B1"/>
    <w:rsid w:val="00D01241"/>
    <w:rsid w:val="00D01E1E"/>
    <w:rsid w:val="00D02098"/>
    <w:rsid w:val="00D055F6"/>
    <w:rsid w:val="00D100CB"/>
    <w:rsid w:val="00D10D89"/>
    <w:rsid w:val="00D14BFB"/>
    <w:rsid w:val="00D14DF7"/>
    <w:rsid w:val="00D23AA7"/>
    <w:rsid w:val="00D305D4"/>
    <w:rsid w:val="00D30A76"/>
    <w:rsid w:val="00D339A5"/>
    <w:rsid w:val="00D33BE0"/>
    <w:rsid w:val="00D4148A"/>
    <w:rsid w:val="00D42D77"/>
    <w:rsid w:val="00D4330D"/>
    <w:rsid w:val="00D435EA"/>
    <w:rsid w:val="00D53F81"/>
    <w:rsid w:val="00D57DFB"/>
    <w:rsid w:val="00D638B7"/>
    <w:rsid w:val="00D64681"/>
    <w:rsid w:val="00D66C1D"/>
    <w:rsid w:val="00D75C82"/>
    <w:rsid w:val="00D76C41"/>
    <w:rsid w:val="00D77375"/>
    <w:rsid w:val="00D90B8C"/>
    <w:rsid w:val="00D91CF9"/>
    <w:rsid w:val="00D92F9A"/>
    <w:rsid w:val="00D94084"/>
    <w:rsid w:val="00D955A3"/>
    <w:rsid w:val="00D96E9D"/>
    <w:rsid w:val="00D97DAE"/>
    <w:rsid w:val="00DA178A"/>
    <w:rsid w:val="00DA32F0"/>
    <w:rsid w:val="00DA5956"/>
    <w:rsid w:val="00DB0F76"/>
    <w:rsid w:val="00DB125F"/>
    <w:rsid w:val="00DB195D"/>
    <w:rsid w:val="00DB19D7"/>
    <w:rsid w:val="00DB2922"/>
    <w:rsid w:val="00DB3311"/>
    <w:rsid w:val="00DB3BAD"/>
    <w:rsid w:val="00DC0633"/>
    <w:rsid w:val="00DC3DE5"/>
    <w:rsid w:val="00DC5AF9"/>
    <w:rsid w:val="00DD0141"/>
    <w:rsid w:val="00DD0BC4"/>
    <w:rsid w:val="00DD0EE1"/>
    <w:rsid w:val="00DD3533"/>
    <w:rsid w:val="00DD39CC"/>
    <w:rsid w:val="00DE0DB5"/>
    <w:rsid w:val="00DE370E"/>
    <w:rsid w:val="00DE4CF0"/>
    <w:rsid w:val="00DE60AA"/>
    <w:rsid w:val="00DE7BDE"/>
    <w:rsid w:val="00DF06B7"/>
    <w:rsid w:val="00DF668A"/>
    <w:rsid w:val="00E008B1"/>
    <w:rsid w:val="00E02C2E"/>
    <w:rsid w:val="00E03325"/>
    <w:rsid w:val="00E0385D"/>
    <w:rsid w:val="00E04668"/>
    <w:rsid w:val="00E063BF"/>
    <w:rsid w:val="00E07FBF"/>
    <w:rsid w:val="00E12AFA"/>
    <w:rsid w:val="00E16B14"/>
    <w:rsid w:val="00E17077"/>
    <w:rsid w:val="00E20668"/>
    <w:rsid w:val="00E20D0A"/>
    <w:rsid w:val="00E210E1"/>
    <w:rsid w:val="00E2154B"/>
    <w:rsid w:val="00E24099"/>
    <w:rsid w:val="00E2443E"/>
    <w:rsid w:val="00E255A0"/>
    <w:rsid w:val="00E25B4A"/>
    <w:rsid w:val="00E30955"/>
    <w:rsid w:val="00E33F9A"/>
    <w:rsid w:val="00E36D74"/>
    <w:rsid w:val="00E40B15"/>
    <w:rsid w:val="00E4378D"/>
    <w:rsid w:val="00E52082"/>
    <w:rsid w:val="00E525E7"/>
    <w:rsid w:val="00E54823"/>
    <w:rsid w:val="00E617B8"/>
    <w:rsid w:val="00E63730"/>
    <w:rsid w:val="00E63BB3"/>
    <w:rsid w:val="00E67942"/>
    <w:rsid w:val="00E67D97"/>
    <w:rsid w:val="00E67EA3"/>
    <w:rsid w:val="00E71CDF"/>
    <w:rsid w:val="00E74E37"/>
    <w:rsid w:val="00E81A1A"/>
    <w:rsid w:val="00E879BE"/>
    <w:rsid w:val="00E87A9C"/>
    <w:rsid w:val="00E87AE1"/>
    <w:rsid w:val="00E91001"/>
    <w:rsid w:val="00E92A15"/>
    <w:rsid w:val="00EA0230"/>
    <w:rsid w:val="00EA4A62"/>
    <w:rsid w:val="00EA720F"/>
    <w:rsid w:val="00EB448E"/>
    <w:rsid w:val="00EC02BF"/>
    <w:rsid w:val="00EC16DD"/>
    <w:rsid w:val="00EC6E8B"/>
    <w:rsid w:val="00ED0148"/>
    <w:rsid w:val="00ED0A8A"/>
    <w:rsid w:val="00ED0B44"/>
    <w:rsid w:val="00ED1EC9"/>
    <w:rsid w:val="00ED2120"/>
    <w:rsid w:val="00ED2A18"/>
    <w:rsid w:val="00ED44E4"/>
    <w:rsid w:val="00ED46EB"/>
    <w:rsid w:val="00ED60BF"/>
    <w:rsid w:val="00ED6C14"/>
    <w:rsid w:val="00EE1784"/>
    <w:rsid w:val="00EE2307"/>
    <w:rsid w:val="00EE2790"/>
    <w:rsid w:val="00EE2C2A"/>
    <w:rsid w:val="00EE40F6"/>
    <w:rsid w:val="00EE56BA"/>
    <w:rsid w:val="00EE6BD0"/>
    <w:rsid w:val="00F03FB2"/>
    <w:rsid w:val="00F04F60"/>
    <w:rsid w:val="00F12A58"/>
    <w:rsid w:val="00F14546"/>
    <w:rsid w:val="00F16762"/>
    <w:rsid w:val="00F179C6"/>
    <w:rsid w:val="00F17A81"/>
    <w:rsid w:val="00F21172"/>
    <w:rsid w:val="00F2316F"/>
    <w:rsid w:val="00F23718"/>
    <w:rsid w:val="00F2535D"/>
    <w:rsid w:val="00F260C6"/>
    <w:rsid w:val="00F26433"/>
    <w:rsid w:val="00F264BD"/>
    <w:rsid w:val="00F26AB8"/>
    <w:rsid w:val="00F30220"/>
    <w:rsid w:val="00F30A8D"/>
    <w:rsid w:val="00F30C30"/>
    <w:rsid w:val="00F34171"/>
    <w:rsid w:val="00F342C7"/>
    <w:rsid w:val="00F35AB2"/>
    <w:rsid w:val="00F36CBD"/>
    <w:rsid w:val="00F37200"/>
    <w:rsid w:val="00F4158C"/>
    <w:rsid w:val="00F4197C"/>
    <w:rsid w:val="00F43395"/>
    <w:rsid w:val="00F433D4"/>
    <w:rsid w:val="00F43C0D"/>
    <w:rsid w:val="00F43CBF"/>
    <w:rsid w:val="00F44710"/>
    <w:rsid w:val="00F45374"/>
    <w:rsid w:val="00F46918"/>
    <w:rsid w:val="00F53643"/>
    <w:rsid w:val="00F57811"/>
    <w:rsid w:val="00F60D54"/>
    <w:rsid w:val="00F6161B"/>
    <w:rsid w:val="00F62423"/>
    <w:rsid w:val="00F64224"/>
    <w:rsid w:val="00F700E5"/>
    <w:rsid w:val="00F73305"/>
    <w:rsid w:val="00F73E8A"/>
    <w:rsid w:val="00F75F19"/>
    <w:rsid w:val="00F80E49"/>
    <w:rsid w:val="00F813C9"/>
    <w:rsid w:val="00F8405A"/>
    <w:rsid w:val="00F906C3"/>
    <w:rsid w:val="00F90A7A"/>
    <w:rsid w:val="00F93B6E"/>
    <w:rsid w:val="00F93BCC"/>
    <w:rsid w:val="00F945C7"/>
    <w:rsid w:val="00F9657B"/>
    <w:rsid w:val="00F978B7"/>
    <w:rsid w:val="00F97E22"/>
    <w:rsid w:val="00FA1627"/>
    <w:rsid w:val="00FA3161"/>
    <w:rsid w:val="00FA32DD"/>
    <w:rsid w:val="00FA3978"/>
    <w:rsid w:val="00FA3CB6"/>
    <w:rsid w:val="00FA798D"/>
    <w:rsid w:val="00FA7BD8"/>
    <w:rsid w:val="00FB0458"/>
    <w:rsid w:val="00FB0EF8"/>
    <w:rsid w:val="00FB2035"/>
    <w:rsid w:val="00FB2A1D"/>
    <w:rsid w:val="00FB6822"/>
    <w:rsid w:val="00FB741D"/>
    <w:rsid w:val="00FC198C"/>
    <w:rsid w:val="00FC2CD8"/>
    <w:rsid w:val="00FC3440"/>
    <w:rsid w:val="00FC36E4"/>
    <w:rsid w:val="00FC708B"/>
    <w:rsid w:val="00FC76CE"/>
    <w:rsid w:val="00FD04F6"/>
    <w:rsid w:val="00FD743E"/>
    <w:rsid w:val="00FE2B8A"/>
    <w:rsid w:val="00FE696E"/>
    <w:rsid w:val="00FF0FA2"/>
    <w:rsid w:val="00FF2438"/>
    <w:rsid w:val="00FF2509"/>
    <w:rsid w:val="00FF2D7D"/>
    <w:rsid w:val="00FF3BB2"/>
    <w:rsid w:val="00FF3C7B"/>
    <w:rsid w:val="00FF52B0"/>
    <w:rsid w:val="00FF645D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88AA593-8997-4239-8683-C25DF72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7A9C"/>
  </w:style>
  <w:style w:type="paragraph" w:styleId="Ttulo1">
    <w:name w:val="heading 1"/>
    <w:basedOn w:val="Prrafodelista"/>
    <w:next w:val="Normal"/>
    <w:link w:val="Ttulo1Car"/>
    <w:qFormat/>
    <w:rsid w:val="00C41A91"/>
    <w:pPr>
      <w:spacing w:after="0" w:line="360" w:lineRule="auto"/>
      <w:ind w:left="0"/>
      <w:jc w:val="both"/>
      <w:outlineLvl w:val="0"/>
    </w:pPr>
    <w:rPr>
      <w:rFonts w:ascii="Arial" w:hAnsi="Arial" w:cs="Arial"/>
      <w:b/>
      <w:sz w:val="28"/>
      <w:szCs w:val="24"/>
    </w:rPr>
  </w:style>
  <w:style w:type="paragraph" w:styleId="Ttulo2">
    <w:name w:val="heading 2"/>
    <w:basedOn w:val="Prrafodelista"/>
    <w:next w:val="Normal"/>
    <w:link w:val="Ttulo2Car"/>
    <w:qFormat/>
    <w:rsid w:val="00C41A91"/>
    <w:pPr>
      <w:numPr>
        <w:numId w:val="2"/>
      </w:numPr>
      <w:spacing w:after="0" w:line="360" w:lineRule="auto"/>
      <w:ind w:left="644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1E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30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1A91"/>
    <w:rPr>
      <w:rFonts w:ascii="Arial" w:hAnsi="Arial" w:cs="Arial"/>
      <w:b/>
      <w:sz w:val="28"/>
      <w:szCs w:val="24"/>
    </w:rPr>
  </w:style>
  <w:style w:type="character" w:customStyle="1" w:styleId="Ttulo2Car">
    <w:name w:val="Título 2 Car"/>
    <w:basedOn w:val="Fuentedeprrafopredeter"/>
    <w:link w:val="Ttulo2"/>
    <w:rsid w:val="00C41A91"/>
    <w:rPr>
      <w:rFonts w:ascii="Arial" w:hAnsi="Arial" w:cs="Arial"/>
      <w:b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C41A91"/>
    <w:pPr>
      <w:ind w:left="720"/>
      <w:contextualSpacing/>
    </w:pPr>
  </w:style>
  <w:style w:type="paragraph" w:styleId="Textonotapie">
    <w:name w:val="footnote text"/>
    <w:aliases w:val="fn,fn Car Car,ALTS FOOTNOTE,Footnote Text 2,Footnote ak"/>
    <w:basedOn w:val="Normal"/>
    <w:link w:val="TextonotapieCar1"/>
    <w:qFormat/>
    <w:rsid w:val="00F179C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semiHidden/>
    <w:rsid w:val="00F179C6"/>
    <w:rPr>
      <w:sz w:val="20"/>
      <w:szCs w:val="20"/>
      <w:lang w:val="es-ES"/>
    </w:rPr>
  </w:style>
  <w:style w:type="character" w:customStyle="1" w:styleId="TextonotapieCar1">
    <w:name w:val="Texto nota pie Car1"/>
    <w:aliases w:val="fn Car,fn Car Car Car,ALTS FOOTNOTE Car,Footnote Text 2 Car,Footnote ak Car"/>
    <w:basedOn w:val="Fuentedeprrafopredeter"/>
    <w:link w:val="Textonotapie"/>
    <w:locked/>
    <w:rsid w:val="00F179C6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(Ref. de nota al pie),Ref,de nota al pie"/>
    <w:basedOn w:val="Fuentedeprrafopredeter"/>
    <w:qFormat/>
    <w:rsid w:val="00F179C6"/>
    <w:rPr>
      <w:rFonts w:cs="Times New Roman"/>
      <w:vertAlign w:val="superscript"/>
    </w:rPr>
  </w:style>
  <w:style w:type="character" w:customStyle="1" w:styleId="PrrafodelistaCar">
    <w:name w:val="Párrafo de lista Car"/>
    <w:link w:val="Prrafodelista"/>
    <w:uiPriority w:val="34"/>
    <w:rsid w:val="00F179C6"/>
    <w:rPr>
      <w:lang w:val="es-ES"/>
    </w:rPr>
  </w:style>
  <w:style w:type="table" w:styleId="Tablaconcuadrcula">
    <w:name w:val="Table Grid"/>
    <w:basedOn w:val="Tablanormal"/>
    <w:uiPriority w:val="59"/>
    <w:rsid w:val="00F179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E48"/>
    <w:rPr>
      <w:rFonts w:ascii="Tahoma" w:hAnsi="Tahoma" w:cs="Tahoma"/>
      <w:sz w:val="16"/>
      <w:szCs w:val="1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D1E48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1E48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1E48"/>
    <w:rPr>
      <w:rFonts w:ascii="Times New Roman" w:hAnsi="Times New Roman" w:cs="Times New Roman"/>
      <w:sz w:val="24"/>
      <w:szCs w:val="24"/>
      <w:lang w:eastAsia="es-SV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B0AF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B0AF0"/>
    <w:rPr>
      <w:lang w:val="es-ES"/>
    </w:rPr>
  </w:style>
  <w:style w:type="paragraph" w:styleId="NormalWeb">
    <w:name w:val="Normal (Web)"/>
    <w:basedOn w:val="Normal"/>
    <w:rsid w:val="004D66E7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D66E7"/>
    <w:rPr>
      <w:rFonts w:cs="Times New Roman"/>
      <w:i/>
      <w:iCs/>
    </w:rPr>
  </w:style>
  <w:style w:type="paragraph" w:customStyle="1" w:styleId="listparagraph">
    <w:name w:val="listparagraph"/>
    <w:basedOn w:val="Normal"/>
    <w:uiPriority w:val="99"/>
    <w:rsid w:val="004D66E7"/>
    <w:pPr>
      <w:ind w:left="720"/>
    </w:pPr>
    <w:rPr>
      <w:rFonts w:ascii="Calibri" w:eastAsia="Calibri" w:hAnsi="Calibri" w:cs="Calibri"/>
    </w:rPr>
  </w:style>
  <w:style w:type="character" w:styleId="Textoennegrita">
    <w:name w:val="Strong"/>
    <w:basedOn w:val="Fuentedeprrafopredeter"/>
    <w:uiPriority w:val="22"/>
    <w:qFormat/>
    <w:rsid w:val="00BF07A6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6C30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6C30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301E"/>
    <w:pPr>
      <w:spacing w:line="240" w:lineRule="auto"/>
    </w:pPr>
    <w:rPr>
      <w:rFonts w:ascii="Arial" w:eastAsiaTheme="minorHAnsi" w:hAnsi="Arial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301E"/>
    <w:rPr>
      <w:rFonts w:ascii="Arial" w:eastAsiaTheme="minorHAnsi" w:hAnsi="Arial"/>
      <w:sz w:val="20"/>
      <w:szCs w:val="20"/>
      <w:lang w:val="es-ES" w:eastAsia="en-US"/>
    </w:rPr>
  </w:style>
  <w:style w:type="paragraph" w:customStyle="1" w:styleId="Default">
    <w:name w:val="Default"/>
    <w:rsid w:val="00EA4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comentario1">
    <w:name w:val="Texto comentario1"/>
    <w:basedOn w:val="Normal"/>
    <w:next w:val="Textocomentario"/>
    <w:uiPriority w:val="99"/>
    <w:unhideWhenUsed/>
    <w:rsid w:val="00E36D74"/>
    <w:pPr>
      <w:spacing w:line="240" w:lineRule="auto"/>
    </w:pPr>
    <w:rPr>
      <w:rFonts w:ascii="Arial" w:eastAsia="Calibri" w:hAnsi="Arial"/>
      <w:sz w:val="20"/>
      <w:szCs w:val="20"/>
      <w:lang w:val="es-ES"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97544F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C45C0C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6CBD"/>
    <w:pPr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6CBD"/>
    <w:rPr>
      <w:rFonts w:ascii="Courier New" w:eastAsiaTheme="minorHAnsi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64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C1B"/>
  </w:style>
  <w:style w:type="paragraph" w:styleId="Piedepgina">
    <w:name w:val="footer"/>
    <w:basedOn w:val="Normal"/>
    <w:link w:val="PiedepginaCar"/>
    <w:uiPriority w:val="99"/>
    <w:unhideWhenUsed/>
    <w:rsid w:val="00064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186F-E581-4D6B-9E7E-382E786F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</Pages>
  <Words>2437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Martinez</dc:creator>
  <cp:lastModifiedBy>Roxana Martinez</cp:lastModifiedBy>
  <cp:revision>23</cp:revision>
  <cp:lastPrinted>2018-02-21T17:12:00Z</cp:lastPrinted>
  <dcterms:created xsi:type="dcterms:W3CDTF">2018-02-09T14:12:00Z</dcterms:created>
  <dcterms:modified xsi:type="dcterms:W3CDTF">2018-02-21T17:37:00Z</dcterms:modified>
</cp:coreProperties>
</file>