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14663F" w:rsidP="00173633">
          <w:pPr>
            <w:jc w:val="center"/>
          </w:pP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1840230" cy="713850"/>
                <wp:effectExtent l="171450" t="133350" r="369570" b="295800"/>
                <wp:docPr id="2" name="Imagen 10" descr="cid:image004.jpg@01D51B82.5AD7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12 Imagen" descr="cid:image004.jpg@01D51B82.5AD71080"/>
                        <pic:cNvPicPr/>
                      </pic:nvPicPr>
                      <pic:blipFill>
                        <a:blip r:embed="rId9" r:link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96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833385" cy="712858"/>
                <wp:effectExtent l="171450" t="133350" r="366765" b="296792"/>
                <wp:docPr id="3" name="Imagen 11" descr="cid:image001.jpg@01D52122.3109D3F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0 Imagen" descr="cid:image001.jpg@01D52122.3109D3F0"/>
                        <pic:cNvPicPr/>
                      </pic:nvPicPr>
                      <pic:blipFill>
                        <a:blip r:embed="rId11" r:link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164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2413F" w:rsidRDefault="00B2413F" w:rsidP="0014663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121A85">
                      <w:rPr>
                        <w:color w:val="4F81BD" w:themeColor="accent1"/>
                        <w:lang w:val="es-SV"/>
                      </w:rPr>
                      <w:t>abril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202</w:t>
                    </w:r>
                    <w:r w:rsidR="0009571F">
                      <w:rPr>
                        <w:color w:val="4F81BD" w:themeColor="accent1"/>
                        <w:lang w:val="es-SV"/>
                      </w:rPr>
                      <w:t>1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lastRenderedPageBreak/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2054"/>
        <w:gridCol w:w="7124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9D0502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A43AAA" w:rsidP="00996DC5">
            <w:pPr>
              <w:rPr>
                <w:sz w:val="24"/>
              </w:rPr>
            </w:pPr>
            <w:hyperlink r:id="rId13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4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5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P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  <w:r w:rsidR="00091D86">
              <w:rPr>
                <w:sz w:val="24"/>
              </w:rPr>
              <w:t xml:space="preserve"> </w:t>
            </w:r>
          </w:p>
          <w:p w:rsidR="00091D86" w:rsidRDefault="00091D86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Gestión Documental y Archivos del RNPN, se realiza conforme al art. 43 de la LAIP y Lineamiento 1, art.2 del IAIP.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85" w:type="dxa"/>
          </w:tcPr>
          <w:p w:rsidR="00C57F69" w:rsidRDefault="008E6C29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5pt;height:242.25pt" o:ole="">
                  <v:imagedata r:id="rId17" o:title=""/>
                </v:shape>
                <o:OLEObject Type="Embed" ProgID="Word.Document.12" ShapeID="_x0000_i1025" DrawAspect="Content" ObjectID="_1681199410" r:id="rId18"/>
              </w:object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zona está </w:t>
            </w:r>
            <w:r w:rsidR="00072657">
              <w:rPr>
                <w:sz w:val="24"/>
              </w:rPr>
              <w:lastRenderedPageBreak/>
              <w:t xml:space="preserve">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</w:t>
            </w:r>
            <w:r w:rsidR="00121A85">
              <w:rPr>
                <w:sz w:val="24"/>
              </w:rPr>
              <w:t xml:space="preserve">, Dirección </w:t>
            </w:r>
            <w:r w:rsidRPr="00262AEF">
              <w:rPr>
                <w:sz w:val="24"/>
              </w:rPr>
              <w:t xml:space="preserve">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32A90">
              <w:rPr>
                <w:sz w:val="24"/>
              </w:rPr>
              <w:t>Guía de Archivo del Registro Nacional de las Personas Naturales;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2D77"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 w:rsidR="00FB2D77">
              <w:rPr>
                <w:sz w:val="24"/>
              </w:rPr>
              <w:t xml:space="preserve"> proceso de actualización) </w:t>
            </w:r>
            <w:r>
              <w:rPr>
                <w:sz w:val="24"/>
              </w:rPr>
              <w:t xml:space="preserve">- - - </w:t>
            </w:r>
            <w:r w:rsidR="0028200C">
              <w:rPr>
                <w:sz w:val="24"/>
              </w:rPr>
              <w:t>Política Institucional de Gestión Documental</w:t>
            </w:r>
            <w:r>
              <w:rPr>
                <w:sz w:val="24"/>
              </w:rPr>
              <w:t xml:space="preserve"> (En proceso de actualización)</w:t>
            </w:r>
            <w:r w:rsidR="0028200C">
              <w:rPr>
                <w:sz w:val="24"/>
              </w:rPr>
              <w:t xml:space="preserve">; </w:t>
            </w:r>
          </w:p>
          <w:p w:rsidR="005C3F68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46AE1">
              <w:rPr>
                <w:sz w:val="24"/>
              </w:rPr>
              <w:t>Normativa para el funcionamiento del CISED.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Criterios para la Valoración, Selección y Eliminación 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 xml:space="preserve">Procedimiento para realizar la Valoración, Selección y Eliminación </w:t>
            </w:r>
            <w:r>
              <w:rPr>
                <w:sz w:val="24"/>
              </w:rPr>
              <w:t xml:space="preserve">  </w:t>
            </w:r>
            <w:r w:rsidR="00022A59">
              <w:rPr>
                <w:sz w:val="24"/>
              </w:rPr>
              <w:t>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Procedimiento para Eliminación Documental.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18F5"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 w:rsidR="00FB18F5">
              <w:rPr>
                <w:sz w:val="24"/>
              </w:rPr>
              <w:t>, correspondientes a la Unidad de Supervisión y Control del Dui Nacional.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Guía para las Transferencias Documentales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Procedimiento para las Transferencias documentales</w:t>
            </w:r>
          </w:p>
          <w:p w:rsidR="00246536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50664"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 w:rsidR="00250664"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 w:rsidR="00250664"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663604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9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6.1 IDENTIFICACIÓN DE LA 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9A6C6A">
              <w:rPr>
                <w:sz w:val="24"/>
              </w:rPr>
              <w:t>octava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9A6C6A">
              <w:rPr>
                <w:sz w:val="24"/>
              </w:rPr>
              <w:t>octava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  <w:p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>11ª Revisión    Enero 2021</w:t>
            </w:r>
          </w:p>
          <w:p w:rsidR="00F537CB" w:rsidRDefault="00F537CB" w:rsidP="00663604">
            <w:pPr>
              <w:rPr>
                <w:sz w:val="24"/>
              </w:rPr>
            </w:pPr>
            <w:r>
              <w:rPr>
                <w:sz w:val="24"/>
              </w:rPr>
              <w:t>12ª Revisión    Abril 2021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20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  <w:r>
              <w:rPr>
                <w:sz w:val="24"/>
              </w:rPr>
              <w:t>12ª actualización</w:t>
            </w: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09571F" w:rsidRPr="0078463F" w:rsidRDefault="0009571F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21"/>
      <w:footerReference w:type="default" r:id="rId22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CC" w:rsidRDefault="009E4DCC" w:rsidP="007B3C61">
      <w:pPr>
        <w:spacing w:after="0" w:line="240" w:lineRule="auto"/>
      </w:pPr>
      <w:r>
        <w:separator/>
      </w:r>
    </w:p>
  </w:endnote>
  <w:endnote w:type="continuationSeparator" w:id="1">
    <w:p w:rsidR="009E4DCC" w:rsidRDefault="009E4DCC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A43A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3AAA">
              <w:rPr>
                <w:b/>
                <w:sz w:val="24"/>
                <w:szCs w:val="24"/>
              </w:rPr>
              <w:fldChar w:fldCharType="separate"/>
            </w:r>
            <w:r w:rsidR="000F01CE">
              <w:rPr>
                <w:b/>
                <w:noProof/>
              </w:rPr>
              <w:t>3</w:t>
            </w:r>
            <w:r w:rsidR="00A43AA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43A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43AAA">
              <w:rPr>
                <w:b/>
                <w:sz w:val="24"/>
                <w:szCs w:val="24"/>
              </w:rPr>
              <w:fldChar w:fldCharType="separate"/>
            </w:r>
            <w:r w:rsidR="000F01CE">
              <w:rPr>
                <w:b/>
                <w:noProof/>
              </w:rPr>
              <w:t>12</w:t>
            </w:r>
            <w:r w:rsidR="00A43A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CC" w:rsidRDefault="009E4DCC" w:rsidP="007B3C61">
      <w:pPr>
        <w:spacing w:after="0" w:line="240" w:lineRule="auto"/>
      </w:pPr>
      <w:r>
        <w:separator/>
      </w:r>
    </w:p>
  </w:footnote>
  <w:footnote w:type="continuationSeparator" w:id="1">
    <w:p w:rsidR="009E4DCC" w:rsidRDefault="009E4DCC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B3C61"/>
    <w:rsid w:val="00017B4E"/>
    <w:rsid w:val="00022A59"/>
    <w:rsid w:val="0002557A"/>
    <w:rsid w:val="00025A28"/>
    <w:rsid w:val="0004410F"/>
    <w:rsid w:val="00046AE1"/>
    <w:rsid w:val="0006010D"/>
    <w:rsid w:val="00063CE8"/>
    <w:rsid w:val="00072657"/>
    <w:rsid w:val="000816B1"/>
    <w:rsid w:val="00082A84"/>
    <w:rsid w:val="00091D86"/>
    <w:rsid w:val="00093192"/>
    <w:rsid w:val="0009571F"/>
    <w:rsid w:val="000A6B25"/>
    <w:rsid w:val="000B35D6"/>
    <w:rsid w:val="000B69FD"/>
    <w:rsid w:val="000D4869"/>
    <w:rsid w:val="000D5A59"/>
    <w:rsid w:val="000F01CE"/>
    <w:rsid w:val="000F57B5"/>
    <w:rsid w:val="00110C38"/>
    <w:rsid w:val="00117B51"/>
    <w:rsid w:val="00121A85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C5F5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57009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02AA8"/>
    <w:rsid w:val="00374564"/>
    <w:rsid w:val="003752B6"/>
    <w:rsid w:val="003A4F4F"/>
    <w:rsid w:val="003B1794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16FE9"/>
    <w:rsid w:val="0042196E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7669"/>
    <w:rsid w:val="00611A4C"/>
    <w:rsid w:val="00632DC1"/>
    <w:rsid w:val="006410ED"/>
    <w:rsid w:val="00661AA0"/>
    <w:rsid w:val="00663604"/>
    <w:rsid w:val="00665A97"/>
    <w:rsid w:val="006A2F16"/>
    <w:rsid w:val="006B38C2"/>
    <w:rsid w:val="006C16C9"/>
    <w:rsid w:val="006D0240"/>
    <w:rsid w:val="006D47F6"/>
    <w:rsid w:val="006F3644"/>
    <w:rsid w:val="00707A84"/>
    <w:rsid w:val="007226F0"/>
    <w:rsid w:val="00723A73"/>
    <w:rsid w:val="00731663"/>
    <w:rsid w:val="00733C93"/>
    <w:rsid w:val="00754228"/>
    <w:rsid w:val="00755DE1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31C35"/>
    <w:rsid w:val="008359BF"/>
    <w:rsid w:val="00846569"/>
    <w:rsid w:val="00851300"/>
    <w:rsid w:val="0085203C"/>
    <w:rsid w:val="008616DB"/>
    <w:rsid w:val="008633C5"/>
    <w:rsid w:val="00877D65"/>
    <w:rsid w:val="0088445A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9D0502"/>
    <w:rsid w:val="009E34E0"/>
    <w:rsid w:val="009E4DCC"/>
    <w:rsid w:val="00A00DB3"/>
    <w:rsid w:val="00A05DC1"/>
    <w:rsid w:val="00A15920"/>
    <w:rsid w:val="00A23C47"/>
    <w:rsid w:val="00A31173"/>
    <w:rsid w:val="00A31D83"/>
    <w:rsid w:val="00A37192"/>
    <w:rsid w:val="00A43AAA"/>
    <w:rsid w:val="00A6066A"/>
    <w:rsid w:val="00A675B3"/>
    <w:rsid w:val="00A94D9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63A7B"/>
    <w:rsid w:val="00B708F1"/>
    <w:rsid w:val="00B718E8"/>
    <w:rsid w:val="00B73B86"/>
    <w:rsid w:val="00B8160D"/>
    <w:rsid w:val="00B9331C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A3626"/>
    <w:rsid w:val="00CA3AE8"/>
    <w:rsid w:val="00CB58A6"/>
    <w:rsid w:val="00CB71AF"/>
    <w:rsid w:val="00CC148C"/>
    <w:rsid w:val="00CD2F1A"/>
    <w:rsid w:val="00CD4D79"/>
    <w:rsid w:val="00CF4951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F06D7"/>
    <w:rsid w:val="00E00C72"/>
    <w:rsid w:val="00E07415"/>
    <w:rsid w:val="00E32A90"/>
    <w:rsid w:val="00E37937"/>
    <w:rsid w:val="00E41234"/>
    <w:rsid w:val="00E531C7"/>
    <w:rsid w:val="00E569DE"/>
    <w:rsid w:val="00E73B96"/>
    <w:rsid w:val="00E77FA7"/>
    <w:rsid w:val="00E92DEB"/>
    <w:rsid w:val="00E94B67"/>
    <w:rsid w:val="00EA5C4D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37CB"/>
    <w:rsid w:val="00F56B38"/>
    <w:rsid w:val="00F70B46"/>
    <w:rsid w:val="00F77A43"/>
    <w:rsid w:val="00F966CE"/>
    <w:rsid w:val="00FA0BA7"/>
    <w:rsid w:val="00FA666C"/>
    <w:rsid w:val="00FB18F5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npn.gob.sv" TargetMode="External"/><Relationship Id="rId18" Type="http://schemas.openxmlformats.org/officeDocument/2006/relationships/package" Target="embeddings/Documento_de_Microsoft_Office_Word1.doc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cid:image002.jpg@01D52773.CAA941B0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rnpn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diaz@rnpn.gob.sv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4.jpg@01D51B82.5AD71080" TargetMode="External"/><Relationship Id="rId19" Type="http://schemas.openxmlformats.org/officeDocument/2006/relationships/hyperlink" Target="http://www.rnpn.gob.s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fromero@rnpn.gob.s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EBB948-74AA-4BC1-B1FE-011CCFB7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2797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abril 2021</dc:creator>
  <cp:lastModifiedBy>aerodriguez</cp:lastModifiedBy>
  <cp:revision>2</cp:revision>
  <cp:lastPrinted>2019-08-26T17:26:00Z</cp:lastPrinted>
  <dcterms:created xsi:type="dcterms:W3CDTF">2021-04-29T17:04:00Z</dcterms:created>
  <dcterms:modified xsi:type="dcterms:W3CDTF">2021-04-29T17:04:00Z</dcterms:modified>
</cp:coreProperties>
</file>