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B2413F"/>
        <w:p w:rsidR="00B2413F" w:rsidRDefault="00D32767" w:rsidP="00D32767">
          <w:pPr>
            <w:jc w:val="center"/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2911533" cy="691000"/>
                <wp:effectExtent l="19050" t="0" r="3117" b="0"/>
                <wp:docPr id="8" name="Imagen 6" descr="C:\Users\jlara\Documents\DOCUMENTOS RNPN\Logo GOES 2014\logo_RNPN_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lara\Documents\DOCUMENTOS RNPN\Logo GOES 2014\logo_RNPN_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780" cy="693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D32767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661AA0">
                      <w:rPr>
                        <w:color w:val="4F81BD" w:themeColor="accent1"/>
                        <w:lang w:val="es-SV"/>
                      </w:rPr>
                      <w:t>Abril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201</w:t>
                    </w:r>
                    <w:r w:rsidR="00661AA0">
                      <w:rPr>
                        <w:color w:val="4F81BD" w:themeColor="accent1"/>
                        <w:lang w:val="es-SV"/>
                      </w:rPr>
                      <w:t>9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lastRenderedPageBreak/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Pr="00017B4E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p w:rsidR="006F3644" w:rsidRDefault="006F3644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2028"/>
        <w:gridCol w:w="7026"/>
      </w:tblGrid>
      <w:tr w:rsidR="007226F0" w:rsidTr="006F3644">
        <w:tc>
          <w:tcPr>
            <w:tcW w:w="9054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6F3644">
        <w:trPr>
          <w:trHeight w:val="805"/>
        </w:trPr>
        <w:tc>
          <w:tcPr>
            <w:tcW w:w="9054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6F3644">
        <w:tc>
          <w:tcPr>
            <w:tcW w:w="2028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26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</w:t>
            </w:r>
            <w:r w:rsidR="00C1320E" w:rsidRPr="005C2317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>FORMA AUTORIZADA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26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6F3644">
        <w:trPr>
          <w:trHeight w:val="817"/>
        </w:trPr>
        <w:tc>
          <w:tcPr>
            <w:tcW w:w="9054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6F3644">
        <w:trPr>
          <w:trHeight w:val="559"/>
        </w:trPr>
        <w:tc>
          <w:tcPr>
            <w:tcW w:w="2028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26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590591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6F3644">
        <w:trPr>
          <w:trHeight w:val="559"/>
        </w:trPr>
        <w:tc>
          <w:tcPr>
            <w:tcW w:w="2028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26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  <w:r w:rsidR="0077762B">
              <w:rPr>
                <w:sz w:val="24"/>
              </w:rPr>
              <w:t xml:space="preserve"> 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B708F1">
              <w:rPr>
                <w:sz w:val="24"/>
              </w:rPr>
              <w:t>jvillalta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6F3644">
        <w:trPr>
          <w:trHeight w:val="559"/>
        </w:trPr>
        <w:tc>
          <w:tcPr>
            <w:tcW w:w="2028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</w:t>
            </w:r>
            <w:r w:rsidR="003E0732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>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26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Rutilia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  <w:r w:rsidR="00B15AAE">
              <w:rPr>
                <w:b/>
                <w:sz w:val="24"/>
              </w:rPr>
              <w:t xml:space="preserve"> </w:t>
            </w:r>
          </w:p>
          <w:p w:rsidR="00CD4D79" w:rsidRPr="00CD4D79" w:rsidRDefault="00C1320E" w:rsidP="00996DC5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B708F1">
              <w:rPr>
                <w:sz w:val="24"/>
              </w:rPr>
              <w:t>Juan Carlos Villalta</w:t>
            </w:r>
            <w:r>
              <w:rPr>
                <w:sz w:val="24"/>
              </w:rPr>
              <w:t xml:space="preserve"> Cabrera</w:t>
            </w:r>
          </w:p>
        </w:tc>
      </w:tr>
      <w:tr w:rsidR="00586062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6F3644">
        <w:trPr>
          <w:trHeight w:val="836"/>
        </w:trPr>
        <w:tc>
          <w:tcPr>
            <w:tcW w:w="2028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26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6F3644">
        <w:trPr>
          <w:trHeight w:val="836"/>
        </w:trPr>
        <w:tc>
          <w:tcPr>
            <w:tcW w:w="2028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26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6F3644">
        <w:trPr>
          <w:trHeight w:val="836"/>
        </w:trPr>
        <w:tc>
          <w:tcPr>
            <w:tcW w:w="2028" w:type="dxa"/>
          </w:tcPr>
          <w:p w:rsidR="003D37C0" w:rsidRPr="005C2317" w:rsidRDefault="004600F5" w:rsidP="00BF30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026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No.534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6F3644">
        <w:trPr>
          <w:trHeight w:val="4765"/>
        </w:trPr>
        <w:tc>
          <w:tcPr>
            <w:tcW w:w="2028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tc>
          <w:tcPr>
            <w:tcW w:w="7026" w:type="dxa"/>
          </w:tcPr>
          <w:p w:rsidR="00C57F69" w:rsidRDefault="0016110F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366" w:dyaOrig="10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35pt;height:246.85pt" o:ole="">
                  <v:imagedata r:id="rId14" o:title=""/>
                </v:shape>
                <o:OLEObject Type="Embed" ProgID="Word.Document.12" ShapeID="_x0000_i1025" DrawAspect="Content" ObjectID="_1618043269" r:id="rId15"/>
              </w:object>
            </w:r>
          </w:p>
        </w:tc>
      </w:tr>
      <w:tr w:rsidR="00C57F69" w:rsidTr="006F3644">
        <w:trPr>
          <w:trHeight w:val="836"/>
        </w:trPr>
        <w:tc>
          <w:tcPr>
            <w:tcW w:w="2028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26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171844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6F3644">
        <w:trPr>
          <w:trHeight w:val="836"/>
        </w:trPr>
        <w:tc>
          <w:tcPr>
            <w:tcW w:w="2028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26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3752B6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</w:t>
            </w:r>
            <w:r w:rsidR="00072657">
              <w:rPr>
                <w:sz w:val="24"/>
              </w:rPr>
              <w:lastRenderedPageBreak/>
              <w:t xml:space="preserve">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6F3644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26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Pr="00262AEF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AB190E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26" w:type="dxa"/>
          </w:tcPr>
          <w:p w:rsidR="00246536" w:rsidRDefault="00246536" w:rsidP="00AB190E">
            <w:pPr>
              <w:rPr>
                <w:sz w:val="24"/>
              </w:rPr>
            </w:pPr>
          </w:p>
          <w:p w:rsidR="00FB2D77" w:rsidRDefault="00E32A90" w:rsidP="00AB190E">
            <w:pPr>
              <w:rPr>
                <w:sz w:val="24"/>
              </w:rPr>
            </w:pPr>
            <w:r>
              <w:rPr>
                <w:sz w:val="24"/>
              </w:rPr>
              <w:t>Guía de Archivo del Registro Nacional de las Personas Naturales;</w:t>
            </w:r>
          </w:p>
          <w:p w:rsidR="005C3F68" w:rsidRDefault="00FB2D77" w:rsidP="00AB190E">
            <w:pPr>
              <w:rPr>
                <w:sz w:val="24"/>
              </w:rPr>
            </w:pPr>
            <w:r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>
              <w:rPr>
                <w:sz w:val="24"/>
              </w:rPr>
              <w:t xml:space="preserve"> proceso de actualización) </w:t>
            </w:r>
            <w:r w:rsidR="0028200C">
              <w:rPr>
                <w:sz w:val="24"/>
              </w:rPr>
              <w:t xml:space="preserve">Política Institucional de Gestión Documental; </w:t>
            </w:r>
            <w:r w:rsidR="00046AE1">
              <w:rPr>
                <w:sz w:val="24"/>
              </w:rPr>
              <w:t xml:space="preserve"> Normativa para el funcionamiento del CISED.</w:t>
            </w:r>
          </w:p>
          <w:p w:rsidR="00246536" w:rsidRDefault="00250664" w:rsidP="00AB190E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AB190E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AB190E">
              <w:rPr>
                <w:sz w:val="24"/>
              </w:rPr>
              <w:t>; así como también para la valoración, selección y eliminación documental.</w:t>
            </w:r>
          </w:p>
        </w:tc>
      </w:tr>
      <w:tr w:rsidR="00DD6D95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6F3644">
        <w:trPr>
          <w:trHeight w:val="836"/>
        </w:trPr>
        <w:tc>
          <w:tcPr>
            <w:tcW w:w="2028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6F3644">
        <w:trPr>
          <w:trHeight w:val="836"/>
        </w:trPr>
        <w:tc>
          <w:tcPr>
            <w:tcW w:w="2028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26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6F3644">
        <w:trPr>
          <w:trHeight w:val="836"/>
        </w:trPr>
        <w:tc>
          <w:tcPr>
            <w:tcW w:w="2028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6F3644">
        <w:trPr>
          <w:trHeight w:val="836"/>
        </w:trPr>
        <w:tc>
          <w:tcPr>
            <w:tcW w:w="2028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26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6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26" w:type="dxa"/>
          </w:tcPr>
          <w:p w:rsidR="00162D7D" w:rsidRDefault="00C30A04" w:rsidP="005D0297">
            <w:pPr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26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26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EE58DD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EE58DD">
              <w:rPr>
                <w:sz w:val="24"/>
              </w:rPr>
              <w:t>quinta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EE58DD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EE58DD">
              <w:rPr>
                <w:sz w:val="24"/>
              </w:rPr>
              <w:t>quinta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26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 </w:t>
            </w:r>
            <w:r w:rsidR="00B9331C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 xml:space="preserve"> 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 Abril 2019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F402E0">
        <w:trPr>
          <w:trHeight w:val="836"/>
        </w:trPr>
        <w:tc>
          <w:tcPr>
            <w:tcW w:w="2028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26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7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2B74A5">
        <w:trPr>
          <w:trHeight w:val="3516"/>
        </w:trPr>
        <w:tc>
          <w:tcPr>
            <w:tcW w:w="2028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</w:tc>
        <w:tc>
          <w:tcPr>
            <w:tcW w:w="7026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Pr="0078463F" w:rsidRDefault="00846569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18"/>
      <w:footerReference w:type="default" r:id="rId19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C4" w:rsidRDefault="003E7EC4" w:rsidP="007B3C61">
      <w:pPr>
        <w:spacing w:after="0" w:line="240" w:lineRule="auto"/>
      </w:pPr>
      <w:r>
        <w:separator/>
      </w:r>
    </w:p>
  </w:endnote>
  <w:endnote w:type="continuationSeparator" w:id="0">
    <w:p w:rsidR="003E7EC4" w:rsidRDefault="003E7EC4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5905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90591">
              <w:rPr>
                <w:b/>
                <w:sz w:val="24"/>
                <w:szCs w:val="24"/>
              </w:rPr>
              <w:fldChar w:fldCharType="separate"/>
            </w:r>
            <w:r w:rsidR="00EE58DD">
              <w:rPr>
                <w:b/>
                <w:noProof/>
              </w:rPr>
              <w:t>10</w:t>
            </w:r>
            <w:r w:rsidR="00590591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905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90591">
              <w:rPr>
                <w:b/>
                <w:sz w:val="24"/>
                <w:szCs w:val="24"/>
              </w:rPr>
              <w:fldChar w:fldCharType="separate"/>
            </w:r>
            <w:r w:rsidR="00EE58DD">
              <w:rPr>
                <w:b/>
                <w:noProof/>
              </w:rPr>
              <w:t>11</w:t>
            </w:r>
            <w:r w:rsidR="005905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C4" w:rsidRDefault="003E7EC4" w:rsidP="007B3C61">
      <w:pPr>
        <w:spacing w:after="0" w:line="240" w:lineRule="auto"/>
      </w:pPr>
      <w:r>
        <w:separator/>
      </w:r>
    </w:p>
  </w:footnote>
  <w:footnote w:type="continuationSeparator" w:id="0">
    <w:p w:rsidR="003E7EC4" w:rsidRDefault="003E7EC4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B3C61"/>
    <w:rsid w:val="00017B4E"/>
    <w:rsid w:val="00025A28"/>
    <w:rsid w:val="00046AE1"/>
    <w:rsid w:val="0006010D"/>
    <w:rsid w:val="00072657"/>
    <w:rsid w:val="00082A84"/>
    <w:rsid w:val="00093192"/>
    <w:rsid w:val="000A6B25"/>
    <w:rsid w:val="000B35D6"/>
    <w:rsid w:val="00110C38"/>
    <w:rsid w:val="00117B51"/>
    <w:rsid w:val="00136FEC"/>
    <w:rsid w:val="001542E9"/>
    <w:rsid w:val="0016110F"/>
    <w:rsid w:val="00162D7D"/>
    <w:rsid w:val="00171844"/>
    <w:rsid w:val="00171F49"/>
    <w:rsid w:val="00196639"/>
    <w:rsid w:val="00197DEC"/>
    <w:rsid w:val="001D2B0E"/>
    <w:rsid w:val="00207AC5"/>
    <w:rsid w:val="002204ED"/>
    <w:rsid w:val="00233B5B"/>
    <w:rsid w:val="00241EA3"/>
    <w:rsid w:val="00244875"/>
    <w:rsid w:val="0024492B"/>
    <w:rsid w:val="00246536"/>
    <w:rsid w:val="00250664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74564"/>
    <w:rsid w:val="003752B6"/>
    <w:rsid w:val="003B1794"/>
    <w:rsid w:val="003D37C0"/>
    <w:rsid w:val="003E0732"/>
    <w:rsid w:val="003E6244"/>
    <w:rsid w:val="003E7EC4"/>
    <w:rsid w:val="00405901"/>
    <w:rsid w:val="0042196E"/>
    <w:rsid w:val="004500EE"/>
    <w:rsid w:val="004568AE"/>
    <w:rsid w:val="004600F5"/>
    <w:rsid w:val="00462F72"/>
    <w:rsid w:val="004802BF"/>
    <w:rsid w:val="00493D47"/>
    <w:rsid w:val="004A7EDA"/>
    <w:rsid w:val="004C7A2F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4EC1"/>
    <w:rsid w:val="005B3358"/>
    <w:rsid w:val="005C2317"/>
    <w:rsid w:val="005C360F"/>
    <w:rsid w:val="005C3F2B"/>
    <w:rsid w:val="005C3F68"/>
    <w:rsid w:val="005D0297"/>
    <w:rsid w:val="005E2064"/>
    <w:rsid w:val="005E379C"/>
    <w:rsid w:val="005F1AC8"/>
    <w:rsid w:val="005F7445"/>
    <w:rsid w:val="00607669"/>
    <w:rsid w:val="00611A4C"/>
    <w:rsid w:val="00632DC1"/>
    <w:rsid w:val="00661AA0"/>
    <w:rsid w:val="00665A97"/>
    <w:rsid w:val="006A2F16"/>
    <w:rsid w:val="006B38C2"/>
    <w:rsid w:val="006C16C9"/>
    <w:rsid w:val="006F3644"/>
    <w:rsid w:val="00707A84"/>
    <w:rsid w:val="007226F0"/>
    <w:rsid w:val="00723A73"/>
    <w:rsid w:val="00754228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831C35"/>
    <w:rsid w:val="008359BF"/>
    <w:rsid w:val="00846569"/>
    <w:rsid w:val="008616DB"/>
    <w:rsid w:val="008633C5"/>
    <w:rsid w:val="00877D65"/>
    <w:rsid w:val="0088445A"/>
    <w:rsid w:val="008C128A"/>
    <w:rsid w:val="008F3741"/>
    <w:rsid w:val="008F3897"/>
    <w:rsid w:val="00924C60"/>
    <w:rsid w:val="00937E1E"/>
    <w:rsid w:val="0097098B"/>
    <w:rsid w:val="00972E32"/>
    <w:rsid w:val="00985BD7"/>
    <w:rsid w:val="00994C98"/>
    <w:rsid w:val="00996DC5"/>
    <w:rsid w:val="00997DBF"/>
    <w:rsid w:val="009A271C"/>
    <w:rsid w:val="009A37AC"/>
    <w:rsid w:val="009A6B08"/>
    <w:rsid w:val="009C0A63"/>
    <w:rsid w:val="009C1A77"/>
    <w:rsid w:val="009C614D"/>
    <w:rsid w:val="009C7E09"/>
    <w:rsid w:val="00A00DB3"/>
    <w:rsid w:val="00A31D83"/>
    <w:rsid w:val="00A37192"/>
    <w:rsid w:val="00A6066A"/>
    <w:rsid w:val="00A675B3"/>
    <w:rsid w:val="00A94D95"/>
    <w:rsid w:val="00AA6685"/>
    <w:rsid w:val="00AA7081"/>
    <w:rsid w:val="00AB190E"/>
    <w:rsid w:val="00AC360E"/>
    <w:rsid w:val="00AC467A"/>
    <w:rsid w:val="00AE51F5"/>
    <w:rsid w:val="00AE6276"/>
    <w:rsid w:val="00B15AAE"/>
    <w:rsid w:val="00B16714"/>
    <w:rsid w:val="00B2413F"/>
    <w:rsid w:val="00B33DB6"/>
    <w:rsid w:val="00B5138D"/>
    <w:rsid w:val="00B60C91"/>
    <w:rsid w:val="00B613F1"/>
    <w:rsid w:val="00B708F1"/>
    <w:rsid w:val="00B718E8"/>
    <w:rsid w:val="00B8160D"/>
    <w:rsid w:val="00B9331C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A04"/>
    <w:rsid w:val="00C41A6B"/>
    <w:rsid w:val="00C46661"/>
    <w:rsid w:val="00C56F16"/>
    <w:rsid w:val="00C57154"/>
    <w:rsid w:val="00C57F69"/>
    <w:rsid w:val="00C63510"/>
    <w:rsid w:val="00CA3626"/>
    <w:rsid w:val="00CA3AE8"/>
    <w:rsid w:val="00CB58A6"/>
    <w:rsid w:val="00CB71AF"/>
    <w:rsid w:val="00CC148C"/>
    <w:rsid w:val="00CD2F1A"/>
    <w:rsid w:val="00CD4D79"/>
    <w:rsid w:val="00D03BE1"/>
    <w:rsid w:val="00D0407B"/>
    <w:rsid w:val="00D07280"/>
    <w:rsid w:val="00D12959"/>
    <w:rsid w:val="00D143E9"/>
    <w:rsid w:val="00D16349"/>
    <w:rsid w:val="00D323D7"/>
    <w:rsid w:val="00D32767"/>
    <w:rsid w:val="00D73D46"/>
    <w:rsid w:val="00D774E2"/>
    <w:rsid w:val="00D83E9E"/>
    <w:rsid w:val="00DA43D7"/>
    <w:rsid w:val="00DA6CAC"/>
    <w:rsid w:val="00DB3238"/>
    <w:rsid w:val="00DD6D95"/>
    <w:rsid w:val="00DF06D7"/>
    <w:rsid w:val="00E00C72"/>
    <w:rsid w:val="00E32A90"/>
    <w:rsid w:val="00E37937"/>
    <w:rsid w:val="00E41234"/>
    <w:rsid w:val="00E73B96"/>
    <w:rsid w:val="00E77FA7"/>
    <w:rsid w:val="00E92DEB"/>
    <w:rsid w:val="00E94B67"/>
    <w:rsid w:val="00EA5C4D"/>
    <w:rsid w:val="00EE3D97"/>
    <w:rsid w:val="00EE58DD"/>
    <w:rsid w:val="00F2717B"/>
    <w:rsid w:val="00F33887"/>
    <w:rsid w:val="00F402E0"/>
    <w:rsid w:val="00F44932"/>
    <w:rsid w:val="00F70B46"/>
    <w:rsid w:val="00F77A43"/>
    <w:rsid w:val="00F966CE"/>
    <w:rsid w:val="00FA0BA7"/>
    <w:rsid w:val="00FA666C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yperlink" Target="http://www.rnpn.gob.s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npn.gob.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Documento_de_Microsoft_Office_Word1.docx"/><Relationship Id="rId10" Type="http://schemas.openxmlformats.org/officeDocument/2006/relationships/hyperlink" Target="http://www.rnpn.gob.sv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490807-87A5-41FA-B1D6-455CC3F6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2483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Abril 2019</dc:creator>
  <cp:lastModifiedBy>jlara</cp:lastModifiedBy>
  <cp:revision>10</cp:revision>
  <cp:lastPrinted>2018-09-19T22:39:00Z</cp:lastPrinted>
  <dcterms:created xsi:type="dcterms:W3CDTF">2019-04-29T17:19:00Z</dcterms:created>
  <dcterms:modified xsi:type="dcterms:W3CDTF">2019-04-29T17:41:00Z</dcterms:modified>
</cp:coreProperties>
</file>