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34" w:rsidRDefault="003C1934" w:rsidP="003C1934">
      <w:pPr>
        <w:pStyle w:val="NormalWeb"/>
        <w:spacing w:before="240" w:after="0" w:line="360" w:lineRule="auto"/>
        <w:jc w:val="both"/>
      </w:pPr>
      <w:r>
        <w:rPr>
          <w:b/>
          <w:color w:val="000000"/>
          <w:lang w:val="es-MX" w:eastAsia="es-ES"/>
        </w:rPr>
        <w:t xml:space="preserve">ACTA  NUMERO  TREINTA Y CINCO.  </w:t>
      </w:r>
      <w:r>
        <w:rPr>
          <w:color w:val="000000"/>
          <w:lang w:val="es-MX" w:eastAsia="es-ES"/>
        </w:rPr>
        <w:t xml:space="preserve">En  el  salón  de  sesiones  de  la  Alcaldía  Municipal de Quezaltepeque,  a  las catorce horas con quince minutos, del día veinte del mes de agosto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 la Cuarta Regidora Dra. Alcira Idalia Díaz Alabí, posteriormente se procedió con la lectura del Acta anterior, la cual fue aprobada y firmada. El Concejo Municipal en uso de las facultades legales, que le confiere el Código Municipal y previo el análisis correspondiente, emite  los  acuerdos  siguientes: </w:t>
      </w:r>
      <w:r>
        <w:rPr>
          <w:color w:val="000000"/>
          <w:sz w:val="18"/>
          <w:szCs w:val="18"/>
          <w:lang w:val="es-MX"/>
        </w:rPr>
        <w:t xml:space="preserve">  </w:t>
      </w:r>
      <w:r>
        <w:rPr>
          <w:b/>
        </w:rPr>
        <w:t xml:space="preserve">ACUERDO NÚMERO  UNO.  </w:t>
      </w:r>
      <w:r>
        <w:t xml:space="preserve">El Concejo Municipal en uso de sus facultades legales y en atención a solicitud de fecha 19 de agosto de 2020, presentado por el  Encargado de la Unidad de Protección Civil Municipal, ACUERDA: Autorizar la nómina del personal que trabajará en la </w:t>
      </w:r>
      <w:r>
        <w:rPr>
          <w:b/>
        </w:rPr>
        <w:t xml:space="preserve">cuadrilla  de enterramiento # 6 </w:t>
      </w:r>
      <w:r>
        <w:t xml:space="preserve">denominada </w:t>
      </w:r>
      <w:r>
        <w:rPr>
          <w:b/>
        </w:rPr>
        <w:t>COMANDO ALFA</w:t>
      </w:r>
      <w:r>
        <w:t xml:space="preserve">, del </w:t>
      </w:r>
      <w:r>
        <w:rPr>
          <w:b/>
        </w:rPr>
        <w:t>“PLAN DE PREVENCION Y CONCIENTIZACION A LA POBLACIÓN QUEZALTECA EN EL TEMA COVID-19  FASE III”</w:t>
      </w:r>
      <w:r>
        <w:t>, durante el período comprendido del</w:t>
      </w:r>
      <w:r>
        <w:rPr>
          <w:b/>
        </w:rPr>
        <w:t xml:space="preserve">  10 al 23 de agosto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3C1934"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pStyle w:val="NormalWeb"/>
              <w:spacing w:before="0" w:after="0"/>
              <w:rPr>
                <w:rFonts w:eastAsia="Calibri" w:cs="Times New Roman"/>
                <w:sz w:val="22"/>
                <w:szCs w:val="22"/>
                <w:lang w:eastAsia="en-US"/>
              </w:rPr>
            </w:pPr>
            <w:r>
              <w:rPr>
                <w:rFonts w:eastAsia="Calibri" w:cs="Times New Roman"/>
                <w:sz w:val="22"/>
                <w:szCs w:val="22"/>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pStyle w:val="NormalWeb"/>
              <w:spacing w:before="0" w:after="0"/>
              <w:rPr>
                <w:rFonts w:eastAsia="Calibri" w:cs="Times New Roman"/>
                <w:sz w:val="22"/>
                <w:szCs w:val="22"/>
                <w:lang w:eastAsia="en-US"/>
              </w:rPr>
            </w:pPr>
            <w:r>
              <w:rPr>
                <w:rFonts w:eastAsia="Calibri" w:cs="Times New Roman"/>
                <w:sz w:val="22"/>
                <w:szCs w:val="22"/>
                <w:lang w:eastAsia="en-US"/>
              </w:rPr>
              <w:t>MONTO POR CATORCENA</w:t>
            </w:r>
          </w:p>
        </w:tc>
      </w:tr>
      <w:tr w:rsidR="003C1934"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pStyle w:val="NormalWeb"/>
              <w:spacing w:before="0" w:after="0"/>
              <w:jc w:val="both"/>
              <w:rPr>
                <w:rFonts w:eastAsia="Calibri" w:cs="Times New Roman"/>
                <w:lang w:eastAsia="en-US"/>
              </w:rPr>
            </w:pPr>
            <w:r>
              <w:rPr>
                <w:rFonts w:eastAsia="Calibri" w:cs="Times New Roman"/>
                <w:lang w:eastAsia="en-US"/>
              </w:rPr>
              <w:t xml:space="preserve">Daniel Armando Barrera </w:t>
            </w:r>
            <w:proofErr w:type="spellStart"/>
            <w:r>
              <w:rPr>
                <w:rFonts w:eastAsia="Calibri" w:cs="Times New Roman"/>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pStyle w:val="NormalWeb"/>
              <w:spacing w:before="0" w:after="0"/>
              <w:rPr>
                <w:rFonts w:eastAsia="Calibri" w:cs="Times New Roman"/>
                <w:lang w:eastAsia="en-US"/>
              </w:rPr>
            </w:pPr>
            <w:r>
              <w:rPr>
                <w:rFonts w:eastAsia="Calibri" w:cs="Times New Roman"/>
                <w:lang w:eastAsia="en-US"/>
              </w:rPr>
              <w:t>$        140.00</w:t>
            </w:r>
          </w:p>
        </w:tc>
      </w:tr>
      <w:tr w:rsidR="003C1934"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pStyle w:val="NormalWeb"/>
              <w:spacing w:before="0" w:after="0"/>
              <w:jc w:val="both"/>
              <w:rPr>
                <w:rFonts w:eastAsia="Calibri" w:cs="Times New Roman"/>
                <w:lang w:eastAsia="en-US"/>
              </w:rPr>
            </w:pPr>
            <w:r>
              <w:rPr>
                <w:rFonts w:eastAsia="Calibri" w:cs="Times New Roman"/>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pStyle w:val="NormalWeb"/>
              <w:spacing w:before="0" w:after="0"/>
              <w:rPr>
                <w:rFonts w:eastAsia="Calibri" w:cs="Times New Roman"/>
                <w:lang w:eastAsia="en-US"/>
              </w:rPr>
            </w:pPr>
            <w:r>
              <w:rPr>
                <w:rFonts w:eastAsia="Calibri" w:cs="Times New Roman"/>
                <w:lang w:eastAsia="en-US"/>
              </w:rPr>
              <w:t>$        140.00</w:t>
            </w:r>
          </w:p>
        </w:tc>
      </w:tr>
      <w:tr w:rsidR="003C1934"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pStyle w:val="NormalWeb"/>
              <w:spacing w:before="0" w:after="0"/>
              <w:jc w:val="both"/>
              <w:rPr>
                <w:rFonts w:eastAsia="Calibri" w:cs="Times New Roman"/>
                <w:lang w:eastAsia="en-US"/>
              </w:rPr>
            </w:pPr>
            <w:r>
              <w:rPr>
                <w:rFonts w:eastAsia="Calibri" w:cs="Times New Roman"/>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pStyle w:val="NormalWeb"/>
              <w:spacing w:before="0" w:after="0"/>
              <w:rPr>
                <w:rFonts w:eastAsia="Calibri" w:cs="Times New Roman"/>
                <w:lang w:eastAsia="en-US"/>
              </w:rPr>
            </w:pPr>
            <w:r>
              <w:rPr>
                <w:rFonts w:eastAsia="Calibri" w:cs="Times New Roman"/>
                <w:lang w:eastAsia="en-US"/>
              </w:rPr>
              <w:t>$        140.00</w:t>
            </w:r>
          </w:p>
        </w:tc>
      </w:tr>
      <w:tr w:rsidR="003C1934"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pStyle w:val="NormalWeb"/>
              <w:spacing w:before="0" w:after="0"/>
              <w:jc w:val="both"/>
              <w:rPr>
                <w:rFonts w:eastAsia="Calibri" w:cs="Times New Roman"/>
                <w:lang w:eastAsia="en-US"/>
              </w:rPr>
            </w:pPr>
            <w:r>
              <w:rPr>
                <w:rFonts w:eastAsia="Calibri" w:cs="Times New Roman"/>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pStyle w:val="NormalWeb"/>
              <w:spacing w:before="0" w:after="0"/>
              <w:rPr>
                <w:rFonts w:eastAsia="Calibri" w:cs="Times New Roman"/>
                <w:lang w:eastAsia="en-US"/>
              </w:rPr>
            </w:pPr>
            <w:r>
              <w:rPr>
                <w:rFonts w:eastAsia="Calibri" w:cs="Times New Roman"/>
                <w:lang w:eastAsia="en-US"/>
              </w:rPr>
              <w:t>$        140.00</w:t>
            </w:r>
          </w:p>
        </w:tc>
      </w:tr>
      <w:tr w:rsidR="003C1934"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pStyle w:val="NormalWeb"/>
              <w:spacing w:before="0" w:after="0"/>
              <w:jc w:val="both"/>
              <w:rPr>
                <w:rFonts w:eastAsia="Calibri" w:cs="Times New Roman"/>
                <w:lang w:eastAsia="en-US"/>
              </w:rPr>
            </w:pPr>
            <w:r>
              <w:rPr>
                <w:rFonts w:eastAsia="Calibri" w:cs="Times New Roman"/>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pStyle w:val="NormalWeb"/>
              <w:spacing w:before="0" w:after="0"/>
              <w:rPr>
                <w:rFonts w:eastAsia="Calibri" w:cs="Times New Roman"/>
                <w:lang w:eastAsia="en-US"/>
              </w:rPr>
            </w:pPr>
            <w:r>
              <w:rPr>
                <w:rFonts w:eastAsia="Calibri" w:cs="Times New Roman"/>
                <w:lang w:eastAsia="en-US"/>
              </w:rPr>
              <w:t>$        140.00</w:t>
            </w:r>
          </w:p>
        </w:tc>
      </w:tr>
      <w:tr w:rsidR="003C1934"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pStyle w:val="NormalWeb"/>
              <w:spacing w:before="0" w:after="0"/>
              <w:jc w:val="both"/>
              <w:rPr>
                <w:rFonts w:eastAsia="Calibri" w:cs="Times New Roman"/>
                <w:lang w:eastAsia="en-US"/>
              </w:rPr>
            </w:pPr>
            <w:r>
              <w:rPr>
                <w:rFonts w:eastAsia="Calibri" w:cs="Times New Roman"/>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pStyle w:val="NormalWeb"/>
              <w:spacing w:before="0" w:after="0"/>
              <w:rPr>
                <w:rFonts w:eastAsia="Calibri" w:cs="Times New Roman"/>
                <w:lang w:eastAsia="en-US"/>
              </w:rPr>
            </w:pPr>
            <w:r>
              <w:rPr>
                <w:rFonts w:eastAsia="Calibri" w:cs="Times New Roman"/>
                <w:lang w:eastAsia="en-US"/>
              </w:rPr>
              <w:t>$        700.00</w:t>
            </w:r>
          </w:p>
        </w:tc>
      </w:tr>
    </w:tbl>
    <w:p w:rsidR="003C1934" w:rsidRDefault="003C1934" w:rsidP="003C1934">
      <w:pPr>
        <w:pStyle w:val="NormalWeb"/>
        <w:spacing w:before="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w:t>
      </w:r>
      <w:r>
        <w:rPr>
          <w:b/>
        </w:rPr>
        <w:lastRenderedPageBreak/>
        <w:t xml:space="preserve">DOS.  </w:t>
      </w:r>
      <w:r>
        <w:t xml:space="preserve">El Concejo Municipal en uso de sus facultades legales y en atención a solicitud presentada por el Jefe de la UACI de esta Institución, ACUERDA: </w:t>
      </w:r>
      <w:r>
        <w:rPr>
          <w:b/>
        </w:rPr>
        <w:t>Ï)</w:t>
      </w:r>
      <w:r>
        <w:t xml:space="preserve"> Ratificar el Acuerdo</w:t>
      </w:r>
      <w:r>
        <w:rPr>
          <w:b/>
        </w:rPr>
        <w:t xml:space="preserve"> </w:t>
      </w:r>
      <w:r>
        <w:t xml:space="preserve">No. 4 del Acta No. 46 de fecha 08 de noviembre de 2019, que literalmente </w:t>
      </w:r>
      <w:proofErr w:type="spellStart"/>
      <w:r>
        <w:t>dice:””””</w:t>
      </w:r>
      <w:r>
        <w:rPr>
          <w:b/>
        </w:rPr>
        <w:t>ACUERDO</w:t>
      </w:r>
      <w:proofErr w:type="spellEnd"/>
      <w:r>
        <w:rPr>
          <w:b/>
        </w:rPr>
        <w:t xml:space="preserve"> NÚMERO CUATRO. </w:t>
      </w:r>
      <w:r>
        <w:t xml:space="preserve">  El Concejo Municipal en uso de sus facultades legales, ACUERDA: </w:t>
      </w:r>
      <w:r>
        <w:rPr>
          <w:b/>
        </w:rPr>
        <w:t>Aprobar y Priorizar la carpeta técnica</w:t>
      </w:r>
      <w:r>
        <w:t xml:space="preserve"> del proyecto: </w:t>
      </w:r>
      <w:r>
        <w:rPr>
          <w:b/>
        </w:rPr>
        <w:t>“FIESTAS DECEMBRINAS 2019”,</w:t>
      </w:r>
      <w:r>
        <w:t xml:space="preserve"> </w:t>
      </w:r>
      <w:r>
        <w:rPr>
          <w:b/>
          <w:bCs/>
        </w:rPr>
        <w:t xml:space="preserve"> </w:t>
      </w:r>
      <w:r>
        <w:rPr>
          <w:bCs/>
        </w:rPr>
        <w:t>presentada</w:t>
      </w:r>
      <w:r>
        <w:rPr>
          <w:b/>
          <w:bCs/>
        </w:rPr>
        <w:t xml:space="preserve"> </w:t>
      </w:r>
      <w:r>
        <w:rPr>
          <w:bCs/>
        </w:rPr>
        <w:t xml:space="preserve">por Gerencia de Desarrollo Social de esta Municipalidad, </w:t>
      </w:r>
      <w:r>
        <w:t xml:space="preserve">el cual  se ejecutará por un monto de  </w:t>
      </w:r>
      <w:r>
        <w:rPr>
          <w:b/>
        </w:rPr>
        <w:t xml:space="preserve">$ 188,445.31, </w:t>
      </w:r>
      <w:r>
        <w:t xml:space="preserve">con </w:t>
      </w:r>
      <w:r>
        <w:rPr>
          <w:b/>
        </w:rPr>
        <w:t>fondos Propios de esta Institución;</w:t>
      </w:r>
      <w:r>
        <w:t xml:space="preserve">  por lo que,  </w:t>
      </w:r>
      <w:r>
        <w:rPr>
          <w:b/>
        </w:rPr>
        <w:t xml:space="preserve">Se autoriza a la señora Tesorera Municipal, </w:t>
      </w:r>
      <w:r>
        <w:t xml:space="preserve">para que, de la cuenta </w:t>
      </w:r>
      <w:r>
        <w:rPr>
          <w:b/>
        </w:rPr>
        <w:t>FONDOS PROPIOS</w:t>
      </w:r>
      <w:r>
        <w:t xml:space="preserve"> </w:t>
      </w:r>
      <w:r>
        <w:rPr>
          <w:b/>
        </w:rPr>
        <w:t># 577-000324-2 del Banco Agrícola, S. A, denominada Alcaldía Municipal de Quezaltepeque,</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“FIESTAS DECEMBRINAS 2019”. </w:t>
      </w:r>
      <w:r>
        <w:t xml:space="preserve">La cantidad restante será trasladada oportunamente conforme al desarrollo del proyecto.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para aplicar los específicos Presupuestarios correspondientes para su respectiva erogación. COMUNIQUESE</w:t>
      </w:r>
      <w:r>
        <w:rPr>
          <w:b/>
        </w:rPr>
        <w:t>.¨¨ II) -</w:t>
      </w:r>
      <w:r>
        <w:t>Autorizar a la señora Tesorera Municipal, para que, con fondos del proyecto</w:t>
      </w:r>
      <w:r>
        <w:rPr>
          <w:b/>
        </w:rPr>
        <w:t>: “FIESTAS DECEMBRINAS 2019”,</w:t>
      </w:r>
      <w:r>
        <w:t xml:space="preserve"> efectúe el pago de las facturas emitidas  por la empresa </w:t>
      </w:r>
      <w:r>
        <w:rPr>
          <w:b/>
        </w:rPr>
        <w:t>F&amp;L IMPORTADORA S.A DE C.V</w:t>
      </w:r>
      <w:r>
        <w:t xml:space="preserve">, que detallo a continuación:  # 10055, de fecha 22/02/2020, por </w:t>
      </w:r>
      <w:r>
        <w:rPr>
          <w:b/>
        </w:rPr>
        <w:t>$ 775.00</w:t>
      </w:r>
      <w:r>
        <w:t xml:space="preserve">, factura # 10056 de fecha 22/02/2020, por </w:t>
      </w:r>
      <w:r>
        <w:rPr>
          <w:b/>
        </w:rPr>
        <w:t>$ 765.00</w:t>
      </w:r>
      <w:r>
        <w:t xml:space="preserve">, factura # 10057  de fecha 22/02/2020, por </w:t>
      </w:r>
      <w:r>
        <w:rPr>
          <w:b/>
        </w:rPr>
        <w:t>$ 840.00</w:t>
      </w:r>
      <w:r>
        <w:t xml:space="preserve">, factura # 10058 de fecha 22/02/2020, por  </w:t>
      </w:r>
      <w:r>
        <w:rPr>
          <w:b/>
        </w:rPr>
        <w:t>$ 1,355.00</w:t>
      </w:r>
      <w:r>
        <w:t xml:space="preserve">, factura # 10059 de fecha 22/02/2020, por $ </w:t>
      </w:r>
      <w:r>
        <w:rPr>
          <w:b/>
        </w:rPr>
        <w:t>1,212.50</w:t>
      </w:r>
      <w:r>
        <w:t xml:space="preserve">; y factura # 10060, de fecha 22/02/2020, por </w:t>
      </w:r>
      <w:r>
        <w:rPr>
          <w:b/>
        </w:rPr>
        <w:t>$ 52.50</w:t>
      </w:r>
      <w:r>
        <w:t xml:space="preserve">, que hacen </w:t>
      </w:r>
      <w:r>
        <w:rPr>
          <w:b/>
        </w:rPr>
        <w:t>un total de $ 5,000.00</w:t>
      </w:r>
      <w:r>
        <w:t xml:space="preserve">, que amparan la compra de juguetes que fueron entregados a los Sub-comités, en el marco de las Fiestas Decembrinas 2019. Cabe mencionar que según nota aclaratoria de la empresa </w:t>
      </w:r>
      <w:r>
        <w:rPr>
          <w:b/>
        </w:rPr>
        <w:t>F&amp;L IMPORTADORA S.A DE C.V</w:t>
      </w:r>
      <w:r>
        <w:t xml:space="preserve">, las facturas se emitieron con fecha 22 de febrero de 2020, y fueron entregadas a la UACI, el día 25 de febrero del 2020, debido </w:t>
      </w:r>
      <w:r>
        <w:lastRenderedPageBreak/>
        <w:t xml:space="preserve">a que el personal de la empresa goza de vacaciones en inicio de año, y que la persona que entrega las facturas, solicitó extensión de sus vacaciones. Se autoriza a la Unidad Financiera Instit5ucional, para aplicar el específico Presupuestario correspondiente. COMUNIQUESE. </w:t>
      </w:r>
      <w:r>
        <w:rPr>
          <w:b/>
        </w:rPr>
        <w:t xml:space="preserve">ACUERDO NÚMERO  TRES.  </w:t>
      </w:r>
      <w:r>
        <w:t xml:space="preserve">Vista la ORDEN DE CAMBIO No. 1, de fecha 20 de agosto de 2020, del proyecto: </w:t>
      </w:r>
      <w:r>
        <w:rPr>
          <w:b/>
        </w:rPr>
        <w:t>“REPARACIÓN DE EQUIPOS DE TRANSPORTE DE USO OPERATIVOS</w:t>
      </w:r>
      <w:r>
        <w:t>”, correspondiente a “</w:t>
      </w:r>
      <w:r>
        <w:rPr>
          <w:b/>
          <w:color w:val="000000"/>
          <w:lang w:val="es-MX"/>
        </w:rPr>
        <w:t>FONDO PARA EL FINANCIAMIENTO, ATENCIÓN, RECUPERACIÓN Y RECONSTRUCCIÓN ANTE LAS EMERGENCIAS. COVID 19 Y TORMENTA AMANDA”</w:t>
      </w:r>
      <w:r>
        <w:t xml:space="preserve">, en la que la Gerencia de Desarrollo Territorial solicita al Concejo, se apruebe la Orden de cambio,  justificando que se realizó el diagnóstico en todas las unidades de transporte y se verificó que se encuentran en malas condiciones la mayoría de ellos, debido a la falta de repuestos y accesorios, que no estaban contemplados en el presupuesto aprobado por la Municipalidad, para su respectivo mantenimiento; Por lo cual  el referido proyecto se vio afectado en base a los tiempos normales de su ejecución, con respecto al cronograma de actividades, por no contar con el </w:t>
      </w:r>
      <w:r>
        <w:rPr>
          <w:sz w:val="26"/>
          <w:szCs w:val="26"/>
        </w:rPr>
        <w:t>suministro de los repuestos y accesorios por parte de los proveedores, lo que vino a atrasar el avance físico, en la reparación de las unidades de transporte Por lo que, solicita el Aval por parte del Concejo Municipal; y al mismo tiempo autoricen a la UFI realizar la siguiente REPROGRAMACION:</w:t>
      </w:r>
    </w:p>
    <w:tbl>
      <w:tblPr>
        <w:tblW w:w="8882" w:type="dxa"/>
        <w:tblInd w:w="108" w:type="dxa"/>
        <w:tblLayout w:type="fixed"/>
        <w:tblCellMar>
          <w:left w:w="10" w:type="dxa"/>
          <w:right w:w="10" w:type="dxa"/>
        </w:tblCellMar>
        <w:tblLook w:val="04A0" w:firstRow="1" w:lastRow="0" w:firstColumn="1" w:lastColumn="0" w:noHBand="0" w:noVBand="1"/>
      </w:tblPr>
      <w:tblGrid>
        <w:gridCol w:w="5055"/>
        <w:gridCol w:w="992"/>
        <w:gridCol w:w="1276"/>
        <w:gridCol w:w="1559"/>
      </w:tblGrid>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ind w:right="-234"/>
              <w:jc w:val="both"/>
              <w:rPr>
                <w:rFonts w:ascii="Calibri" w:eastAsia="Calibri" w:hAnsi="Calibri"/>
                <w:sz w:val="22"/>
                <w:szCs w:val="22"/>
                <w:lang w:eastAsia="en-US"/>
              </w:rPr>
            </w:pPr>
            <w:r>
              <w:rPr>
                <w:rFonts w:ascii="Calibri" w:eastAsia="Calibri" w:hAnsi="Calibri"/>
                <w:sz w:val="22"/>
                <w:szCs w:val="22"/>
                <w:lang w:eastAsia="en-US"/>
              </w:rPr>
              <w:t>DESCRIPCION DEL BIEN O SERVICIO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ind w:right="-108"/>
              <w:jc w:val="both"/>
              <w:rPr>
                <w:rFonts w:ascii="Calibri" w:eastAsia="Calibri" w:hAnsi="Calibri"/>
                <w:sz w:val="18"/>
                <w:szCs w:val="18"/>
                <w:lang w:eastAsia="en-US"/>
              </w:rPr>
            </w:pPr>
            <w:r>
              <w:rPr>
                <w:rFonts w:ascii="Calibri" w:eastAsia="Calibri" w:hAnsi="Calibri"/>
                <w:sz w:val="18"/>
                <w:szCs w:val="18"/>
                <w:lang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ind w:right="-44"/>
              <w:jc w:val="both"/>
              <w:rPr>
                <w:rFonts w:ascii="Calibri" w:eastAsia="Calibri" w:hAnsi="Calibri"/>
                <w:sz w:val="22"/>
                <w:szCs w:val="22"/>
                <w:lang w:eastAsia="en-US"/>
              </w:rPr>
            </w:pPr>
            <w:r>
              <w:rPr>
                <w:rFonts w:ascii="Calibri" w:eastAsia="Calibri" w:hAnsi="Calibri"/>
                <w:sz w:val="22"/>
                <w:szCs w:val="22"/>
                <w:lang w:eastAsia="en-US"/>
              </w:rPr>
              <w:t>AUMENTA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108"/>
              </w:tabs>
              <w:ind w:right="-234" w:hanging="108"/>
              <w:jc w:val="both"/>
              <w:rPr>
                <w:rFonts w:ascii="Calibri" w:eastAsia="Calibri" w:hAnsi="Calibri"/>
                <w:sz w:val="22"/>
                <w:szCs w:val="22"/>
                <w:lang w:eastAsia="en-US"/>
              </w:rPr>
            </w:pPr>
            <w:r>
              <w:rPr>
                <w:rFonts w:ascii="Calibri" w:eastAsia="Calibri" w:hAnsi="Calibri"/>
                <w:sz w:val="22"/>
                <w:szCs w:val="22"/>
                <w:lang w:eastAsia="en-US"/>
              </w:rPr>
              <w:t>DISMINUYE</w:t>
            </w: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ind w:right="-234"/>
              <w:jc w:val="both"/>
              <w:rPr>
                <w:rFonts w:ascii="Calibri" w:eastAsia="Calibri" w:hAnsi="Calibri"/>
                <w:sz w:val="18"/>
                <w:szCs w:val="18"/>
                <w:lang w:eastAsia="en-US"/>
              </w:rPr>
            </w:pPr>
            <w:r>
              <w:rPr>
                <w:rFonts w:ascii="Calibri" w:eastAsia="Calibri" w:hAnsi="Calibri"/>
                <w:sz w:val="18"/>
                <w:szCs w:val="18"/>
                <w:lang w:eastAsia="en-US"/>
              </w:rPr>
              <w:t>Luces delanteras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200.00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Luces de stop, vías y cortesías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Rines R-22.5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480.00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Fajas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Conectores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Alternador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390.00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Gobernadores de aire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Bomba de control de freno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450.00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Bomba auxiliar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200.00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Kit de empaques de compresor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Filtros de aire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200.00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Mica hidráulica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Fajas de motor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Baleros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Retenedores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Hojas de resortes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1,500.00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Codos de Escape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Tubo flexible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Abrazaderas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Reparación de lámina para compactador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2,000.00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Reparación de cilindros hidráulicos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Mangueras hidráulicas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500.00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Bujes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lastRenderedPageBreak/>
              <w:t>Soportes de tensora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250.00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Embriagues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600.00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Llantas 11R22.5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4,600.00</w:t>
            </w: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Reloj marcador de temperatura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300.00</w:t>
            </w: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Cambio de aceite de motor 15W50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1,250.00</w:t>
            </w: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Cambio de aceite de caja 85/145W</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750.00</w:t>
            </w: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Cambio de aceite de corona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625.00</w:t>
            </w: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Regulador de embragues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200.00</w:t>
            </w:r>
          </w:p>
        </w:tc>
      </w:tr>
      <w:tr w:rsidR="003C1934" w:rsidTr="00145CB7">
        <w:tblPrEx>
          <w:tblCellMar>
            <w:top w:w="0" w:type="dxa"/>
            <w:bottom w:w="0" w:type="dxa"/>
          </w:tblCellMar>
        </w:tblPrEx>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Imprevisto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290.00</w:t>
            </w:r>
          </w:p>
        </w:tc>
      </w:tr>
      <w:tr w:rsidR="003C1934" w:rsidTr="00145CB7">
        <w:tblPrEx>
          <w:tblCellMar>
            <w:top w:w="0" w:type="dxa"/>
            <w:bottom w:w="0" w:type="dxa"/>
          </w:tblCellMar>
        </w:tblPrEx>
        <w:tc>
          <w:tcPr>
            <w:tcW w:w="6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xml:space="preserve">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8,015.00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C1934" w:rsidRDefault="003C1934" w:rsidP="00145CB7">
            <w:pPr>
              <w:tabs>
                <w:tab w:val="left" w:pos="0"/>
              </w:tabs>
              <w:rPr>
                <w:rFonts w:ascii="Calibri" w:eastAsia="Calibri" w:hAnsi="Calibri"/>
                <w:sz w:val="18"/>
                <w:szCs w:val="18"/>
                <w:lang w:eastAsia="en-US"/>
              </w:rPr>
            </w:pPr>
            <w:r>
              <w:rPr>
                <w:rFonts w:ascii="Calibri" w:eastAsia="Calibri" w:hAnsi="Calibri"/>
                <w:sz w:val="18"/>
                <w:szCs w:val="18"/>
                <w:lang w:eastAsia="en-US"/>
              </w:rPr>
              <w:t>$   8,015.00</w:t>
            </w:r>
          </w:p>
        </w:tc>
      </w:tr>
    </w:tbl>
    <w:p w:rsidR="003C1934" w:rsidRDefault="003C1934" w:rsidP="003C1934">
      <w:pPr>
        <w:pStyle w:val="NormalWeb"/>
        <w:spacing w:before="240" w:line="360" w:lineRule="auto"/>
        <w:jc w:val="both"/>
      </w:pPr>
      <w:r>
        <w:t xml:space="preserve">El Concejo Municipal en uso de sus facultades legales, ACUERDA: </w:t>
      </w:r>
      <w:r>
        <w:rPr>
          <w:b/>
          <w:bCs/>
        </w:rPr>
        <w:t>Aprobar la ORDEN DE CAMBIO No. 1</w:t>
      </w:r>
      <w:r>
        <w:t xml:space="preserve">, efectuada en el proyecto: </w:t>
      </w:r>
      <w:r>
        <w:rPr>
          <w:b/>
        </w:rPr>
        <w:t>“REPARACIÓN DE EQUIPOS DE TRANSPORTE DE USO OPERATIVOS</w:t>
      </w:r>
      <w:r>
        <w:t>”</w:t>
      </w:r>
      <w:r>
        <w:rPr>
          <w:b/>
        </w:rPr>
        <w:t xml:space="preserve">,  </w:t>
      </w:r>
      <w:r>
        <w:t>y  se  Autoriza al Jefe de la Unidad Financiera Institucional, para elaborar la reprogramación Presupuestaria  respectiva</w:t>
      </w:r>
      <w:r>
        <w:rPr>
          <w:b/>
        </w:rPr>
        <w:t xml:space="preserve">. </w:t>
      </w:r>
      <w:r>
        <w:t xml:space="preserve">COMUNIQUESE. </w:t>
      </w:r>
    </w:p>
    <w:p w:rsidR="003C1934" w:rsidRDefault="003C1934" w:rsidP="003C1934">
      <w:pPr>
        <w:pStyle w:val="NormalWeb"/>
        <w:spacing w:before="240" w:line="360" w:lineRule="auto"/>
        <w:jc w:val="both"/>
      </w:pPr>
      <w:r>
        <w:rPr>
          <w:b/>
        </w:rPr>
        <w:t xml:space="preserve">ACUERDO NÚMERO  CUATRO.  </w:t>
      </w:r>
      <w:r>
        <w:t xml:space="preserve">El Concejo Municipal en uso de sus facultades legales y en atención a solicitud presentada por el Gerente de Desarrollo Territorial, ACUERDA: Autorizar a la señora Tesorera Municipal, para que, de la cuenta del Proyecto: </w:t>
      </w:r>
      <w:r>
        <w:rPr>
          <w:b/>
        </w:rPr>
        <w:t>“MEJORAMIENTO DE PARQUE DE COLONIA LA ESPERANZA, MUNICIPIO DE QUEZALTEPEQUE, DEPARTAMENTO DE LA LIBERTAD”</w:t>
      </w:r>
      <w:r>
        <w:t xml:space="preserve">, Cuenta  del </w:t>
      </w:r>
      <w:r>
        <w:rPr>
          <w:b/>
        </w:rPr>
        <w:t>Banco Hipotecario de El Salvador, S. A, # 0580001972 (1) (Fondo Gobernación</w:t>
      </w:r>
      <w:r>
        <w:t xml:space="preserve">), pague al personal que realizará sus labores en la ejecución del referido proyecto, durante el período comprendido del </w:t>
      </w:r>
      <w:r>
        <w:rPr>
          <w:b/>
        </w:rPr>
        <w:t>17 al 30 de agosto  de 2020</w:t>
      </w:r>
      <w:r>
        <w:t xml:space="preserve">, conforme al detalle siguiente: </w:t>
      </w:r>
    </w:p>
    <w:tbl>
      <w:tblPr>
        <w:tblW w:w="8931" w:type="dxa"/>
        <w:tblInd w:w="108" w:type="dxa"/>
        <w:tblLayout w:type="fixed"/>
        <w:tblCellMar>
          <w:left w:w="10" w:type="dxa"/>
          <w:right w:w="10" w:type="dxa"/>
        </w:tblCellMar>
        <w:tblLook w:val="04A0" w:firstRow="1" w:lastRow="0" w:firstColumn="1" w:lastColumn="0" w:noHBand="0" w:noVBand="1"/>
      </w:tblPr>
      <w:tblGrid>
        <w:gridCol w:w="4538"/>
        <w:gridCol w:w="1983"/>
        <w:gridCol w:w="2410"/>
      </w:tblGrid>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18"/>
                <w:szCs w:val="18"/>
              </w:rPr>
            </w:pPr>
            <w:r>
              <w:rPr>
                <w:sz w:val="18"/>
                <w:szCs w:val="18"/>
              </w:rPr>
              <w:t>NOMBRE DEL TRABAJADOR</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18"/>
                <w:szCs w:val="18"/>
                <w:lang w:eastAsia="en-US"/>
              </w:rPr>
            </w:pPr>
            <w:r>
              <w:rPr>
                <w:sz w:val="18"/>
                <w:szCs w:val="18"/>
                <w:lang w:eastAsia="en-US"/>
              </w:rPr>
              <w:t>TIPO DE SERVICIO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left="-108" w:right="-518"/>
              <w:rPr>
                <w:sz w:val="18"/>
                <w:szCs w:val="18"/>
                <w:lang w:eastAsia="en-US"/>
              </w:rPr>
            </w:pPr>
            <w:r>
              <w:rPr>
                <w:sz w:val="18"/>
                <w:szCs w:val="18"/>
                <w:lang w:eastAsia="en-US"/>
              </w:rPr>
              <w:t>MONTO DEVENGADO</w:t>
            </w:r>
          </w:p>
        </w:tc>
      </w:tr>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José Noel Rodríguez Ramírez</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210.00</w:t>
            </w:r>
          </w:p>
        </w:tc>
      </w:tr>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Saúl de Jesús Trigueros Mejía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140.00</w:t>
            </w:r>
          </w:p>
        </w:tc>
      </w:tr>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140.00</w:t>
            </w:r>
          </w:p>
        </w:tc>
      </w:tr>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140.00</w:t>
            </w:r>
          </w:p>
        </w:tc>
      </w:tr>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William Edgardo Cárcamo Rodezno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140.00</w:t>
            </w:r>
          </w:p>
        </w:tc>
      </w:tr>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José Antonio Monzón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140.00</w:t>
            </w:r>
          </w:p>
        </w:tc>
      </w:tr>
      <w:tr w:rsidR="003C1934" w:rsidTr="00145CB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proofErr w:type="spellStart"/>
            <w:r>
              <w:rPr>
                <w:sz w:val="22"/>
                <w:szCs w:val="22"/>
                <w:lang w:eastAsia="en-US"/>
              </w:rPr>
              <w:t>Duglas</w:t>
            </w:r>
            <w:proofErr w:type="spellEnd"/>
            <w:r>
              <w:rPr>
                <w:sz w:val="22"/>
                <w:szCs w:val="22"/>
                <w:lang w:eastAsia="en-US"/>
              </w:rPr>
              <w:t xml:space="preserve"> Antonio García Hernández</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140.00</w:t>
            </w:r>
          </w:p>
        </w:tc>
      </w:tr>
      <w:tr w:rsidR="003C1934" w:rsidTr="00145CB7">
        <w:tblPrEx>
          <w:tblCellMar>
            <w:top w:w="0" w:type="dxa"/>
            <w:bottom w:w="0" w:type="dxa"/>
          </w:tblCellMar>
        </w:tblPrEx>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934" w:rsidRDefault="003C1934" w:rsidP="00145CB7">
            <w:pPr>
              <w:spacing w:line="276" w:lineRule="auto"/>
              <w:ind w:right="-518"/>
              <w:jc w:val="both"/>
              <w:rPr>
                <w:sz w:val="22"/>
                <w:szCs w:val="22"/>
                <w:lang w:eastAsia="en-US"/>
              </w:rPr>
            </w:pPr>
            <w:r>
              <w:rPr>
                <w:sz w:val="22"/>
                <w:szCs w:val="22"/>
                <w:lang w:eastAsia="en-US"/>
              </w:rPr>
              <w:t>$       1,050.00</w:t>
            </w:r>
          </w:p>
        </w:tc>
      </w:tr>
    </w:tbl>
    <w:p w:rsidR="003C1934" w:rsidRDefault="003C1934" w:rsidP="003C1934">
      <w:pPr>
        <w:pStyle w:val="NormalWeb"/>
        <w:spacing w:after="0" w:line="360" w:lineRule="auto"/>
        <w:jc w:val="both"/>
      </w:pPr>
      <w:r>
        <w:rPr>
          <w:bCs/>
        </w:rPr>
        <w:t xml:space="preserve">Se autoriza a la Unidad Financiera Institucional, para aplicar el específico Presupuestario correspondiente. COMUNIQUESE. </w:t>
      </w:r>
      <w:r>
        <w:rPr>
          <w:b/>
        </w:rPr>
        <w:t xml:space="preserve">ACUERDO NÚMERO  CINCO.  </w:t>
      </w:r>
      <w:r>
        <w:t xml:space="preserve">Vista la nota presentada por el Jefe de la UACI de esta Institución, en la cual somete a consideración los resultados del proceso </w:t>
      </w:r>
      <w:r>
        <w:rPr>
          <w:b/>
        </w:rPr>
        <w:t xml:space="preserve">LIBRE GESTION LG: 33-2020-AMQ, </w:t>
      </w:r>
      <w:r>
        <w:t xml:space="preserve">referente a la contratación de los servicios profesionales para la ejecución del proyecto: </w:t>
      </w:r>
      <w:r>
        <w:rPr>
          <w:sz w:val="22"/>
          <w:szCs w:val="22"/>
        </w:rPr>
        <w:t>“</w:t>
      </w:r>
      <w:r>
        <w:rPr>
          <w:b/>
          <w:sz w:val="22"/>
          <w:szCs w:val="22"/>
        </w:rPr>
        <w:t xml:space="preserve">CONSTRUCCIÓN DE PAVIMENTO ASFALTICO </w:t>
      </w:r>
      <w:r>
        <w:rPr>
          <w:b/>
          <w:sz w:val="22"/>
          <w:szCs w:val="22"/>
        </w:rPr>
        <w:lastRenderedPageBreak/>
        <w:t>EN CALIENTE e=5 CMS EN CUESTA EL TANQUE, CANTÓN PLATANILLO. DEPTO. LA LIBERTAD”.</w:t>
      </w:r>
      <w:r>
        <w:rPr>
          <w:b/>
        </w:rPr>
        <w:t xml:space="preserve"> </w:t>
      </w:r>
      <w:r>
        <w:t>El Concejo Municipal</w:t>
      </w:r>
      <w:r>
        <w:rPr>
          <w:b/>
        </w:rPr>
        <w:t xml:space="preserve">  </w:t>
      </w:r>
      <w:r>
        <w:t xml:space="preserve">en uso de sus facultades y en cumplimiento al Art. 18 de la LACAP, ACUERDA: </w:t>
      </w:r>
      <w:r>
        <w:rPr>
          <w:b/>
        </w:rPr>
        <w:t>1)-</w:t>
      </w:r>
      <w:r>
        <w:t xml:space="preserve"> Adjudicar a la empresa </w:t>
      </w:r>
      <w:r>
        <w:rPr>
          <w:b/>
        </w:rPr>
        <w:t>SERVICIO DE CONSTRUCCIÓN HECA S.A DE C.V,</w:t>
      </w:r>
      <w:r>
        <w:t xml:space="preserve"> por la cantidad de </w:t>
      </w:r>
      <w:r>
        <w:rPr>
          <w:b/>
        </w:rPr>
        <w:t>$ 47,850.00</w:t>
      </w:r>
      <w:r>
        <w:t xml:space="preserve">, la ejecución del proyecto </w:t>
      </w:r>
      <w:r>
        <w:rPr>
          <w:sz w:val="22"/>
          <w:szCs w:val="22"/>
        </w:rPr>
        <w:t>“</w:t>
      </w:r>
      <w:r>
        <w:rPr>
          <w:b/>
          <w:sz w:val="22"/>
          <w:szCs w:val="22"/>
        </w:rPr>
        <w:t>CONSTRUCCIÓN DE PAVIMENTO ASFALTICO EN CALIENTE e=5 CMS EN CUESTA EL TANQUE, CANTÓN PLATANILLO. DEPTO. LA LIBERTAD”</w:t>
      </w:r>
      <w:r>
        <w:rPr>
          <w:b/>
        </w:rPr>
        <w:t xml:space="preserve">, </w:t>
      </w:r>
      <w:r>
        <w:t xml:space="preserve">por ser la mejor oferta económica, alcances de los servicios en beneficio municipalidad de Quezaltepeque. </w:t>
      </w:r>
      <w:r>
        <w:rPr>
          <w:b/>
        </w:rPr>
        <w:t>2)-</w:t>
      </w:r>
      <w:r>
        <w:t xml:space="preserve">Nombrar como </w:t>
      </w:r>
      <w:r>
        <w:rPr>
          <w:b/>
        </w:rPr>
        <w:t>ADMINISTRADOR DE CONTRATO</w:t>
      </w:r>
      <w:r>
        <w:t xml:space="preserve">, al </w:t>
      </w:r>
      <w:r>
        <w:rPr>
          <w:b/>
        </w:rPr>
        <w:t>ING. FLAVIO OMAR QUEZADA SALAZAR</w:t>
      </w:r>
      <w:r>
        <w:t xml:space="preserve">, Gerente de Desarrollo Territorial, y como </w:t>
      </w:r>
      <w:r>
        <w:rPr>
          <w:b/>
        </w:rPr>
        <w:t>SUPERVISOR INTERNO</w:t>
      </w:r>
      <w:r>
        <w:t xml:space="preserve"> al </w:t>
      </w:r>
      <w:r>
        <w:rPr>
          <w:b/>
        </w:rPr>
        <w:t>ARQ. NELSON GREGORIO PARADA GALAN</w:t>
      </w:r>
      <w:r>
        <w:t xml:space="preserve">, </w:t>
      </w:r>
      <w:r>
        <w:rPr>
          <w:sz w:val="22"/>
          <w:szCs w:val="22"/>
        </w:rPr>
        <w:t>Técnico de Proyectos de Infraestructuras</w:t>
      </w:r>
      <w:r>
        <w:rPr>
          <w:b/>
        </w:rPr>
        <w:t>, 3)-</w:t>
      </w:r>
      <w:r>
        <w:t xml:space="preserve"> Se autoriza al señor Alcalde Municipal </w:t>
      </w:r>
      <w:r>
        <w:rPr>
          <w:b/>
        </w:rPr>
        <w:t>LIC. SALVADOR ENRIQUE SAGET FIGUEROA</w:t>
      </w:r>
      <w:r>
        <w:t xml:space="preserve">, para que, en representación del Concejo, firme contrato con el representante legal de la empresa </w:t>
      </w:r>
      <w:r>
        <w:rPr>
          <w:b/>
        </w:rPr>
        <w:t xml:space="preserve">SERVICIO DE CONSTRUCCIÓN HECA S.A DE C.V, </w:t>
      </w:r>
      <w:r>
        <w:t xml:space="preserve"> </w:t>
      </w:r>
      <w:r>
        <w:rPr>
          <w:b/>
        </w:rPr>
        <w:t>4)-</w:t>
      </w:r>
      <w:r>
        <w:t xml:space="preserve"> Se autoriza a la Unidad Legal para elaborar el contrato respectivo, </w:t>
      </w:r>
      <w:r>
        <w:rPr>
          <w:b/>
        </w:rPr>
        <w:t>5)</w:t>
      </w:r>
      <w:r>
        <w:t xml:space="preserve">-Se autoriza a la señora Tesorera Municipal, para que, con fondos de dicho proyecto, pague las facturas que la empresa </w:t>
      </w:r>
      <w:r>
        <w:rPr>
          <w:b/>
        </w:rPr>
        <w:t>SERVICIO DE CONSTRUCCIÓN HECA S.A DE C.V</w:t>
      </w:r>
      <w:r>
        <w:t xml:space="preserve">, emita por la ejecución del referido proyecto; y </w:t>
      </w:r>
      <w:r>
        <w:rPr>
          <w:b/>
        </w:rPr>
        <w:t>6)-</w:t>
      </w:r>
      <w:r>
        <w:t xml:space="preserve"> Se autoriza a la Unidad Financiera Institucional, para aplicar el específico Presupuestario correspondiente. COMUNIQUESE. </w:t>
      </w:r>
      <w:r>
        <w:rPr>
          <w:b/>
        </w:rPr>
        <w:t xml:space="preserve">ACUERDO NÚMERO  SEIS.  </w:t>
      </w:r>
      <w:r>
        <w:t xml:space="preserve">Vista la nota presentada por el Gerente de Servicios Públicos Municipales de esta Institución, en la cual solicita que se autorice la elaboración de acuerdo Municipal para la formulación de la carpeta del proyecto: </w:t>
      </w:r>
      <w:r>
        <w:rPr>
          <w:b/>
        </w:rPr>
        <w:t>“PLAN DE MITIGACIÓN Y RIESGOS EN LOS MERCADOS MUNICIPALES 2020”</w:t>
      </w:r>
      <w:r>
        <w:t xml:space="preserve">, el cual tiene como objetivo realizar  reparaciones menores en los Mercados Municipales,  tales como: </w:t>
      </w:r>
      <w:r>
        <w:rPr>
          <w:b/>
        </w:rPr>
        <w:t xml:space="preserve">I) Mercado el </w:t>
      </w:r>
      <w:proofErr w:type="spellStart"/>
      <w:r>
        <w:rPr>
          <w:b/>
        </w:rPr>
        <w:t>Pupusodromo</w:t>
      </w:r>
      <w:proofErr w:type="spellEnd"/>
      <w:r>
        <w:t xml:space="preserve">: cambio de tuberías de aguas residuales, pavimento del mismo y canales de aguas lluvias. </w:t>
      </w:r>
      <w:r>
        <w:rPr>
          <w:b/>
        </w:rPr>
        <w:t>II) Mercado de ropa y medicina</w:t>
      </w:r>
      <w:r>
        <w:t xml:space="preserve">: cambio de lámina en mal estado, </w:t>
      </w:r>
      <w:r>
        <w:rPr>
          <w:b/>
        </w:rPr>
        <w:t>III) Mercado Galera de Madera</w:t>
      </w:r>
      <w:r>
        <w:t>: Pilares de madera a tubos cuadrados con base desmontable y canales de aguas lluvias, entre otras. Lo anterior con el propósito de brindar a los usuarios, instalaciones adecuadas para  que puedan comercializar sus productos. El Concejo Municipal en uso de sus facultades legales, ACUERDA: Autorizar a la Unidad de Desarrollo Municipal, para que, en coordinación con la Gerencia de Servicios Públicos Municipales, elaboren el proyecto: “</w:t>
      </w:r>
      <w:r>
        <w:rPr>
          <w:b/>
        </w:rPr>
        <w:t>PLAN DE MITIGACION Y RIESGOS EN LOS MERCADOS MUNICIPALES 2020”</w:t>
      </w:r>
      <w:r>
        <w:t xml:space="preserve">, que se ejecutará con </w:t>
      </w:r>
      <w:r>
        <w:rPr>
          <w:b/>
        </w:rPr>
        <w:t>fondos FODES 75%.</w:t>
      </w:r>
      <w:r>
        <w:t xml:space="preserve"> COMUNIQUESE.  </w:t>
      </w:r>
      <w:r>
        <w:rPr>
          <w:b/>
        </w:rPr>
        <w:t>ACUERDO NÚMERO  SIETE.  I)</w:t>
      </w:r>
      <w:r>
        <w:t xml:space="preserve">Vista la nota de fecha 21 de agosto de </w:t>
      </w:r>
      <w:r>
        <w:lastRenderedPageBreak/>
        <w:t>2020, firmada por los señores: María Isabel García, quién según DUI # XXXXXXXX-X su nombre es María Isabel García Hernández, madre del joven TOMAS FERNANDO RAMOS GARCIA, fallecido el día 10 de abril de 2020,  en Oaxaca, México, Cecilia Chicas, hermana del fallecido; y por el  Presbítero Carlos Enrique Vásquez Alvarenga, Párroco de la Parroquia San José de esta ciudad, en la cual solicitan el apoyo para la repatriación vía terrestre, de los restos mortales del referido joven hacia nuestro país, cuyo costo total del servicio es por la cantidad de   $ 2,700.00, según cotización  emitida por el señor Juan Antonio Ocaña Serrano, Director y Propietario de Casa  Funeral San Isidro, a la Agencia Consular de El Salvador Arriaga, Chiapas, México, que se tiene programado para el día 04 de septiembre de 2020</w:t>
      </w:r>
      <w:r>
        <w:rPr>
          <w:b/>
        </w:rPr>
        <w:t xml:space="preserve">. </w:t>
      </w:r>
      <w:r>
        <w:t>Manifestando</w:t>
      </w:r>
      <w:r>
        <w:rPr>
          <w:b/>
        </w:rPr>
        <w:t xml:space="preserve"> </w:t>
      </w:r>
      <w:r>
        <w:t>que del</w:t>
      </w:r>
      <w:r>
        <w:rPr>
          <w:b/>
        </w:rPr>
        <w:t xml:space="preserve"> </w:t>
      </w:r>
      <w:r>
        <w:t xml:space="preserve">valor antes mencionado les faltan $ 1,000.00, debido a que son personas de bajos recursos económicos por lo que no pueden asumir este gasto, y que sus familiares que les han apoyado se han quedado sin trabajo; y que en su momento se solicitó apoyo al Cónsul de nuestro país, pero fue negada por temas de Pandemia COVID-19; </w:t>
      </w:r>
      <w:r>
        <w:rPr>
          <w:b/>
        </w:rPr>
        <w:t>II)</w:t>
      </w:r>
      <w:r>
        <w:t xml:space="preserve"> Vista la Autorización para Repatriación de Salvadoreño Fallecido, extendido por el Ministerio de Relaciones Exteriores, el día  11 de abril de 2020, en la que, la señora Cecilia Beatriz Chicas de Escalante, da autorización al Consulado de El Salvador en Arriaga, Chiapas, para que coordine con las autoridades Migratorias Forenses y Judiciales; y con la Funeraria elegida realicen todos los trámites necesarios para la repatriación de los restos de su hermano, hacia la República de El Salvador. El Concejo Municipal en uso de sus facultades legales y como un gesto de solidaridad y apoyo, a la familia del Joven quezalteco que  falleció en Oaxaca, México, ACUERDA: </w:t>
      </w:r>
      <w:r>
        <w:rPr>
          <w:b/>
        </w:rPr>
        <w:t>1-</w:t>
      </w:r>
      <w:r>
        <w:t xml:space="preserve"> Autorizar a la UACI, para elaborar recibo a nombre del Presbítero </w:t>
      </w:r>
      <w:r>
        <w:rPr>
          <w:b/>
        </w:rPr>
        <w:t>CARLOS ENRIQUE VASQUEZ ALVARENGA</w:t>
      </w:r>
      <w:r>
        <w:t xml:space="preserve">, Párroco de la Parroquia San José de esta ciudad, por la cantidad de </w:t>
      </w:r>
      <w:r>
        <w:rPr>
          <w:b/>
        </w:rPr>
        <w:t>$ 700.00</w:t>
      </w:r>
      <w:r>
        <w:t xml:space="preserve">, en concepto de apoyo  para repatriar los restos mortales del joven TOMAS FERNANDO RAMOS GARCIA, desde Oaxaca, México hacia nuestro país, </w:t>
      </w:r>
      <w:r>
        <w:rPr>
          <w:b/>
        </w:rPr>
        <w:t>2-</w:t>
      </w:r>
      <w:r>
        <w:t xml:space="preserve"> Se autoriza a la señora Tesorera Municipal, para que, de la cuenta </w:t>
      </w:r>
      <w:r>
        <w:rPr>
          <w:b/>
        </w:rPr>
        <w:t xml:space="preserve">FONDOS PROPIOS # 577-000324-2 del Banco Agrícola, S. A, </w:t>
      </w:r>
      <w:r>
        <w:t xml:space="preserve">denominada Alcaldía Municipal de Quezaltepeque, emita el cheque respectivo; y </w:t>
      </w:r>
      <w:r>
        <w:rPr>
          <w:b/>
        </w:rPr>
        <w:t>3-</w:t>
      </w:r>
      <w:r>
        <w:t xml:space="preserve"> a la Unidad Financiera Institucional, para aplicar el específico Presupuestario correspondiente. COMUNIQUESE. </w:t>
      </w:r>
      <w:r>
        <w:rPr>
          <w:b/>
        </w:rPr>
        <w:t xml:space="preserve">ACUERDO NÚMERO  OCHO.  </w:t>
      </w:r>
      <w:r>
        <w:t xml:space="preserve">Vista la nota presentada por el Jefe de la UACI de esta Institución, de fecha 20 de agosto de 2020, en la que informa sobre el resultado  CUADRO COMPARATIVO DE OFERTAS, proceso No. </w:t>
      </w:r>
      <w:r>
        <w:rPr>
          <w:b/>
        </w:rPr>
        <w:t xml:space="preserve"> LG: 39-2020-AMQ</w:t>
      </w:r>
      <w:r>
        <w:t>,   para la  contratación de los servicios profesionales de formulación de la carpeta técnica del proyecto: “</w:t>
      </w:r>
      <w:r>
        <w:rPr>
          <w:b/>
        </w:rPr>
        <w:t xml:space="preserve">CONSTRUCCIÓN DE </w:t>
      </w:r>
      <w:r>
        <w:rPr>
          <w:b/>
        </w:rPr>
        <w:lastRenderedPageBreak/>
        <w:t xml:space="preserve">PAVIMENTO ASFALTICO EN CALIENTE E=5 CMS EN CUESTA LIMITE CANTÓN PLATANILLO A IGLESIA LAS MERCEDES, CANTÓN LAS MERCEDES, MUNICIPIO DE QUEZALTEPEQUE, DEPARTAMENTO DE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39-2020-AMQ</w:t>
      </w:r>
      <w:r>
        <w:t xml:space="preserve"> la formulación de la Carpeta Técnica del proyecto: “</w:t>
      </w:r>
      <w:r>
        <w:rPr>
          <w:b/>
        </w:rPr>
        <w:t xml:space="preserve">CONSTRUCCIÓN DE PAVIMENTO ASFALTICO EN CALIENTE E=5 CMS EN CUESTA LIMITE CANTÓN PLATANILLO A IGLESIA LAS MERCEDES, CANTÓN LAS MERCEDES, MUNICIPIO DE QUEZALTEPEQUE, DEPARTAMENTO DE LA LIBERTAD”, </w:t>
      </w:r>
      <w:r>
        <w:t xml:space="preserve">a </w:t>
      </w:r>
      <w:r>
        <w:rPr>
          <w:b/>
        </w:rPr>
        <w:t>G&amp;P INVERSIONES S.A DE C.V</w:t>
      </w:r>
      <w:r>
        <w:t xml:space="preserve">, por un monto de </w:t>
      </w:r>
      <w:r>
        <w:rPr>
          <w:b/>
        </w:rPr>
        <w:t>$ 3,407.00</w:t>
      </w:r>
      <w:r>
        <w:t xml:space="preserve">, 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G&amp;P INVERSIONES S.A DE C.V,</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G &amp; P Inversiones S. A. de C. V,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NUEVE.  </w:t>
      </w:r>
      <w:r>
        <w:t xml:space="preserve">Vista la nota presentada por el Jefe de la UACI de esta Institución, de fecha 20 de agosto de 2020, en la que informa sobre el resultado  CUADRO COMPARATIVO DE OFERTAS, proceso No. </w:t>
      </w:r>
      <w:r>
        <w:rPr>
          <w:b/>
        </w:rPr>
        <w:t xml:space="preserve"> LG: 37-2020-AMQ</w:t>
      </w:r>
      <w:r>
        <w:t>,   para la  contratación de los servicios profesionales de formulación de la carpeta técnica del proyecto: “</w:t>
      </w:r>
      <w:r>
        <w:rPr>
          <w:b/>
        </w:rPr>
        <w:t xml:space="preserve">PAVIMENTO ASFALTICO EN CALIENTE E=5 CMS EN CALLE PRINCIPAL DE LA URBANIZACION PRIMAVERA, MUNICIPIO DE QUEZALTEPEQUE, DEPARTAMENTO DE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37-2020-AMQ</w:t>
      </w:r>
      <w:r>
        <w:t xml:space="preserve"> la formulación de la Carpeta Técnica del proyecto: “</w:t>
      </w:r>
      <w:r>
        <w:rPr>
          <w:b/>
        </w:rPr>
        <w:t xml:space="preserve">PAVIMENTO ASFALTICO EN CALIENTE E=5 CMS EN CALLE PRINCIPAL DE LA URBANIZACION PRIMAVERA, MUNICIPIO DE QUEZALTEPEQUE, DEPARTAMENTO DE LA LIBERTAD”, </w:t>
      </w:r>
      <w:r>
        <w:t xml:space="preserve">a </w:t>
      </w:r>
      <w:r>
        <w:rPr>
          <w:b/>
        </w:rPr>
        <w:t>G&amp;P INVERSIONES S.A DE C.V</w:t>
      </w:r>
      <w:r>
        <w:t xml:space="preserve">, por un </w:t>
      </w:r>
      <w:r>
        <w:lastRenderedPageBreak/>
        <w:t xml:space="preserve">monto de </w:t>
      </w:r>
      <w:r>
        <w:rPr>
          <w:b/>
        </w:rPr>
        <w:t>$ 2,000.00</w:t>
      </w:r>
      <w:r>
        <w:t xml:space="preserve">, 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G&amp;P INVERSIONES S.A DE C.V,</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G &amp; P Inversiones S. A. de C. V,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DIEZ.  </w:t>
      </w:r>
      <w:r>
        <w:t xml:space="preserve">Vista la nota presentada por el Jefe de la UACI de esta Institución, de fecha 20 de agosto de 2020, en la que informa sobre el resultado  CUADRO COMPARATIVO DE OFERTAS, proceso No. </w:t>
      </w:r>
      <w:r>
        <w:rPr>
          <w:b/>
        </w:rPr>
        <w:t xml:space="preserve"> LG: 38-2020-AMQ</w:t>
      </w:r>
      <w:r>
        <w:t xml:space="preserve">,   para la  contratación de los servicios profesionales de formulación de la carpeta técnica del proyecto: </w:t>
      </w:r>
      <w:r>
        <w:rPr>
          <w:b/>
        </w:rPr>
        <w:t xml:space="preserve">“CONSTRUCCIÓN DE PAVIMENTO ASFALTICO EN CALIENTE e=CMS EN CUESTA NANCE AMARILLO, CANTON LAS MERCEDES,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38-2020-AMQ</w:t>
      </w:r>
      <w:r>
        <w:t xml:space="preserve"> la formulación de la Carpeta Técnica del proyecto: </w:t>
      </w:r>
      <w:r>
        <w:rPr>
          <w:b/>
        </w:rPr>
        <w:t xml:space="preserve">“CONSTRUCCIÓN DE PAVIMENTO ASFALTICO EN CALIENTE e=CMS EN CUESTA NANCE AMARILLO, CANTON LAS MERCEDES, MUNICIPIO DE QUEZALTEPEQUE, DEPTO. LA LIBERTAD”, </w:t>
      </w:r>
      <w:r>
        <w:t xml:space="preserve">a </w:t>
      </w:r>
      <w:r>
        <w:rPr>
          <w:b/>
        </w:rPr>
        <w:t>G&amp;P INVERSIONES S.A DE C.V</w:t>
      </w:r>
      <w:r>
        <w:t xml:space="preserve">, por un monto de </w:t>
      </w:r>
      <w:r>
        <w:rPr>
          <w:b/>
        </w:rPr>
        <w:t>$ 1,900.00</w:t>
      </w:r>
      <w:r>
        <w:t xml:space="preserve">, 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G&amp;P INVERSIONES S.A DE C.V,</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G &amp; P Inversiones S. A. de C. V, la factura que ampare la elaboración de la carpeta Técnica del proyecto mencionado; y </w:t>
      </w:r>
      <w:r>
        <w:rPr>
          <w:b/>
        </w:rPr>
        <w:t>5-</w:t>
      </w:r>
      <w:r>
        <w:t xml:space="preserve"> Se autoriza a la Unidad </w:t>
      </w:r>
      <w:r>
        <w:lastRenderedPageBreak/>
        <w:t>Financiera Institucional, para aplicar el específico Presupuestario correspondiente. COMUNIQUESE.</w:t>
      </w:r>
      <w:r>
        <w:rPr>
          <w:b/>
        </w:rPr>
        <w:t xml:space="preserve"> </w:t>
      </w:r>
      <w:r>
        <w:t>Se da por terminada la Sesión con una oración, para lo cual se delega al Secretario Municipal Interino Lic. Carlos Adonay Campos González. Y no habiendo más que hacer constar en la presente acta, se da por terminada y firmamos.</w:t>
      </w:r>
    </w:p>
    <w:p w:rsidR="003C1934" w:rsidRDefault="003C1934" w:rsidP="003C1934">
      <w:pPr>
        <w:pStyle w:val="Standard"/>
        <w:spacing w:before="280"/>
        <w:rPr>
          <w:lang w:val="es-MX"/>
        </w:rPr>
      </w:pPr>
    </w:p>
    <w:p w:rsidR="003C1934" w:rsidRDefault="003C1934" w:rsidP="003C1934">
      <w:pPr>
        <w:pStyle w:val="Standard"/>
        <w:spacing w:before="280"/>
        <w:rPr>
          <w:lang w:val="es-MX"/>
        </w:rPr>
      </w:pPr>
    </w:p>
    <w:p w:rsidR="003C1934" w:rsidRDefault="003C1934" w:rsidP="003C1934">
      <w:pPr>
        <w:pStyle w:val="Standard"/>
        <w:spacing w:before="280"/>
        <w:rPr>
          <w:lang w:val="es-MX"/>
        </w:rPr>
      </w:pPr>
    </w:p>
    <w:p w:rsidR="003C1934" w:rsidRDefault="003C1934" w:rsidP="003C1934">
      <w:pPr>
        <w:pStyle w:val="Standard"/>
        <w:spacing w:before="280"/>
        <w:ind w:left="-142"/>
        <w:jc w:val="center"/>
      </w:pPr>
      <w:r>
        <w:rPr>
          <w:lang w:val="es-MX"/>
        </w:rPr>
        <w:t xml:space="preserve">LIC. SALVADOR ENRIQUE SAGET FIGUEROA                                                                                                                      </w:t>
      </w:r>
      <w:r>
        <w:rPr>
          <w:sz w:val="20"/>
          <w:szCs w:val="20"/>
          <w:lang w:val="es-MX"/>
        </w:rPr>
        <w:t>ALCALDE MUNICIPAL</w:t>
      </w:r>
    </w:p>
    <w:p w:rsidR="003C1934" w:rsidRDefault="003C1934" w:rsidP="003C1934">
      <w:pPr>
        <w:pStyle w:val="Standard"/>
        <w:spacing w:before="280"/>
        <w:ind w:left="-142"/>
        <w:jc w:val="center"/>
        <w:rPr>
          <w:sz w:val="20"/>
          <w:szCs w:val="20"/>
          <w:lang w:val="es-MX"/>
        </w:rPr>
      </w:pPr>
    </w:p>
    <w:p w:rsidR="003C1934" w:rsidRDefault="003C1934" w:rsidP="003C1934">
      <w:pPr>
        <w:pStyle w:val="Standard"/>
        <w:spacing w:before="280"/>
        <w:ind w:left="-142"/>
        <w:jc w:val="center"/>
      </w:pPr>
    </w:p>
    <w:p w:rsidR="003C1934" w:rsidRDefault="003C1934" w:rsidP="003C1934">
      <w:pPr>
        <w:pStyle w:val="Standard"/>
        <w:spacing w:before="280"/>
      </w:pPr>
    </w:p>
    <w:p w:rsidR="003C1934" w:rsidRDefault="003C1934" w:rsidP="003C193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3C1934" w:rsidRDefault="003C1934" w:rsidP="003C1934">
      <w:pPr>
        <w:pStyle w:val="NormalWeb"/>
        <w:spacing w:before="0" w:after="0"/>
        <w:ind w:left="-142"/>
        <w:rPr>
          <w:sz w:val="20"/>
          <w:szCs w:val="20"/>
          <w:lang w:val="es-MX"/>
        </w:rPr>
      </w:pPr>
      <w:r>
        <w:rPr>
          <w:sz w:val="20"/>
          <w:szCs w:val="20"/>
          <w:lang w:val="es-MX"/>
        </w:rPr>
        <w:t xml:space="preserve">                   SINDICA  MUNICIPAL                                                                 PRIMER   REGIDOR</w:t>
      </w:r>
    </w:p>
    <w:p w:rsidR="003C1934" w:rsidRDefault="003C1934" w:rsidP="003C1934">
      <w:pPr>
        <w:pStyle w:val="NormalWeb"/>
        <w:spacing w:before="0" w:after="0"/>
        <w:rPr>
          <w:sz w:val="20"/>
          <w:szCs w:val="20"/>
          <w:lang w:val="es-MX"/>
        </w:rPr>
      </w:pPr>
    </w:p>
    <w:p w:rsidR="003C1934" w:rsidRDefault="003C1934" w:rsidP="003C1934">
      <w:pPr>
        <w:pStyle w:val="NormalWeb"/>
        <w:spacing w:after="0"/>
        <w:rPr>
          <w:sz w:val="20"/>
          <w:szCs w:val="20"/>
          <w:lang w:val="es-MX"/>
        </w:rPr>
      </w:pPr>
    </w:p>
    <w:p w:rsidR="003C1934" w:rsidRDefault="003C1934" w:rsidP="003C1934">
      <w:pPr>
        <w:pStyle w:val="NormalWeb"/>
        <w:spacing w:after="0"/>
        <w:rPr>
          <w:sz w:val="20"/>
          <w:szCs w:val="20"/>
          <w:lang w:val="es-MX"/>
        </w:rPr>
      </w:pPr>
    </w:p>
    <w:p w:rsidR="003C1934" w:rsidRDefault="003C1934" w:rsidP="003C1934">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3C1934" w:rsidRDefault="003C1934" w:rsidP="003C1934">
      <w:pPr>
        <w:pStyle w:val="NormalWeb"/>
        <w:spacing w:after="0"/>
        <w:rPr>
          <w:sz w:val="20"/>
          <w:szCs w:val="20"/>
          <w:lang w:val="es-MX"/>
        </w:rPr>
      </w:pPr>
    </w:p>
    <w:p w:rsidR="003C1934" w:rsidRDefault="003C1934" w:rsidP="003C1934">
      <w:pPr>
        <w:pStyle w:val="NormalWeb"/>
        <w:spacing w:after="0"/>
        <w:rPr>
          <w:sz w:val="20"/>
          <w:szCs w:val="20"/>
          <w:lang w:val="es-MX"/>
        </w:rPr>
      </w:pPr>
    </w:p>
    <w:p w:rsidR="003C1934" w:rsidRDefault="003C1934" w:rsidP="003C1934">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3C1934" w:rsidRDefault="003C1934" w:rsidP="003C1934">
      <w:pPr>
        <w:pStyle w:val="NormalWeb"/>
        <w:spacing w:after="0"/>
        <w:ind w:left="567" w:hanging="567"/>
      </w:pPr>
    </w:p>
    <w:p w:rsidR="003C1934" w:rsidRDefault="003C1934" w:rsidP="003C1934">
      <w:pPr>
        <w:pStyle w:val="NormalWeb"/>
        <w:spacing w:after="0"/>
        <w:rPr>
          <w:color w:val="000000"/>
          <w:sz w:val="20"/>
          <w:szCs w:val="20"/>
          <w:lang w:val="es-MX"/>
        </w:rPr>
      </w:pPr>
    </w:p>
    <w:p w:rsidR="003C1934" w:rsidRDefault="003C1934" w:rsidP="003C193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3C1934" w:rsidRDefault="003C1934" w:rsidP="003C1934">
      <w:pPr>
        <w:pStyle w:val="NormalWeb"/>
        <w:spacing w:after="0"/>
        <w:ind w:left="851" w:hanging="851"/>
        <w:rPr>
          <w:color w:val="000000"/>
          <w:sz w:val="20"/>
          <w:szCs w:val="20"/>
          <w:lang w:val="es-MX"/>
        </w:rPr>
      </w:pPr>
    </w:p>
    <w:p w:rsidR="003C1934" w:rsidRDefault="003C1934" w:rsidP="003C1934">
      <w:pPr>
        <w:pStyle w:val="NormalWeb"/>
        <w:spacing w:after="0"/>
        <w:rPr>
          <w:color w:val="000000"/>
          <w:sz w:val="20"/>
          <w:szCs w:val="20"/>
          <w:lang w:val="es-MX"/>
        </w:rPr>
      </w:pPr>
    </w:p>
    <w:p w:rsidR="003C1934" w:rsidRDefault="003C1934" w:rsidP="003C1934">
      <w:pPr>
        <w:pStyle w:val="NormalWeb"/>
        <w:spacing w:after="0"/>
        <w:rPr>
          <w:color w:val="000000"/>
          <w:sz w:val="20"/>
          <w:szCs w:val="20"/>
          <w:lang w:val="es-MX"/>
        </w:rPr>
      </w:pPr>
    </w:p>
    <w:p w:rsidR="003C1934" w:rsidRDefault="003C1934" w:rsidP="003C193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3C1934" w:rsidRDefault="003C1934" w:rsidP="003C193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C1934" w:rsidRDefault="003C1934" w:rsidP="003C1934">
      <w:pPr>
        <w:pStyle w:val="NormalWeb"/>
        <w:spacing w:before="0" w:after="0"/>
        <w:ind w:left="851" w:hanging="851"/>
        <w:rPr>
          <w:color w:val="000000"/>
          <w:sz w:val="20"/>
          <w:szCs w:val="20"/>
          <w:lang w:val="es-MX"/>
        </w:rPr>
      </w:pPr>
    </w:p>
    <w:p w:rsidR="003C1934" w:rsidRDefault="003C1934" w:rsidP="003C1934">
      <w:pPr>
        <w:pStyle w:val="NormalWeb"/>
        <w:spacing w:before="0" w:after="0"/>
        <w:ind w:left="851" w:hanging="851"/>
        <w:rPr>
          <w:color w:val="000000"/>
          <w:sz w:val="20"/>
          <w:szCs w:val="20"/>
          <w:lang w:val="es-MX"/>
        </w:rPr>
      </w:pPr>
    </w:p>
    <w:p w:rsidR="003C1934" w:rsidRDefault="003C1934" w:rsidP="003C1934">
      <w:pPr>
        <w:pStyle w:val="NormalWeb"/>
        <w:spacing w:before="0" w:after="0"/>
        <w:ind w:left="851" w:hanging="851"/>
        <w:rPr>
          <w:color w:val="000000"/>
          <w:sz w:val="20"/>
          <w:szCs w:val="20"/>
          <w:lang w:val="es-MX"/>
        </w:rPr>
      </w:pPr>
    </w:p>
    <w:p w:rsidR="003C1934" w:rsidRDefault="003C1934" w:rsidP="003C1934">
      <w:pPr>
        <w:pStyle w:val="NormalWeb"/>
        <w:spacing w:before="0" w:after="0"/>
        <w:ind w:left="851" w:hanging="851"/>
        <w:rPr>
          <w:color w:val="000000"/>
          <w:sz w:val="20"/>
          <w:szCs w:val="20"/>
          <w:lang w:val="es-MX"/>
        </w:rPr>
      </w:pPr>
    </w:p>
    <w:p w:rsidR="003C1934" w:rsidRDefault="003C1934" w:rsidP="003C1934">
      <w:pPr>
        <w:pStyle w:val="NormalWeb"/>
        <w:spacing w:before="0" w:after="0"/>
        <w:ind w:left="851" w:hanging="851"/>
        <w:rPr>
          <w:color w:val="000000"/>
          <w:sz w:val="20"/>
          <w:szCs w:val="20"/>
          <w:lang w:val="es-MX"/>
        </w:rPr>
      </w:pPr>
    </w:p>
    <w:p w:rsidR="003C1934" w:rsidRDefault="003C1934" w:rsidP="003C1934">
      <w:pPr>
        <w:pStyle w:val="NormalWeb"/>
        <w:spacing w:before="0" w:after="0"/>
        <w:ind w:left="851" w:hanging="851"/>
        <w:rPr>
          <w:color w:val="000000"/>
          <w:sz w:val="20"/>
          <w:szCs w:val="20"/>
          <w:lang w:val="es-MX"/>
        </w:rPr>
      </w:pPr>
    </w:p>
    <w:p w:rsidR="003C1934" w:rsidRDefault="003C1934" w:rsidP="003C1934">
      <w:pPr>
        <w:pStyle w:val="NormalWeb"/>
        <w:spacing w:before="0" w:after="0"/>
        <w:ind w:left="851" w:hanging="851"/>
        <w:rPr>
          <w:color w:val="000000"/>
          <w:sz w:val="20"/>
          <w:szCs w:val="20"/>
          <w:lang w:val="es-MX"/>
        </w:rPr>
      </w:pPr>
    </w:p>
    <w:p w:rsidR="003C1934" w:rsidRDefault="003C1934" w:rsidP="003C1934">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3C1934" w:rsidRDefault="003C1934" w:rsidP="003C1934">
      <w:pPr>
        <w:pStyle w:val="NormalWeb"/>
        <w:spacing w:before="0" w:after="0"/>
        <w:ind w:left="851" w:hanging="851"/>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3C1934" w:rsidRDefault="003C1934" w:rsidP="003C1934">
      <w:pPr>
        <w:pStyle w:val="NormalWeb"/>
        <w:spacing w:after="0"/>
        <w:rPr>
          <w:color w:val="000000"/>
          <w:sz w:val="20"/>
          <w:szCs w:val="20"/>
          <w:lang w:val="es-MX"/>
        </w:rPr>
      </w:pPr>
    </w:p>
    <w:p w:rsidR="003C1934" w:rsidRDefault="003C1934" w:rsidP="003C1934">
      <w:pPr>
        <w:pStyle w:val="NormalWeb"/>
        <w:spacing w:after="0"/>
        <w:rPr>
          <w:color w:val="000000"/>
          <w:sz w:val="20"/>
          <w:szCs w:val="20"/>
          <w:lang w:val="es-MX"/>
        </w:rPr>
      </w:pPr>
    </w:p>
    <w:p w:rsidR="003C1934" w:rsidRDefault="003C1934" w:rsidP="003C1934">
      <w:pPr>
        <w:pStyle w:val="NormalWeb"/>
        <w:tabs>
          <w:tab w:val="left" w:pos="-450"/>
        </w:tabs>
        <w:spacing w:before="0" w:after="0"/>
        <w:ind w:left="993" w:hanging="993"/>
      </w:pPr>
      <w:r>
        <w:rPr>
          <w:color w:val="000000"/>
          <w:sz w:val="18"/>
          <w:szCs w:val="18"/>
          <w:lang w:val="es-MX"/>
        </w:rPr>
        <w:t xml:space="preserve">ERICK ALEXANDER CASTAÑEDA HERNANDEZ           LIC. CARLOS ADONAY CAMPOS GONZALEZ                                                                                                                                                                               REGIDOR SUPLENTE                                            </w:t>
      </w:r>
      <w:r>
        <w:rPr>
          <w:color w:val="000000"/>
          <w:sz w:val="20"/>
          <w:szCs w:val="20"/>
          <w:lang w:val="es-MX"/>
        </w:rPr>
        <w:t>SECRETARIO MUNICIPAL INTERINO</w:t>
      </w:r>
      <w:r>
        <w:rPr>
          <w:color w:val="000000"/>
          <w:sz w:val="18"/>
          <w:szCs w:val="18"/>
          <w:lang w:val="es-MX"/>
        </w:rPr>
        <w:t xml:space="preserve"> </w:t>
      </w:r>
    </w:p>
    <w:p w:rsidR="005D4DC3" w:rsidRPr="00BA3385" w:rsidRDefault="005D4DC3" w:rsidP="00BA3385">
      <w:bookmarkStart w:id="0" w:name="_GoBack"/>
      <w:bookmarkEnd w:id="0"/>
    </w:p>
    <w:sectPr w:rsidR="005D4DC3" w:rsidRPr="00BA338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D61" w:rsidRDefault="002E5D61">
      <w:r>
        <w:separator/>
      </w:r>
    </w:p>
  </w:endnote>
  <w:endnote w:type="continuationSeparator" w:id="0">
    <w:p w:rsidR="002E5D61" w:rsidRDefault="002E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D61" w:rsidRDefault="002E5D61">
      <w:r>
        <w:separator/>
      </w:r>
    </w:p>
  </w:footnote>
  <w:footnote w:type="continuationSeparator" w:id="0">
    <w:p w:rsidR="002E5D61" w:rsidRDefault="002E5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6AF7833"/>
    <w:multiLevelType w:val="multilevel"/>
    <w:tmpl w:val="FA88D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B237DE"/>
    <w:multiLevelType w:val="multilevel"/>
    <w:tmpl w:val="2326F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BBE48BE"/>
    <w:multiLevelType w:val="multilevel"/>
    <w:tmpl w:val="CF267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D555DA"/>
    <w:multiLevelType w:val="multilevel"/>
    <w:tmpl w:val="BDAA9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05605C"/>
    <w:multiLevelType w:val="multilevel"/>
    <w:tmpl w:val="03BC8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B072999"/>
    <w:multiLevelType w:val="multilevel"/>
    <w:tmpl w:val="FC6C6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8"/>
  </w:num>
  <w:num w:numId="3">
    <w:abstractNumId w:val="28"/>
  </w:num>
  <w:num w:numId="4">
    <w:abstractNumId w:val="23"/>
  </w:num>
  <w:num w:numId="5">
    <w:abstractNumId w:val="17"/>
  </w:num>
  <w:num w:numId="6">
    <w:abstractNumId w:val="2"/>
  </w:num>
  <w:num w:numId="7">
    <w:abstractNumId w:val="0"/>
  </w:num>
  <w:num w:numId="8">
    <w:abstractNumId w:val="25"/>
  </w:num>
  <w:num w:numId="9">
    <w:abstractNumId w:val="4"/>
  </w:num>
  <w:num w:numId="10">
    <w:abstractNumId w:val="24"/>
  </w:num>
  <w:num w:numId="11">
    <w:abstractNumId w:val="9"/>
  </w:num>
  <w:num w:numId="12">
    <w:abstractNumId w:val="8"/>
  </w:num>
  <w:num w:numId="13">
    <w:abstractNumId w:val="3"/>
  </w:num>
  <w:num w:numId="14">
    <w:abstractNumId w:val="5"/>
  </w:num>
  <w:num w:numId="15">
    <w:abstractNumId w:val="20"/>
  </w:num>
  <w:num w:numId="16">
    <w:abstractNumId w:val="1"/>
  </w:num>
  <w:num w:numId="17">
    <w:abstractNumId w:val="6"/>
  </w:num>
  <w:num w:numId="18">
    <w:abstractNumId w:val="26"/>
  </w:num>
  <w:num w:numId="19">
    <w:abstractNumId w:val="27"/>
  </w:num>
  <w:num w:numId="20">
    <w:abstractNumId w:val="13"/>
  </w:num>
  <w:num w:numId="21">
    <w:abstractNumId w:val="19"/>
  </w:num>
  <w:num w:numId="22">
    <w:abstractNumId w:val="12"/>
  </w:num>
  <w:num w:numId="23">
    <w:abstractNumId w:val="14"/>
  </w:num>
  <w:num w:numId="24">
    <w:abstractNumId w:val="16"/>
  </w:num>
  <w:num w:numId="25">
    <w:abstractNumId w:val="21"/>
  </w:num>
  <w:num w:numId="26">
    <w:abstractNumId w:val="11"/>
  </w:num>
  <w:num w:numId="27">
    <w:abstractNumId w:val="2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53BD3"/>
    <w:rsid w:val="001656C6"/>
    <w:rsid w:val="001A7344"/>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2E5D61"/>
    <w:rsid w:val="0030607D"/>
    <w:rsid w:val="00341474"/>
    <w:rsid w:val="003644AE"/>
    <w:rsid w:val="00366B20"/>
    <w:rsid w:val="00382380"/>
    <w:rsid w:val="003901C3"/>
    <w:rsid w:val="003A1649"/>
    <w:rsid w:val="003B595E"/>
    <w:rsid w:val="003C1934"/>
    <w:rsid w:val="003C6CEB"/>
    <w:rsid w:val="003F71B1"/>
    <w:rsid w:val="003F7E06"/>
    <w:rsid w:val="0040369F"/>
    <w:rsid w:val="004057D9"/>
    <w:rsid w:val="00405AE3"/>
    <w:rsid w:val="00407D63"/>
    <w:rsid w:val="00424A1D"/>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2BE8"/>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90D63"/>
    <w:rsid w:val="007952F3"/>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9F7869"/>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A3385"/>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1AE"/>
    <w:rsid w:val="00DD46BC"/>
    <w:rsid w:val="00DD6CE3"/>
    <w:rsid w:val="00DE0819"/>
    <w:rsid w:val="00DE2683"/>
    <w:rsid w:val="00DE35E2"/>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10</Pages>
  <Words>3526</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136</cp:revision>
  <dcterms:created xsi:type="dcterms:W3CDTF">2019-09-26T15:54:00Z</dcterms:created>
  <dcterms:modified xsi:type="dcterms:W3CDTF">2021-06-15T20:45:00Z</dcterms:modified>
</cp:coreProperties>
</file>