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54" w:rsidRDefault="00116654" w:rsidP="00116654">
      <w:pPr>
        <w:pStyle w:val="Textoindependiente"/>
        <w:spacing w:after="0" w:line="360" w:lineRule="auto"/>
        <w:jc w:val="both"/>
      </w:pPr>
      <w:r>
        <w:rPr>
          <w:b/>
          <w:lang w:val="es-MX" w:eastAsia="es-ES"/>
        </w:rPr>
        <w:t xml:space="preserve">ACTA  NUMERO  TREINTA Y  NUEVE.  </w:t>
      </w:r>
      <w:r>
        <w:rPr>
          <w:lang w:val="es-MX" w:eastAsia="es-ES"/>
        </w:rPr>
        <w:t xml:space="preserve">En  el  salón  de  sesiones  de  la  Alcaldía  Municipal de Quezaltepeque,  a  las catorce horas con diez minutos, del día veinte del mes de septiembre de dos mil diecinueve, se realizó sesión Ordinaria convocada y  presidida por el señor  Alcalde Municipal Lic. Salvador Enrique Saget Figueroa, con la asistencia de la Síndico Municipal Licda. Dalís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 xml:space="preserve">Franklin Ernesto Ramos,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 xml:space="preserve">y de la Secretaria Municipal   Licda. Ana Gloria Melgar de Hernández. Se dio inicio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Concejo Municipal en uso de sus facultades legales y en atención a solicitud presentada por el Gerente de Desarrollo Social de esta Institución, ACUERDA: 1</w:t>
      </w:r>
      <w:r>
        <w:rPr>
          <w:b/>
        </w:rPr>
        <w:t>-</w:t>
      </w:r>
      <w:r>
        <w:t xml:space="preserve"> Autorizar al señor Alcalde Municipal Lic. Salvador Enrique Saget Figueroa, para que, en representación del Concejo, firme contrato,  por el término de  </w:t>
      </w:r>
      <w:r>
        <w:rPr>
          <w:b/>
        </w:rPr>
        <w:t xml:space="preserve">3-meses (octubre-diciembre-2019), </w:t>
      </w:r>
      <w:r>
        <w:rPr>
          <w:color w:val="000000"/>
        </w:rPr>
        <w:t xml:space="preserve">para la prestación de </w:t>
      </w:r>
      <w:r>
        <w:rPr>
          <w:b/>
          <w:color w:val="000000"/>
        </w:rPr>
        <w:t>servicios profesionales</w:t>
      </w:r>
      <w:r>
        <w:rPr>
          <w:color w:val="000000"/>
        </w:rPr>
        <w:t xml:space="preserve"> con el siguiente personal:  </w:t>
      </w:r>
    </w:p>
    <w:tbl>
      <w:tblPr>
        <w:tblW w:w="8931" w:type="dxa"/>
        <w:tblInd w:w="108" w:type="dxa"/>
        <w:tblLayout w:type="fixed"/>
        <w:tblCellMar>
          <w:left w:w="10" w:type="dxa"/>
          <w:right w:w="10" w:type="dxa"/>
        </w:tblCellMar>
        <w:tblLook w:val="0000" w:firstRow="0" w:lastRow="0" w:firstColumn="0" w:lastColumn="0" w:noHBand="0" w:noVBand="0"/>
      </w:tblPr>
      <w:tblGrid>
        <w:gridCol w:w="3544"/>
        <w:gridCol w:w="284"/>
        <w:gridCol w:w="141"/>
        <w:gridCol w:w="3828"/>
        <w:gridCol w:w="1134"/>
      </w:tblGrid>
      <w:tr w:rsidR="00116654" w:rsidTr="00450087">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108"/>
              <w:jc w:val="center"/>
            </w:pPr>
            <w:r>
              <w:rPr>
                <w:b/>
                <w:lang w:eastAsia="en-US"/>
              </w:rPr>
              <w:t>PROYECTO: “CASA DEL ADULTO MAYOR 2019”</w:t>
            </w:r>
          </w:p>
        </w:tc>
      </w:tr>
      <w:tr w:rsidR="00116654" w:rsidTr="00450087">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654" w:rsidRDefault="00116654" w:rsidP="00450087">
            <w:pPr>
              <w:ind w:right="-518"/>
              <w:rPr>
                <w:b/>
                <w:sz w:val="18"/>
                <w:szCs w:val="18"/>
                <w:lang w:eastAsia="en-US"/>
              </w:rPr>
            </w:pPr>
            <w:r>
              <w:rPr>
                <w:b/>
                <w:sz w:val="18"/>
                <w:szCs w:val="18"/>
                <w:lang w:eastAsia="en-US"/>
              </w:rPr>
              <w:t xml:space="preserve">                             NOMBRE </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654" w:rsidRDefault="00116654" w:rsidP="00450087">
            <w:pPr>
              <w:ind w:right="-518"/>
              <w:rPr>
                <w:b/>
                <w:sz w:val="18"/>
                <w:szCs w:val="18"/>
                <w:lang w:eastAsia="en-US"/>
              </w:rPr>
            </w:pPr>
            <w:r>
              <w:rPr>
                <w:b/>
                <w:sz w:val="18"/>
                <w:szCs w:val="18"/>
                <w:lang w:eastAsia="en-US"/>
              </w:rPr>
              <w:t>CARGO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654" w:rsidRDefault="00116654" w:rsidP="00450087">
            <w:pPr>
              <w:ind w:right="-108"/>
              <w:rPr>
                <w:b/>
                <w:sz w:val="18"/>
                <w:szCs w:val="18"/>
                <w:lang w:eastAsia="en-US"/>
              </w:rPr>
            </w:pPr>
            <w:r>
              <w:rPr>
                <w:b/>
                <w:sz w:val="18"/>
                <w:szCs w:val="18"/>
                <w:lang w:eastAsia="en-US"/>
              </w:rPr>
              <w:t xml:space="preserve">MONTO MENSUAL </w:t>
            </w:r>
          </w:p>
        </w:tc>
      </w:tr>
      <w:tr w:rsidR="00116654" w:rsidTr="00450087">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Tomás Cisneros</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Conserje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   300.00</w:t>
            </w:r>
          </w:p>
        </w:tc>
      </w:tr>
      <w:tr w:rsidR="00116654" w:rsidTr="00450087">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center"/>
              <w:rPr>
                <w:b/>
                <w:sz w:val="22"/>
                <w:szCs w:val="22"/>
                <w:lang w:eastAsia="en-US"/>
              </w:rPr>
            </w:pPr>
            <w:r>
              <w:rPr>
                <w:b/>
                <w:sz w:val="22"/>
                <w:szCs w:val="22"/>
                <w:lang w:eastAsia="en-US"/>
              </w:rPr>
              <w:t>PROYECTO:  “INSTITUTO DE LOS DEPORTES MUNICIPALES 2019”</w:t>
            </w:r>
          </w:p>
        </w:tc>
      </w:tr>
      <w:tr w:rsidR="00116654" w:rsidTr="00450087">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Salvador Alejandro Chicas González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Entrenador de Baloncesto (medio tiempo)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   220.00</w:t>
            </w:r>
          </w:p>
        </w:tc>
      </w:tr>
      <w:tr w:rsidR="00116654" w:rsidTr="00450087">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center"/>
              <w:rPr>
                <w:b/>
                <w:lang w:eastAsia="en-US"/>
              </w:rPr>
            </w:pPr>
            <w:r>
              <w:rPr>
                <w:b/>
                <w:lang w:eastAsia="en-US"/>
              </w:rPr>
              <w:t>PROYECTO: “ARTE, CULTURA Y JUVENTUD 2019”</w:t>
            </w:r>
          </w:p>
        </w:tc>
      </w:tr>
      <w:tr w:rsidR="00116654" w:rsidTr="00450087">
        <w:tblPrEx>
          <w:tblCellMar>
            <w:top w:w="0" w:type="dxa"/>
            <w:bottom w:w="0" w:type="dxa"/>
          </w:tblCellMar>
        </w:tblPrEx>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Roberto Emmanuel Hernández Segovia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Instructor de Ballet (medio tiempo)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   279.68</w:t>
            </w:r>
          </w:p>
        </w:tc>
      </w:tr>
      <w:tr w:rsidR="00116654" w:rsidTr="00450087">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108"/>
              <w:jc w:val="center"/>
            </w:pPr>
            <w:r>
              <w:rPr>
                <w:b/>
                <w:sz w:val="22"/>
                <w:szCs w:val="22"/>
                <w:lang w:eastAsia="en-US"/>
              </w:rPr>
              <w:t>PROYECTO: “FORTALECIMIENTO DE VALORES Y HABILIDADES SOCIALES 2019</w:t>
            </w:r>
            <w:r>
              <w:rPr>
                <w:b/>
                <w:lang w:eastAsia="en-US"/>
              </w:rPr>
              <w:t>”</w:t>
            </w:r>
          </w:p>
        </w:tc>
      </w:tr>
      <w:tr w:rsidR="00116654" w:rsidTr="00450087">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108"/>
              <w:jc w:val="both"/>
              <w:rPr>
                <w:lang w:eastAsia="en-US"/>
              </w:rPr>
            </w:pPr>
            <w:r>
              <w:rPr>
                <w:lang w:eastAsia="en-US"/>
              </w:rPr>
              <w:t xml:space="preserve">Miguel Ángel Flores Cerna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Coordinador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  500.00</w:t>
            </w:r>
          </w:p>
        </w:tc>
      </w:tr>
      <w:tr w:rsidR="00116654" w:rsidTr="00450087">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108"/>
              <w:jc w:val="both"/>
              <w:rPr>
                <w:lang w:eastAsia="en-US"/>
              </w:rPr>
            </w:pPr>
            <w:r>
              <w:rPr>
                <w:lang w:eastAsia="en-US"/>
              </w:rPr>
              <w:t>William Ernesto Rodríguez Villalta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Conserje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ind w:right="-518"/>
              <w:jc w:val="both"/>
              <w:rPr>
                <w:lang w:eastAsia="en-US"/>
              </w:rPr>
            </w:pPr>
            <w:r>
              <w:rPr>
                <w:lang w:eastAsia="en-US"/>
              </w:rPr>
              <w:t>$  300.00</w:t>
            </w:r>
          </w:p>
        </w:tc>
      </w:tr>
    </w:tbl>
    <w:p w:rsidR="00116654" w:rsidRDefault="00116654" w:rsidP="00116654">
      <w:pPr>
        <w:pStyle w:val="Textoindependiente"/>
        <w:spacing w:after="240" w:line="360" w:lineRule="auto"/>
        <w:jc w:val="both"/>
      </w:pPr>
      <w:r>
        <w:t xml:space="preserve"> </w:t>
      </w:r>
      <w:r>
        <w:rPr>
          <w:b/>
        </w:rPr>
        <w:t>2)</w:t>
      </w:r>
      <w:r>
        <w:t xml:space="preserve">- Se autoriza a la UACI, para  elaborar los recibos correspondientes, </w:t>
      </w:r>
      <w:r>
        <w:rPr>
          <w:b/>
        </w:rPr>
        <w:t>3)</w:t>
      </w:r>
      <w:r>
        <w:t xml:space="preserve">- Se autoriza a la señora Tesorera Municipal, para que, de la cuenta del proyecto  al que corresponda, pague los </w:t>
      </w:r>
      <w:r>
        <w:rPr>
          <w:b/>
        </w:rPr>
        <w:t>servicios profesionales del personal antes mencionado</w:t>
      </w:r>
      <w:r>
        <w:t xml:space="preserve">. </w:t>
      </w:r>
      <w:r>
        <w:rPr>
          <w:b/>
        </w:rPr>
        <w:t>4)</w:t>
      </w:r>
      <w:r>
        <w:t xml:space="preserve">- Se autoriza a la Unidad Legal para elaborar los contratos respectivos; y </w:t>
      </w:r>
      <w:r>
        <w:rPr>
          <w:b/>
        </w:rPr>
        <w:t>5)-</w:t>
      </w:r>
      <w:r>
        <w:t xml:space="preserve"> A la Unidad Financiera Institucional, para aplicar el específico </w:t>
      </w:r>
      <w:r>
        <w:lastRenderedPageBreak/>
        <w:t xml:space="preserve">Presupuestario correspondiente. COMUNIQUESE. </w:t>
      </w:r>
      <w:r>
        <w:rPr>
          <w:b/>
        </w:rPr>
        <w:t xml:space="preserve">ACUERDO NÚMERO DOS.  </w:t>
      </w:r>
      <w:r>
        <w:t xml:space="preserve">El Concejo Municipal en uso de sus facultades legales y vista la nota  presentada por el Jefe de la Unidad Administración Tributaria Municipal (UATM), en la cual informa sobre los ingresos percibidos por DISPENSA DE MULTAS E INTERESES, aprobadas por el Concejo Municipal, en los años 2017,  2018 y 2019, ACUERDA: Aprobar el </w:t>
      </w:r>
      <w:r>
        <w:rPr>
          <w:b/>
        </w:rPr>
        <w:t>INFORME DE INGRESOS PERCIBIDOS POR  la ORDENANZA TRANSITORIA DE EXONERACIÓN DE MULTAS E INTERESES</w:t>
      </w:r>
      <w:r>
        <w:t>,  en el cual detalla que:</w:t>
      </w:r>
    </w:p>
    <w:p w:rsidR="00116654" w:rsidRDefault="00116654" w:rsidP="00116654">
      <w:pPr>
        <w:pStyle w:val="Textoindependiente"/>
        <w:numPr>
          <w:ilvl w:val="0"/>
          <w:numId w:val="25"/>
        </w:numPr>
        <w:suppressAutoHyphens w:val="0"/>
        <w:spacing w:after="240" w:line="360" w:lineRule="auto"/>
        <w:jc w:val="both"/>
      </w:pPr>
      <w:r>
        <w:t xml:space="preserve">Con la Ordenanza aprobada por el  Concejo Municipal, con fecha de publicación en el Diario Oficial, el día 06 de junio de 2019, se percibieron ingresos mayores por un monto de </w:t>
      </w:r>
      <w:r>
        <w:rPr>
          <w:b/>
        </w:rPr>
        <w:t>$ 111,908.89</w:t>
      </w:r>
      <w:r>
        <w:t>, en relación a los meses de junio a septiembre 2017; y los meses de junio-septiembre de 2019.</w:t>
      </w:r>
    </w:p>
    <w:p w:rsidR="00116654" w:rsidRDefault="00116654" w:rsidP="00116654">
      <w:pPr>
        <w:pStyle w:val="Textoindependiente"/>
        <w:numPr>
          <w:ilvl w:val="0"/>
          <w:numId w:val="25"/>
        </w:numPr>
        <w:suppressAutoHyphens w:val="0"/>
        <w:spacing w:after="240" w:line="360" w:lineRule="auto"/>
        <w:jc w:val="both"/>
      </w:pPr>
      <w:r>
        <w:t>Con la Ordenanza aprobada por el Concejo Municipal, con fecha de publicación en el Diario Oficial el día 11 de junio de 2018, se percibieron mayores ingresos en rel</w:t>
      </w:r>
      <w:r>
        <w:t>a</w:t>
      </w:r>
      <w:r>
        <w:t xml:space="preserve">ción a los meses de junio a septiembre de 2017 a los meses de junio-septiembre de 2018, por la cantidad de </w:t>
      </w:r>
      <w:r>
        <w:rPr>
          <w:b/>
        </w:rPr>
        <w:t>$ 149,695.36</w:t>
      </w:r>
      <w:r>
        <w:t>.</w:t>
      </w:r>
    </w:p>
    <w:p w:rsidR="00116654" w:rsidRDefault="00116654" w:rsidP="00116654">
      <w:pPr>
        <w:pStyle w:val="Textoindependiente"/>
        <w:numPr>
          <w:ilvl w:val="0"/>
          <w:numId w:val="25"/>
        </w:numPr>
        <w:suppressAutoHyphens w:val="0"/>
        <w:spacing w:after="0" w:line="360" w:lineRule="auto"/>
        <w:jc w:val="both"/>
      </w:pPr>
      <w:r>
        <w:t xml:space="preserve">Con la Ordenanza aprobada por el Concejo Municipal, con fecha de publicación en el Diario Oficial del 15 de octubre de 2018, se percibieron mayores ingresos por un monto de </w:t>
      </w:r>
      <w:r>
        <w:rPr>
          <w:b/>
        </w:rPr>
        <w:t>$ 124,138.37,</w:t>
      </w:r>
      <w:r>
        <w:t xml:space="preserve"> en relación a los meses de octubre- 2017- enero de 2018, a los meses de octubre 2018  hasta enero 2019.</w:t>
      </w:r>
    </w:p>
    <w:p w:rsidR="00116654" w:rsidRDefault="00116654" w:rsidP="00116654">
      <w:pPr>
        <w:pStyle w:val="NormalWeb"/>
        <w:spacing w:after="0" w:line="360" w:lineRule="auto"/>
        <w:jc w:val="both"/>
      </w:pPr>
      <w:r>
        <w:t xml:space="preserve">COMUNIQUESE.  </w:t>
      </w:r>
      <w:r>
        <w:rPr>
          <w:b/>
        </w:rPr>
        <w:t xml:space="preserve">ACUERDO NÚMERO TRES.  </w:t>
      </w:r>
      <w:r>
        <w:t xml:space="preserve">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TESORERIA MUNICIPAL DE QUEZALTEPEQUE, FODES 75%,</w:t>
      </w:r>
      <w:r>
        <w:t xml:space="preserve"> pague a </w:t>
      </w:r>
      <w:r>
        <w:rPr>
          <w:b/>
        </w:rPr>
        <w:t>DIAGROSAFE, S.A DE C.V</w:t>
      </w:r>
      <w:r>
        <w:t xml:space="preserve">, factura No. 0809 de fecha 19 de julio de 2019, por la cantidad de </w:t>
      </w:r>
      <w:r>
        <w:rPr>
          <w:b/>
        </w:rPr>
        <w:t>$ 500.00</w:t>
      </w:r>
      <w:r>
        <w:t xml:space="preserve">, que ampara el suministro de 20-llantas para carretón 250x 25 de hule, que serán utilizadas en los carretones de recolección de basura, que utiliza el personal de aseo de esta Municipalidad. Se autoriza a la Unidad Financiera Institucional, para aplicar el específico Presupuestario correspondiente. COMUNIQUESE. </w:t>
      </w:r>
      <w:r>
        <w:rPr>
          <w:b/>
        </w:rPr>
        <w:t xml:space="preserve">ACUERDO NÚMERO CUATRO.  </w:t>
      </w:r>
      <w:r>
        <w:t xml:space="preserve">El Concejo Municipal en uso de sus facultades legales y </w:t>
      </w:r>
      <w:r>
        <w:lastRenderedPageBreak/>
        <w:t xml:space="preserve">con el propósito de dar cumplimiento a instrucción brindada por el señor Alcalde Municipal, ACUERDA: </w:t>
      </w:r>
      <w:r>
        <w:rPr>
          <w:b/>
        </w:rPr>
        <w:t>1-</w:t>
      </w:r>
      <w:r>
        <w:t xml:space="preserve">  </w:t>
      </w:r>
      <w:r>
        <w:rPr>
          <w:b/>
        </w:rPr>
        <w:t xml:space="preserve">DEJAR SIN EFECTO </w:t>
      </w:r>
      <w:r>
        <w:t xml:space="preserve">el </w:t>
      </w:r>
      <w:r>
        <w:rPr>
          <w:b/>
        </w:rPr>
        <w:t>Acuerdo No. 13 del Acta No. 4</w:t>
      </w:r>
      <w:r>
        <w:t xml:space="preserve"> de fecha 16 de mayo de 2018; y </w:t>
      </w:r>
      <w:r>
        <w:rPr>
          <w:b/>
        </w:rPr>
        <w:t>2-</w:t>
      </w:r>
      <w:r>
        <w:t xml:space="preserve"> A partir del día </w:t>
      </w:r>
      <w:r>
        <w:rPr>
          <w:b/>
        </w:rPr>
        <w:t xml:space="preserve">10 de octubre de 2019, </w:t>
      </w:r>
      <w:r>
        <w:t xml:space="preserve">  los señores: Gerente General </w:t>
      </w:r>
      <w:r>
        <w:rPr>
          <w:b/>
        </w:rPr>
        <w:t>LIC</w:t>
      </w:r>
      <w:r>
        <w:t xml:space="preserve">. </w:t>
      </w:r>
      <w:r>
        <w:rPr>
          <w:b/>
        </w:rPr>
        <w:t xml:space="preserve">JOSE ISRRAEL RIVAS SALGUERO, </w:t>
      </w:r>
      <w:r>
        <w:t>Gerente</w:t>
      </w:r>
      <w:r>
        <w:rPr>
          <w:b/>
        </w:rPr>
        <w:t xml:space="preserve"> </w:t>
      </w:r>
      <w:r>
        <w:t xml:space="preserve">Administrativo </w:t>
      </w:r>
      <w:r>
        <w:rPr>
          <w:b/>
        </w:rPr>
        <w:t>Lic. FERNANDO ALBERTO QUIJADA FERMÁN</w:t>
      </w:r>
      <w:r>
        <w:t xml:space="preserve">;  Gerente de Desarrollo Social </w:t>
      </w:r>
      <w:r>
        <w:rPr>
          <w:b/>
        </w:rPr>
        <w:t xml:space="preserve">LIC. WILFREDO JOSE CARRANZA POSADA, </w:t>
      </w:r>
      <w:r>
        <w:t xml:space="preserve">Jefe Unidad de Tecnologías de Información Municipal Ing. </w:t>
      </w:r>
      <w:r>
        <w:rPr>
          <w:b/>
        </w:rPr>
        <w:t xml:space="preserve">OSCAR SAMUEL RAMIREZ HERNANDEZ, </w:t>
      </w:r>
      <w:r>
        <w:t xml:space="preserve">Jefe de Comunicaciones </w:t>
      </w:r>
      <w:r>
        <w:rPr>
          <w:b/>
        </w:rPr>
        <w:t>Lic. RENÉ MOISÉS RODRÍGUEZ LÓPEZ</w:t>
      </w:r>
      <w:r>
        <w:t xml:space="preserve">, Jefe de la Unidad Legal </w:t>
      </w:r>
      <w:r>
        <w:rPr>
          <w:b/>
        </w:rPr>
        <w:t>Lic. RAUL BALTAZAR CAMPOS PORTILLO</w:t>
      </w:r>
      <w:r>
        <w:t xml:space="preserve">, Jefe de la Unidad de Desarrollo Municipal </w:t>
      </w:r>
      <w:r>
        <w:rPr>
          <w:b/>
        </w:rPr>
        <w:t>Lic. JOSÉ ALBERTO MOLINA BUENDÍA</w:t>
      </w:r>
      <w:r>
        <w:t xml:space="preserve">, Asesor Apoderado Legal del Despacho Municipal </w:t>
      </w:r>
      <w:r>
        <w:rPr>
          <w:b/>
        </w:rPr>
        <w:t>Lic. CARLOS ARNOLDO AVILÉS</w:t>
      </w:r>
      <w:r>
        <w:t xml:space="preserve">, Jefe de Participación Ciudadana </w:t>
      </w:r>
      <w:r>
        <w:rPr>
          <w:b/>
        </w:rPr>
        <w:t>GILMA MEMBREÑO HERCULES</w:t>
      </w:r>
      <w:r>
        <w:t xml:space="preserve">, Jefe de Planificación </w:t>
      </w:r>
      <w:r>
        <w:rPr>
          <w:b/>
        </w:rPr>
        <w:t>LIC. JORGE ALBERTO ORELLANA JUAREZ</w:t>
      </w:r>
      <w:r>
        <w:t xml:space="preserve">, Jefe de la UACI, </w:t>
      </w:r>
      <w:r>
        <w:rPr>
          <w:b/>
        </w:rPr>
        <w:t>ING. FLAVIO OMAR QUEZADA SALAZAR</w:t>
      </w:r>
      <w:r>
        <w:t xml:space="preserve">, Jefe de Recursos Humanos doña </w:t>
      </w:r>
      <w:r>
        <w:rPr>
          <w:b/>
        </w:rPr>
        <w:t>MARIA GUADALUPE AVALOS AVALOS</w:t>
      </w:r>
      <w:r>
        <w:t xml:space="preserve">, Jefe de la Unidad Financiera don </w:t>
      </w:r>
      <w:r>
        <w:rPr>
          <w:b/>
        </w:rPr>
        <w:t>SERGIO ENRIQUE MELÉNDEZ MELGAR,</w:t>
      </w:r>
      <w:r>
        <w:t xml:space="preserve"> Gerente de Servicios Públicos Municipales don </w:t>
      </w:r>
      <w:r>
        <w:rPr>
          <w:b/>
        </w:rPr>
        <w:t>GERMAN WILFREDO MARTINEZ</w:t>
      </w:r>
      <w:r>
        <w:t xml:space="preserve">, Jefe de la Unidad Administración Tributaria Municipal </w:t>
      </w:r>
      <w:r>
        <w:rPr>
          <w:b/>
        </w:rPr>
        <w:t>LIC. VLADIMIR AMADEO RODRIGUEZ VARGAS</w:t>
      </w:r>
      <w:r>
        <w:t xml:space="preserve">, Jefe de la Unidad de Saneamiento Ambiental don </w:t>
      </w:r>
      <w:r>
        <w:rPr>
          <w:b/>
        </w:rPr>
        <w:t>RODOLFO ERNESTO SANCHEZ GARCIA</w:t>
      </w:r>
      <w:r>
        <w:t xml:space="preserve">, Jefe de Tiangue Rastro y Ganadería  don </w:t>
      </w:r>
      <w:r>
        <w:rPr>
          <w:b/>
        </w:rPr>
        <w:t>NELSON JONATHAN ALAS CHAVEZ</w:t>
      </w:r>
      <w:r>
        <w:t xml:space="preserve">, Gerente de Desarrollo Territorial </w:t>
      </w:r>
      <w:r>
        <w:rPr>
          <w:b/>
        </w:rPr>
        <w:t>ING. JOSE RICARDO MORENO AQUINO</w:t>
      </w:r>
      <w:r>
        <w:t xml:space="preserve">, Jefe de Terminal don </w:t>
      </w:r>
      <w:r>
        <w:rPr>
          <w:b/>
        </w:rPr>
        <w:t>RAFAEL ANTONIO  QUINTANILLA VALDEZ,</w:t>
      </w:r>
      <w:r>
        <w:t xml:space="preserve"> Gerente de Medio Ambiente y Agropecuario </w:t>
      </w:r>
      <w:r>
        <w:rPr>
          <w:b/>
        </w:rPr>
        <w:t>ING. CARLOS ANTONIO OROZCO QUINTANILLA</w:t>
      </w:r>
      <w:r>
        <w:t xml:space="preserve">, </w:t>
      </w:r>
      <w:r>
        <w:rPr>
          <w:b/>
        </w:rPr>
        <w:t xml:space="preserve">DEBERÁN EFECTUAR LA MARCACIÓN TÁCTIL, DE ENTRADA Y SALIDA, </w:t>
      </w:r>
      <w:r>
        <w:t xml:space="preserve">según el Art. 31 del Reglamento Interno de Trabajo de esta Institución,  que establece:   la jornada de trabajo de la Municipalidad es de las ocho de la mañana </w:t>
      </w:r>
      <w:r>
        <w:rPr>
          <w:b/>
        </w:rPr>
        <w:t>(8:00 a.m) a doce de mediodía (12:00 m);</w:t>
      </w:r>
      <w:r>
        <w:t xml:space="preserve"> y de las </w:t>
      </w:r>
      <w:r>
        <w:rPr>
          <w:b/>
        </w:rPr>
        <w:t>trece horas (13:00 p.m) a cuatro de la tarde (4: 00 p.m</w:t>
      </w:r>
      <w:r>
        <w:t xml:space="preserve">); Por lo que,  todos los servidores Municipales están obligados a marcar su horario correspondiente de entrada y salida. COMUNIQUESE. </w:t>
      </w:r>
      <w:r>
        <w:rPr>
          <w:b/>
        </w:rPr>
        <w:t xml:space="preserve">ACUERDO NÚMERO CINCO. </w:t>
      </w:r>
      <w:r>
        <w:t xml:space="preserve">Visto el Memorándum presentado por el Gerente de Servicios Públicos Municipales de esta Institución, en el cual solicita que se apruebe la Orden de Cambio No. 1, de fecha 20 de agosto de 2019, del </w:t>
      </w:r>
      <w:r>
        <w:rPr>
          <w:b/>
        </w:rPr>
        <w:t>“PLAN DE MERCADO MUNICIPAL REPARACIONES MENORES 2019”,</w:t>
      </w:r>
      <w:r>
        <w:t xml:space="preserve"> manifestando que se requiere modificar los específicos 54107 (productos Químicos), por los específicos 54104 y 54106 (materiales de </w:t>
      </w:r>
      <w:r>
        <w:lastRenderedPageBreak/>
        <w:t>caucho, plástico), para efectuar la compra de materiales que se utilizará en la Galera de Mercado, por un monto de $ 65.18. POR LO QUE, solicita el Aval por parte del Concejo Municipal; y al mismo tiempo autoricen a la UFI realizar la siguiente REPROGRAMACION:</w:t>
      </w:r>
    </w:p>
    <w:tbl>
      <w:tblPr>
        <w:tblW w:w="9356" w:type="dxa"/>
        <w:tblInd w:w="108" w:type="dxa"/>
        <w:tblLayout w:type="fixed"/>
        <w:tblCellMar>
          <w:left w:w="10" w:type="dxa"/>
          <w:right w:w="10" w:type="dxa"/>
        </w:tblCellMar>
        <w:tblLook w:val="0000" w:firstRow="0" w:lastRow="0" w:firstColumn="0" w:lastColumn="0" w:noHBand="0" w:noVBand="0"/>
      </w:tblPr>
      <w:tblGrid>
        <w:gridCol w:w="4820"/>
        <w:gridCol w:w="1276"/>
        <w:gridCol w:w="1417"/>
        <w:gridCol w:w="1843"/>
      </w:tblGrid>
      <w:tr w:rsidR="00116654" w:rsidTr="00450087">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spacing w:line="360" w:lineRule="auto"/>
              <w:ind w:right="-234"/>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DESCRIPCION DEL BIEN O SERVICIO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spacing w:line="360" w:lineRule="auto"/>
              <w:ind w:right="-108"/>
              <w:jc w:val="both"/>
              <w:textAlignment w:val="auto"/>
              <w:rPr>
                <w:rFonts w:eastAsia="Calibri" w:cs="Times New Roman"/>
                <w:kern w:val="0"/>
                <w:sz w:val="18"/>
                <w:szCs w:val="18"/>
                <w:lang w:val="es-ES" w:eastAsia="en-US"/>
              </w:rPr>
            </w:pPr>
            <w:r>
              <w:rPr>
                <w:rFonts w:eastAsia="Calibri" w:cs="Times New Roman"/>
                <w:kern w:val="0"/>
                <w:sz w:val="18"/>
                <w:szCs w:val="18"/>
                <w:lang w:val="es-ES" w:eastAsia="en-US"/>
              </w:rPr>
              <w:t>ESPECIFICO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spacing w:line="360" w:lineRule="auto"/>
              <w:ind w:right="-44"/>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AUMENTA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108"/>
              </w:tabs>
              <w:spacing w:line="360" w:lineRule="auto"/>
              <w:ind w:right="-234" w:hanging="108"/>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DISMINUYE</w:t>
            </w:r>
          </w:p>
        </w:tc>
      </w:tr>
      <w:tr w:rsidR="00116654" w:rsidTr="00450087">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ind w:right="-234"/>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Producto Textiles y vestuario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eastAsia="Calibri" w:cs="Times New Roman"/>
                <w:kern w:val="0"/>
                <w:sz w:val="22"/>
                <w:szCs w:val="22"/>
                <w:lang w:val="es-ES" w:eastAsia="en-US"/>
              </w:rPr>
            </w:pPr>
            <w:r>
              <w:rPr>
                <w:rFonts w:eastAsia="Calibri" w:cs="Times New Roman"/>
                <w:kern w:val="0"/>
                <w:sz w:val="22"/>
                <w:szCs w:val="22"/>
                <w:lang w:val="es-ES" w:eastAsia="en-US"/>
              </w:rPr>
              <w:t>54104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eastAsia="Calibri" w:cs="Times New Roman"/>
                <w:kern w:val="0"/>
                <w:sz w:val="22"/>
                <w:szCs w:val="22"/>
                <w:lang w:val="es-ES" w:eastAsia="en-US"/>
              </w:rPr>
            </w:pPr>
            <w:r>
              <w:rPr>
                <w:rFonts w:eastAsia="Calibri" w:cs="Times New Roman"/>
                <w:kern w:val="0"/>
                <w:sz w:val="22"/>
                <w:szCs w:val="22"/>
                <w:lang w:val="es-ES" w:eastAsia="en-US"/>
              </w:rPr>
              <w:t>$ 59.75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eastAsia="Calibri" w:cs="Times New Roman"/>
                <w:kern w:val="0"/>
                <w:sz w:val="22"/>
                <w:szCs w:val="22"/>
                <w:lang w:val="es-ES" w:eastAsia="en-US"/>
              </w:rPr>
            </w:pPr>
          </w:p>
        </w:tc>
      </w:tr>
      <w:tr w:rsidR="00116654" w:rsidTr="00450087">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Producto de Cuero y caucho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eastAsia="Calibri" w:cs="Times New Roman"/>
                <w:kern w:val="0"/>
                <w:sz w:val="22"/>
                <w:szCs w:val="22"/>
                <w:lang w:val="es-ES" w:eastAsia="en-US"/>
              </w:rPr>
            </w:pPr>
            <w:r>
              <w:rPr>
                <w:rFonts w:eastAsia="Calibri" w:cs="Times New Roman"/>
                <w:kern w:val="0"/>
                <w:sz w:val="22"/>
                <w:szCs w:val="22"/>
                <w:lang w:val="es-ES" w:eastAsia="en-US"/>
              </w:rPr>
              <w:t>54106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eastAsia="Calibri" w:cs="Times New Roman"/>
                <w:kern w:val="0"/>
                <w:sz w:val="22"/>
                <w:szCs w:val="22"/>
                <w:lang w:val="es-ES" w:eastAsia="en-US"/>
              </w:rPr>
            </w:pPr>
            <w:r>
              <w:rPr>
                <w:rFonts w:eastAsia="Calibri" w:cs="Times New Roman"/>
                <w:kern w:val="0"/>
                <w:sz w:val="22"/>
                <w:szCs w:val="22"/>
                <w:lang w:val="es-ES" w:eastAsia="en-US"/>
              </w:rPr>
              <w:t>$  5.43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eastAsia="Calibri" w:cs="Times New Roman"/>
                <w:kern w:val="0"/>
                <w:sz w:val="22"/>
                <w:szCs w:val="22"/>
                <w:lang w:val="es-ES" w:eastAsia="en-US"/>
              </w:rPr>
            </w:pPr>
          </w:p>
        </w:tc>
      </w:tr>
      <w:tr w:rsidR="00116654" w:rsidTr="00450087">
        <w:tblPrEx>
          <w:tblCellMar>
            <w:top w:w="0" w:type="dxa"/>
            <w:bottom w:w="0" w:type="dxa"/>
          </w:tblCellMar>
        </w:tblPrEx>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Productos Químicos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eastAsia="Calibri" w:cs="Times New Roman"/>
                <w:kern w:val="0"/>
                <w:sz w:val="22"/>
                <w:szCs w:val="22"/>
                <w:lang w:val="es-ES" w:eastAsia="en-US"/>
              </w:rPr>
            </w:pPr>
            <w:r>
              <w:rPr>
                <w:rFonts w:eastAsia="Calibri" w:cs="Times New Roman"/>
                <w:kern w:val="0"/>
                <w:sz w:val="22"/>
                <w:szCs w:val="22"/>
                <w:lang w:val="es-ES" w:eastAsia="en-US"/>
              </w:rPr>
              <w:t>54107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eastAsia="Calibri" w:cs="Times New Roman"/>
                <w:kern w:val="0"/>
                <w:sz w:val="22"/>
                <w:szCs w:val="22"/>
                <w:lang w:val="es-ES"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eastAsia="Calibri" w:cs="Times New Roman"/>
                <w:kern w:val="0"/>
                <w:sz w:val="22"/>
                <w:szCs w:val="22"/>
                <w:lang w:val="es-ES" w:eastAsia="en-US"/>
              </w:rPr>
            </w:pPr>
            <w:r>
              <w:rPr>
                <w:rFonts w:eastAsia="Calibri" w:cs="Times New Roman"/>
                <w:kern w:val="0"/>
                <w:sz w:val="22"/>
                <w:szCs w:val="22"/>
                <w:lang w:val="es-ES" w:eastAsia="en-US"/>
              </w:rPr>
              <w:t>$ 65.18</w:t>
            </w:r>
          </w:p>
        </w:tc>
      </w:tr>
      <w:tr w:rsidR="00116654" w:rsidTr="00450087">
        <w:tblPrEx>
          <w:tblCellMar>
            <w:top w:w="0" w:type="dxa"/>
            <w:bottom w:w="0" w:type="dxa"/>
          </w:tblCellMar>
        </w:tblPrEx>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ind w:right="-234"/>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    TOTAL……………………………………………………….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eastAsia="Calibri" w:cs="Times New Roman"/>
                <w:kern w:val="0"/>
                <w:sz w:val="22"/>
                <w:szCs w:val="22"/>
                <w:lang w:val="es-ES" w:eastAsia="en-US"/>
              </w:rPr>
            </w:pPr>
            <w:r>
              <w:rPr>
                <w:rFonts w:eastAsia="Calibri" w:cs="Times New Roman"/>
                <w:kern w:val="0"/>
                <w:sz w:val="22"/>
                <w:szCs w:val="22"/>
                <w:lang w:val="es-ES" w:eastAsia="en-US"/>
              </w:rPr>
              <w:t>$  65.18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eastAsia="Calibri" w:cs="Times New Roman"/>
                <w:kern w:val="0"/>
                <w:sz w:val="22"/>
                <w:szCs w:val="22"/>
                <w:lang w:val="es-ES" w:eastAsia="en-US"/>
              </w:rPr>
            </w:pPr>
            <w:r>
              <w:rPr>
                <w:rFonts w:eastAsia="Calibri" w:cs="Times New Roman"/>
                <w:kern w:val="0"/>
                <w:sz w:val="22"/>
                <w:szCs w:val="22"/>
                <w:lang w:val="es-ES" w:eastAsia="en-US"/>
              </w:rPr>
              <w:t>$ 65.18</w:t>
            </w:r>
          </w:p>
        </w:tc>
      </w:tr>
    </w:tbl>
    <w:p w:rsidR="00116654" w:rsidRDefault="00116654" w:rsidP="00116654">
      <w:pPr>
        <w:pStyle w:val="NormalWeb"/>
        <w:spacing w:before="0" w:after="0" w:line="360" w:lineRule="auto"/>
        <w:jc w:val="both"/>
      </w:pPr>
      <w:r>
        <w:rPr>
          <w:rFonts w:cs="Times New Roman"/>
          <w:sz w:val="26"/>
          <w:szCs w:val="26"/>
        </w:rPr>
        <w:t>El Co</w:t>
      </w:r>
      <w:r>
        <w:rPr>
          <w:sz w:val="26"/>
          <w:szCs w:val="26"/>
        </w:rPr>
        <w:t xml:space="preserve">ncejo Municipal en uso de sus facultades legales, ACUERDA: </w:t>
      </w:r>
      <w:r>
        <w:rPr>
          <w:b/>
          <w:bCs/>
          <w:sz w:val="26"/>
          <w:szCs w:val="26"/>
        </w:rPr>
        <w:t>Aprobar la ORDEN DE CAMBIO No. 1 de fecha 17 de septiembre de 2019</w:t>
      </w:r>
      <w:r>
        <w:rPr>
          <w:sz w:val="26"/>
          <w:szCs w:val="26"/>
        </w:rPr>
        <w:t xml:space="preserve">, del  </w:t>
      </w:r>
      <w:r>
        <w:rPr>
          <w:b/>
        </w:rPr>
        <w:t xml:space="preserve">“PLAN DE MERCADO MUNICIPAL REPARACIONES MENORES 2019”, </w:t>
      </w:r>
      <w:r>
        <w:rPr>
          <w:sz w:val="26"/>
          <w:szCs w:val="26"/>
        </w:rPr>
        <w:t>y  se  Autoriza al Jefe de la Unidad Financiera Institucional, para elaborar la reprogramación Presupuestaria  respectiva</w:t>
      </w:r>
      <w:r>
        <w:rPr>
          <w:b/>
          <w:sz w:val="26"/>
          <w:szCs w:val="26"/>
        </w:rPr>
        <w:t xml:space="preserve">. </w:t>
      </w:r>
      <w:r>
        <w:rPr>
          <w:sz w:val="26"/>
          <w:szCs w:val="26"/>
        </w:rPr>
        <w:t xml:space="preserve">COMUNIQUESE. </w:t>
      </w:r>
      <w:r>
        <w:rPr>
          <w:b/>
        </w:rPr>
        <w:t xml:space="preserve">ACUERDO NÚMERO SEIS.  </w:t>
      </w:r>
      <w:r>
        <w:t>Visto el Memorándum de fecha 19 de septiembre de 2019, presentado por los señores: Lic. Wilfredo Carranza, Gerente de Desarrollo Social y por Wilfredo Otoniel Guevara Quezada, Coordinador del proyecto: “</w:t>
      </w:r>
      <w:r>
        <w:rPr>
          <w:b/>
        </w:rPr>
        <w:t>ARTE, CULTURA Y JUVENTUD 2019</w:t>
      </w:r>
      <w:r>
        <w:t xml:space="preserve">”,  en la cual remiten carta de invitación al Concejo Municipal, enviada por el Director Corredor Cultural Poesía en Tránsito y del Festival Internacional de Poesía En El Lugar de los Escudos,  en la que invitan al señor Wilfredo Otoniel Guevara Quezada, en calidad de integrante del talento humano del referido Corredor Cultural,  para asistir como invitado especial, en el </w:t>
      </w:r>
      <w:r>
        <w:rPr>
          <w:b/>
        </w:rPr>
        <w:t>FESTIVAL</w:t>
      </w:r>
      <w:r>
        <w:t xml:space="preserve"> que realizarán en la ciudad de </w:t>
      </w:r>
      <w:r>
        <w:rPr>
          <w:b/>
        </w:rPr>
        <w:t>México</w:t>
      </w:r>
      <w:r>
        <w:t xml:space="preserve"> y el municipio de </w:t>
      </w:r>
      <w:r>
        <w:rPr>
          <w:b/>
        </w:rPr>
        <w:t>Chimalhuacán en el estado de México, del 22 al 27 de septiembre del presente año</w:t>
      </w:r>
      <w:r>
        <w:t xml:space="preserve">. El Concejo Municipal en uso de sus facultades legales, ACUERDA: Conceder </w:t>
      </w:r>
      <w:r>
        <w:rPr>
          <w:b/>
        </w:rPr>
        <w:t>PERMISO SIN GOCE DE SUELDO</w:t>
      </w:r>
      <w:r>
        <w:t xml:space="preserve">, al señor </w:t>
      </w:r>
      <w:r>
        <w:rPr>
          <w:b/>
        </w:rPr>
        <w:t>WILFREDO OTONIEL  GUEVARA QUEZADA</w:t>
      </w:r>
      <w:r>
        <w:t xml:space="preserve">, del </w:t>
      </w:r>
      <w:r>
        <w:rPr>
          <w:b/>
        </w:rPr>
        <w:t>25 al 27 de septiembre de 2019</w:t>
      </w:r>
      <w:r>
        <w:t xml:space="preserve">, para que, asista al evento antes mencionado. Cabe mencionar que el Festival se llevará a cabo del </w:t>
      </w:r>
      <w:r>
        <w:rPr>
          <w:b/>
        </w:rPr>
        <w:t>22 al 27 de septiembre de 2019</w:t>
      </w:r>
      <w:r>
        <w:t xml:space="preserve">, sin embargo el señor Guevara Quezada, solo asistirá los días 25,26 y 27 de septiembre de 2019. COMUNIQUESE. </w:t>
      </w:r>
      <w:r>
        <w:rPr>
          <w:b/>
        </w:rPr>
        <w:t xml:space="preserve">ACUERDO NÚMERO SIETE.  </w:t>
      </w:r>
      <w:r>
        <w:t>El Concejo Municipal en uso de sus facultades legales, y de conformidad a lo establecido en el Artículo 83 del Reglamento Interno de Trabajo de esta Alcaldía,  ACUERDA: Autorizar la erogación de  </w:t>
      </w:r>
      <w:r>
        <w:rPr>
          <w:b/>
        </w:rPr>
        <w:t>UN MIL DOSCIENTOS 00/100 DOLARES ($ 1,200.00)</w:t>
      </w:r>
      <w:r>
        <w:t xml:space="preserve">, para entregar  al joven </w:t>
      </w:r>
      <w:r>
        <w:rPr>
          <w:b/>
        </w:rPr>
        <w:t>OSCAR ALEXANDER AREVALO GARCIA</w:t>
      </w:r>
      <w:r>
        <w:t xml:space="preserve">, en concepto de </w:t>
      </w:r>
      <w:r>
        <w:rPr>
          <w:b/>
        </w:rPr>
        <w:t xml:space="preserve">subsidio para gastos funerales, </w:t>
      </w:r>
      <w:r>
        <w:t xml:space="preserve">por la muerte de su padre don </w:t>
      </w:r>
      <w:r>
        <w:rPr>
          <w:b/>
        </w:rPr>
        <w:t>OSCAR ALBERTO ORTIZ c/p OSCAR ALBERTO AREVALO ORTIZ</w:t>
      </w:r>
      <w:r>
        <w:t xml:space="preserve">, quién  desempeñaba el cargo de Auxiliar de Mantenimiento en  </w:t>
      </w:r>
      <w:r>
        <w:lastRenderedPageBreak/>
        <w:t xml:space="preserve">esta Institución, falleció el día 12 de septiembre de 2019, en   el Hospital  Médico Quirúrgico – ISSS, San Salvador,  según partida de Defunción No. 328, asentado a página 328,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OCHO.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don </w:t>
      </w:r>
      <w:r>
        <w:rPr>
          <w:b/>
        </w:rPr>
        <w:t>JOSE ESTEBAN URRUTIA CARBALLO</w:t>
      </w:r>
      <w:r>
        <w:t xml:space="preserve">, en concepto de </w:t>
      </w:r>
      <w:r>
        <w:rPr>
          <w:b/>
        </w:rPr>
        <w:t xml:space="preserve">subsidio para gastos funerales, </w:t>
      </w:r>
      <w:r>
        <w:t xml:space="preserve">por la muerte de su madre doña Francisca Urrutia viuda de Mina, que falleció el día 27 de julio de 2019, en   el Hospital  Médico Quirúrgico y Oncológico- ISSS, San Salvador,  según partida de Defunción No. 270, asentado a página  270,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NUEVE.  </w:t>
      </w:r>
      <w:r>
        <w:t xml:space="preserve">El Concejo Municipal en uso de sus facultades legales y visto el Presupuesto para la celebración del DIA DEL NIÑO, presentado por el Jefe de Comunicaciones de esta Institución, ACUERDA: Autorizar a la </w:t>
      </w:r>
      <w:r>
        <w:rPr>
          <w:b/>
        </w:rPr>
        <w:t>Unidad de Desarrollo Municipal (UDM)</w:t>
      </w:r>
      <w:r>
        <w:t xml:space="preserve">, para </w:t>
      </w:r>
      <w:r>
        <w:rPr>
          <w:b/>
        </w:rPr>
        <w:t>elaborar perfil</w:t>
      </w:r>
      <w:r>
        <w:t xml:space="preserve"> para la </w:t>
      </w:r>
      <w:r>
        <w:rPr>
          <w:b/>
        </w:rPr>
        <w:t>CELEBRACIÓN DEL DIA DEL NIÑO</w:t>
      </w:r>
      <w:r>
        <w:t xml:space="preserve">, el cual se ejecutará con </w:t>
      </w:r>
      <w:r>
        <w:rPr>
          <w:b/>
        </w:rPr>
        <w:t>fondos FODES 75%.</w:t>
      </w:r>
      <w:r>
        <w:t xml:space="preserve"> Cabe mencionar que el presupuesto presentado por el Jefe de Comunicaciones, tiene un monto de  </w:t>
      </w:r>
      <w:r>
        <w:rPr>
          <w:b/>
        </w:rPr>
        <w:t>$ 5,940.00.</w:t>
      </w:r>
      <w:r>
        <w:t xml:space="preserve"> COMUNIQUESE. </w:t>
      </w:r>
      <w:r>
        <w:rPr>
          <w:b/>
          <w:sz w:val="22"/>
          <w:szCs w:val="22"/>
        </w:rPr>
        <w:t xml:space="preserve">ACUERDO NÚMERO DIEZ. </w:t>
      </w:r>
      <w:r>
        <w:rPr>
          <w:sz w:val="22"/>
          <w:szCs w:val="22"/>
        </w:rPr>
        <w:t xml:space="preserve">Vista la </w:t>
      </w:r>
      <w:r>
        <w:rPr>
          <w:b/>
          <w:sz w:val="22"/>
          <w:szCs w:val="22"/>
        </w:rPr>
        <w:t>ORDEN DE CAMBIO No. 1</w:t>
      </w:r>
      <w:r>
        <w:rPr>
          <w:sz w:val="22"/>
          <w:szCs w:val="22"/>
        </w:rPr>
        <w:t xml:space="preserve"> de fecha 18/septiembre/2019,  del proyecto: “</w:t>
      </w:r>
      <w:r>
        <w:rPr>
          <w:b/>
          <w:sz w:val="22"/>
          <w:szCs w:val="22"/>
        </w:rPr>
        <w:t>CONSTRUCCIÓN DE CANCHA DE BASQUETBOL Y CERCA PERIMETRAL EN LOTIFICACION SANTA ROSITA, CANTON SANTA ROSA, MUNICIPIO DE QUEZALTEPEQUE”,</w:t>
      </w:r>
      <w:r>
        <w:rPr>
          <w:sz w:val="22"/>
          <w:szCs w:val="22"/>
        </w:rPr>
        <w:t xml:space="preserve"> presentada por la  Gerencia de Desarrollo Territorial de esta Institución, en la cual solicita la aprobación de la Orden de Cambio,  que para proceder a la ampliación de la cerca perimetral con malla ciclón, debido a que en el Presupuesto, solo estaba contemplado construir una longitud aproximado de 54.30 metros lineales. Que todo  este proceso se debe a que los propietarios de los inmuebles que colindan alrededor del escenario deportivo, y que estos a su vez cuentan con sus respectivas paredes, manifestaron que la infraestructura de sus viviendas podrían verse afectadas en un futuro, cuando se realicen las actividades deportivas: POR LO QUE, solicita se autorice la construcción de la prolongación de la cerca perimetral; y así mismo un pretil con ladrillo de bloque de concreto, que no estaba contemplado en el presupuesto inicial, que tendrá una longitud aproximada de 81.60 lineales, lo cual vendrá a dar más protección a las viviendas que se encuentra alrededor de la cancha de basquetbol. </w:t>
      </w:r>
      <w:r>
        <w:rPr>
          <w:sz w:val="22"/>
          <w:szCs w:val="22"/>
        </w:rPr>
        <w:lastRenderedPageBreak/>
        <w:t>Así mismo al entorno en donde se construirá la cancha de basquetbol, el terreno fue una zona de relleno arcilloso; y para darle mayor protección al terreno se construirá el piso de concreto y una acera afuera del escenario deportivo costado sur, ambas construcciones no estaban contempladas en el Presupuesto, ya que se tenía proyectado en el presupuesto inicial, diseñar áreas verdes para hacer engramadas. POR LO QUE, solicita el Aval por parte del Concejo Municipal; y al mismo tiempo autoricen a la UFI realizar la siguiente REPROGRAMACION:</w:t>
      </w:r>
    </w:p>
    <w:tbl>
      <w:tblPr>
        <w:tblW w:w="8882" w:type="dxa"/>
        <w:tblInd w:w="108" w:type="dxa"/>
        <w:tblLayout w:type="fixed"/>
        <w:tblCellMar>
          <w:left w:w="10" w:type="dxa"/>
          <w:right w:w="10" w:type="dxa"/>
        </w:tblCellMar>
        <w:tblLook w:val="0000" w:firstRow="0" w:lastRow="0" w:firstColumn="0" w:lastColumn="0" w:noHBand="0" w:noVBand="0"/>
      </w:tblPr>
      <w:tblGrid>
        <w:gridCol w:w="4062"/>
        <w:gridCol w:w="1276"/>
        <w:gridCol w:w="1559"/>
        <w:gridCol w:w="1985"/>
      </w:tblGrid>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ind w:right="-234"/>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DESCRIPCION DEL BIEN O SERVICIO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ind w:right="-44"/>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AUMENTA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108"/>
              </w:tabs>
              <w:ind w:right="-234" w:hanging="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DISMINUYE</w:t>
            </w: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Cuartón de madera de pino de 5 varas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288.00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Clavos de acero de 1 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Cañuela metálica de 2X1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315.00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Hierro corrugado de Ǿ 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Hierro liso de Ǿ 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440.00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Electrodo 3/32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43.00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Disco de corte para corte de metal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Tierra blanca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765.00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Cemento fuerte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1,645.00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Arena de rio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955.00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Grava No.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395.00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Ladrillo de bloque de concreto entero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Ladrillo de bloque de concreto mitad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41.20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Plástico negro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Alambre de amarre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Hierro ángulo de 3/16x3” (4.76 mm)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Cubetas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5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6,810.00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5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6,810.00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2"/>
                <w:szCs w:val="22"/>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Baldes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0"/>
                <w:szCs w:val="20"/>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Barriles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0"/>
                <w:szCs w:val="20"/>
                <w:lang w:val="es-ES" w:eastAsia="en-US"/>
              </w:rPr>
            </w:pP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Caño galvanizado mediano Ǿ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1,274.00</w:t>
            </w: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Agua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176.00</w:t>
            </w: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Mano de obra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54399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2,807.00</w:t>
            </w: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Transporte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54399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1,000.00</w:t>
            </w: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Rótulo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54399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300.00</w:t>
            </w:r>
          </w:p>
        </w:tc>
      </w:tr>
      <w:tr w:rsidR="00116654" w:rsidTr="00450087">
        <w:tblPrEx>
          <w:tblCellMar>
            <w:top w:w="0" w:type="dxa"/>
            <w:bottom w:w="0" w:type="dxa"/>
          </w:tblCellMar>
        </w:tblPrEx>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Imprevistos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1,473.00</w:t>
            </w:r>
          </w:p>
        </w:tc>
      </w:tr>
      <w:tr w:rsidR="00116654" w:rsidTr="00450087">
        <w:tblPrEx>
          <w:tblCellMar>
            <w:top w:w="0" w:type="dxa"/>
            <w:bottom w:w="0" w:type="dxa"/>
          </w:tblCellMar>
        </w:tblPrEx>
        <w:tc>
          <w:tcPr>
            <w:tcW w:w="5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ind w:right="-234"/>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7,030.00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16654" w:rsidRDefault="00116654" w:rsidP="00450087">
            <w:pPr>
              <w:widowControl/>
              <w:tabs>
                <w:tab w:val="left" w:pos="0"/>
              </w:tabs>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7,030.00</w:t>
            </w:r>
          </w:p>
        </w:tc>
      </w:tr>
    </w:tbl>
    <w:p w:rsidR="00116654" w:rsidRDefault="00116654" w:rsidP="00116654">
      <w:pPr>
        <w:pStyle w:val="NormalWeb"/>
        <w:spacing w:before="0" w:line="360" w:lineRule="auto"/>
        <w:jc w:val="both"/>
      </w:pPr>
      <w:r>
        <w:rPr>
          <w:sz w:val="20"/>
          <w:szCs w:val="20"/>
        </w:rPr>
        <w:t xml:space="preserve">El Concejo Municipal en uso de sus facultades legales, ACUERDA: </w:t>
      </w:r>
      <w:r>
        <w:rPr>
          <w:b/>
          <w:bCs/>
          <w:sz w:val="20"/>
          <w:szCs w:val="20"/>
        </w:rPr>
        <w:t xml:space="preserve">Aprobar la ORDEN DE CAMBIO No. 1 </w:t>
      </w:r>
      <w:r>
        <w:rPr>
          <w:sz w:val="20"/>
          <w:szCs w:val="20"/>
        </w:rPr>
        <w:t>del proyecto: “</w:t>
      </w:r>
      <w:r>
        <w:rPr>
          <w:b/>
          <w:sz w:val="20"/>
          <w:szCs w:val="20"/>
        </w:rPr>
        <w:t xml:space="preserve">CONSTRUCCIÓN DE CANCHA DE BASQUETBOL Y CERCA PERIMETRAL EN LOTIFICACION SANTA ROSITA, CANTON SANTA ROSA, MUNICIPIO DE QUEZALTEPEQUE”, </w:t>
      </w:r>
      <w:r>
        <w:rPr>
          <w:sz w:val="20"/>
          <w:szCs w:val="20"/>
        </w:rPr>
        <w:t>y  se  Autoriza al Jefe de la Unidad Financiera Institucional, para elaborar la reprogramación Presupuestaria  respectiva</w:t>
      </w:r>
      <w:r>
        <w:rPr>
          <w:b/>
          <w:sz w:val="20"/>
          <w:szCs w:val="20"/>
        </w:rPr>
        <w:t xml:space="preserve">. </w:t>
      </w:r>
      <w:r>
        <w:rPr>
          <w:sz w:val="20"/>
          <w:szCs w:val="20"/>
        </w:rPr>
        <w:t xml:space="preserve">COMUNIQUESE. </w:t>
      </w:r>
      <w:r>
        <w:rPr>
          <w:b/>
          <w:sz w:val="20"/>
          <w:szCs w:val="20"/>
        </w:rPr>
        <w:t xml:space="preserve">ACUERDO NÚMERO ONCE. </w:t>
      </w:r>
      <w:r>
        <w:rPr>
          <w:sz w:val="20"/>
          <w:szCs w:val="20"/>
        </w:rPr>
        <w:t xml:space="preserve">El Concejo Municipal en uso de sus facultades legales, ACUERDA: Autorizar a la señora Tesorera Municipal, para que, reintegre a la </w:t>
      </w:r>
      <w:r>
        <w:rPr>
          <w:b/>
          <w:sz w:val="20"/>
          <w:szCs w:val="20"/>
        </w:rPr>
        <w:t>Encargada del Fondo Circulante de Monto Fijo</w:t>
      </w:r>
      <w:r>
        <w:rPr>
          <w:sz w:val="20"/>
          <w:szCs w:val="20"/>
        </w:rPr>
        <w:t xml:space="preserve">, doña Ingrid Marisol Escobar de García, las  </w:t>
      </w:r>
      <w:r>
        <w:rPr>
          <w:b/>
          <w:sz w:val="20"/>
          <w:szCs w:val="20"/>
        </w:rPr>
        <w:t xml:space="preserve">POLIZAS </w:t>
      </w:r>
      <w:r>
        <w:rPr>
          <w:b/>
          <w:sz w:val="20"/>
          <w:szCs w:val="20"/>
          <w:u w:val="single"/>
        </w:rPr>
        <w:t>No. 23/2019</w:t>
      </w:r>
      <w:r>
        <w:rPr>
          <w:b/>
          <w:sz w:val="20"/>
          <w:szCs w:val="20"/>
        </w:rPr>
        <w:t xml:space="preserve">, </w:t>
      </w:r>
      <w:r>
        <w:rPr>
          <w:sz w:val="20"/>
          <w:szCs w:val="20"/>
        </w:rPr>
        <w:t xml:space="preserve"> que</w:t>
      </w:r>
      <w:r>
        <w:rPr>
          <w:b/>
          <w:sz w:val="20"/>
          <w:szCs w:val="20"/>
        </w:rPr>
        <w:t xml:space="preserve"> </w:t>
      </w:r>
      <w:r>
        <w:rPr>
          <w:sz w:val="20"/>
          <w:szCs w:val="20"/>
        </w:rPr>
        <w:t xml:space="preserve">ampara </w:t>
      </w:r>
      <w:r>
        <w:rPr>
          <w:b/>
          <w:bCs/>
          <w:sz w:val="20"/>
          <w:szCs w:val="20"/>
        </w:rPr>
        <w:t xml:space="preserve">comprobantes del  03 al 12 de septiembre de 2019, </w:t>
      </w:r>
      <w:r>
        <w:rPr>
          <w:bCs/>
          <w:sz w:val="20"/>
          <w:szCs w:val="20"/>
        </w:rPr>
        <w:t xml:space="preserve"> por  el monto total  </w:t>
      </w:r>
      <w:r>
        <w:rPr>
          <w:b/>
          <w:bCs/>
          <w:sz w:val="20"/>
          <w:szCs w:val="20"/>
        </w:rPr>
        <w:t>$</w:t>
      </w:r>
      <w:r>
        <w:rPr>
          <w:bCs/>
          <w:sz w:val="20"/>
          <w:szCs w:val="20"/>
        </w:rPr>
        <w:t xml:space="preserve"> 953.30</w:t>
      </w:r>
      <w:r>
        <w:rPr>
          <w:b/>
          <w:bCs/>
          <w:sz w:val="20"/>
          <w:szCs w:val="20"/>
        </w:rPr>
        <w:t xml:space="preserve">;  </w:t>
      </w:r>
      <w:r>
        <w:rPr>
          <w:bCs/>
          <w:sz w:val="20"/>
          <w:szCs w:val="20"/>
        </w:rPr>
        <w:t xml:space="preserve">menos la cantidad de </w:t>
      </w:r>
      <w:r>
        <w:rPr>
          <w:b/>
          <w:bCs/>
          <w:sz w:val="20"/>
          <w:szCs w:val="20"/>
        </w:rPr>
        <w:t>$</w:t>
      </w:r>
      <w:r>
        <w:rPr>
          <w:bCs/>
          <w:sz w:val="20"/>
          <w:szCs w:val="20"/>
        </w:rPr>
        <w:t xml:space="preserve"> </w:t>
      </w:r>
      <w:r>
        <w:rPr>
          <w:b/>
          <w:bCs/>
          <w:sz w:val="20"/>
          <w:szCs w:val="20"/>
        </w:rPr>
        <w:t xml:space="preserve">46.91 </w:t>
      </w:r>
      <w:r>
        <w:rPr>
          <w:b/>
          <w:bCs/>
          <w:sz w:val="20"/>
          <w:szCs w:val="20"/>
        </w:rPr>
        <w:lastRenderedPageBreak/>
        <w:t>que corresponde al descuento de renta</w:t>
      </w:r>
      <w:r>
        <w:rPr>
          <w:bCs/>
          <w:sz w:val="20"/>
          <w:szCs w:val="20"/>
        </w:rPr>
        <w:t xml:space="preserve">; siendo el líquido a reintegrar por la cantidad de  </w:t>
      </w:r>
      <w:r>
        <w:rPr>
          <w:b/>
          <w:bCs/>
          <w:sz w:val="20"/>
          <w:szCs w:val="20"/>
        </w:rPr>
        <w:t xml:space="preserve">$ 906.39. </w:t>
      </w:r>
      <w:r>
        <w:rPr>
          <w:bCs/>
          <w:sz w:val="20"/>
          <w:szCs w:val="20"/>
        </w:rPr>
        <w:t>COMUNIQUESE</w:t>
      </w:r>
      <w:r>
        <w:rPr>
          <w:bCs/>
          <w:sz w:val="22"/>
          <w:szCs w:val="22"/>
        </w:rPr>
        <w:t xml:space="preserve">. </w:t>
      </w:r>
      <w:r>
        <w:rPr>
          <w:b/>
          <w:sz w:val="22"/>
          <w:szCs w:val="22"/>
        </w:rPr>
        <w:t xml:space="preserve">ACUERDO NÚMERO DOCE. </w:t>
      </w:r>
      <w:r>
        <w:rPr>
          <w:sz w:val="22"/>
          <w:szCs w:val="22"/>
        </w:rPr>
        <w:t xml:space="preserve">Con el propósito de atender las demandas que presenta la ciudadanía, las ADESCOS, Centros Escolares, ante la falta de recipientes, depósitos contenedores de desechos sólidos, los cuales solicitan que se ubiquen en colonias, zonas verdes, lugares en los cuales es necesario instalar basureros, para que las personas depositen la basura en su lugar. El Concejo Municipal en uso de sus facultades legales y en a </w:t>
      </w:r>
      <w:r>
        <w:rPr>
          <w:sz w:val="20"/>
          <w:szCs w:val="20"/>
        </w:rPr>
        <w:t>tención a solicitud presentada por el Gerente de Servicios Municipales de esta Institución, ACUERDA: Aprobar el  “</w:t>
      </w:r>
      <w:r>
        <w:rPr>
          <w:b/>
          <w:sz w:val="20"/>
          <w:szCs w:val="20"/>
        </w:rPr>
        <w:t>PLAN YO DEPOSITO LA BASURA EN SU LUGAR</w:t>
      </w:r>
      <w:r>
        <w:rPr>
          <w:sz w:val="20"/>
          <w:szCs w:val="20"/>
        </w:rPr>
        <w:t xml:space="preserve">”, por un monto de </w:t>
      </w:r>
      <w:r>
        <w:rPr>
          <w:b/>
          <w:sz w:val="20"/>
          <w:szCs w:val="20"/>
        </w:rPr>
        <w:t>$ 8,290.00</w:t>
      </w:r>
      <w:r>
        <w:rPr>
          <w:sz w:val="20"/>
          <w:szCs w:val="20"/>
        </w:rPr>
        <w:t xml:space="preserve">, que será ejecutado con fondos </w:t>
      </w:r>
      <w:r>
        <w:rPr>
          <w:b/>
          <w:sz w:val="20"/>
          <w:szCs w:val="20"/>
        </w:rPr>
        <w:t xml:space="preserve">FODES 75%; </w:t>
      </w:r>
      <w:r>
        <w:rPr>
          <w:sz w:val="20"/>
          <w:szCs w:val="20"/>
        </w:rPr>
        <w:t>Por lo que, se autoriza a la UACI para que, de conformidad a lo establecido en la LACAP, realice las gestiones pertinentes para efectuar la compra de recipientes que serán utilizados en dicho Plan. COMUNIQUESE.</w:t>
      </w:r>
      <w:r>
        <w:rPr>
          <w:sz w:val="22"/>
          <w:szCs w:val="22"/>
        </w:rPr>
        <w:t xml:space="preserve"> </w:t>
      </w:r>
      <w:r>
        <w:rPr>
          <w:b/>
          <w:sz w:val="22"/>
          <w:szCs w:val="22"/>
        </w:rPr>
        <w:t>ACUERDO NÚMERO TRECE.</w:t>
      </w:r>
      <w:r>
        <w:rPr>
          <w:b/>
        </w:rPr>
        <w:t xml:space="preserve"> </w:t>
      </w:r>
      <w:r>
        <w:rPr>
          <w:sz w:val="18"/>
          <w:szCs w:val="18"/>
        </w:rPr>
        <w:t xml:space="preserve">El Concejo Municipal en uso de sus facultades legales y en atención a solicitud presentada por el Jefe de la UACI de esta Institución, ACUERDA: Autorizar a la señora Tesorera Municipal, para emitir cheques a nombre de </w:t>
      </w:r>
      <w:r>
        <w:rPr>
          <w:b/>
          <w:sz w:val="18"/>
          <w:szCs w:val="18"/>
        </w:rPr>
        <w:t xml:space="preserve">HERBERTH ERNESTO SOSA MARIN, </w:t>
      </w:r>
      <w:r>
        <w:rPr>
          <w:sz w:val="18"/>
          <w:szCs w:val="18"/>
        </w:rPr>
        <w:t xml:space="preserve">de las siguientes cuentas:  </w:t>
      </w:r>
      <w:r>
        <w:rPr>
          <w:b/>
          <w:sz w:val="18"/>
          <w:szCs w:val="18"/>
        </w:rPr>
        <w:t>I)</w:t>
      </w:r>
      <w:r>
        <w:rPr>
          <w:sz w:val="18"/>
          <w:szCs w:val="18"/>
        </w:rPr>
        <w:t xml:space="preserve"> De la </w:t>
      </w:r>
      <w:r>
        <w:rPr>
          <w:b/>
          <w:sz w:val="18"/>
          <w:szCs w:val="18"/>
        </w:rPr>
        <w:t>Cuenta Corriente # 577-001899-7</w:t>
      </w:r>
      <w:r>
        <w:rPr>
          <w:sz w:val="18"/>
          <w:szCs w:val="18"/>
        </w:rPr>
        <w:t xml:space="preserve">, del Banco Agrícola, S. A, denominada: </w:t>
      </w:r>
      <w:r>
        <w:rPr>
          <w:b/>
          <w:sz w:val="18"/>
          <w:szCs w:val="18"/>
        </w:rPr>
        <w:t>TESORERIA MUNICIPAL DE QUEZALTEPEQUE, FODES 75%,</w:t>
      </w:r>
      <w:r>
        <w:rPr>
          <w:sz w:val="18"/>
          <w:szCs w:val="18"/>
        </w:rPr>
        <w:t xml:space="preserve"> por la cantidad de </w:t>
      </w:r>
      <w:r>
        <w:rPr>
          <w:b/>
          <w:sz w:val="18"/>
          <w:szCs w:val="18"/>
        </w:rPr>
        <w:t>$ 100.00</w:t>
      </w:r>
      <w:r>
        <w:rPr>
          <w:sz w:val="18"/>
          <w:szCs w:val="18"/>
        </w:rPr>
        <w:t xml:space="preserve">, para pagar contra entrega de servicio, por sondeo de radiador de equipo # 35, multiusos placa N 6575, y Reparación de pala de Bobcat, equipo No. 42;  y </w:t>
      </w:r>
      <w:r>
        <w:rPr>
          <w:b/>
          <w:sz w:val="18"/>
          <w:szCs w:val="18"/>
        </w:rPr>
        <w:t xml:space="preserve">II) </w:t>
      </w:r>
      <w:r>
        <w:rPr>
          <w:sz w:val="18"/>
          <w:szCs w:val="18"/>
        </w:rPr>
        <w:t xml:space="preserve">De la </w:t>
      </w:r>
      <w:r>
        <w:rPr>
          <w:b/>
          <w:sz w:val="18"/>
          <w:szCs w:val="18"/>
        </w:rPr>
        <w:t>Cuenta Corriente # 577-001900-5</w:t>
      </w:r>
      <w:r>
        <w:rPr>
          <w:sz w:val="18"/>
          <w:szCs w:val="18"/>
        </w:rPr>
        <w:t xml:space="preserve">, del Banco Agrícola, S. A, denominada: </w:t>
      </w:r>
      <w:r>
        <w:rPr>
          <w:b/>
          <w:sz w:val="18"/>
          <w:szCs w:val="18"/>
        </w:rPr>
        <w:t xml:space="preserve">TESORERIA MUNICIPAL DE QUEZALTEPEQUE, FODES 25%, </w:t>
      </w:r>
      <w:r>
        <w:rPr>
          <w:sz w:val="18"/>
          <w:szCs w:val="18"/>
        </w:rPr>
        <w:t xml:space="preserve">emita cheque a nombre del referido señor, por la cantidad de </w:t>
      </w:r>
      <w:r>
        <w:rPr>
          <w:b/>
          <w:sz w:val="18"/>
          <w:szCs w:val="18"/>
        </w:rPr>
        <w:t>$ 50.00</w:t>
      </w:r>
      <w:r>
        <w:rPr>
          <w:sz w:val="18"/>
          <w:szCs w:val="18"/>
        </w:rPr>
        <w:t>, para pagar contra entrega de servicio, por la reparación de pick up de protección civil, placa N 16863. Los cheques serán amparados por los recibos que don Herberth Ernesto Sosa Marín, emita cuando se realice el pago de sus servicios. Se autoriza a la Unidad Financiera Institucional, para aplicar el específico Presupuestarios correspondiente. COMUNIQUESE. Y no habiendo más que hacer constar en la presente acta, se dá por terminada y firmamos.</w:t>
      </w:r>
      <w:r>
        <w:rPr>
          <w:sz w:val="18"/>
          <w:szCs w:val="18"/>
          <w:lang w:val="es-MX"/>
        </w:rPr>
        <w:t xml:space="preserve">  </w:t>
      </w:r>
    </w:p>
    <w:p w:rsidR="00116654" w:rsidRDefault="00116654" w:rsidP="00116654">
      <w:pPr>
        <w:pStyle w:val="Standard"/>
        <w:spacing w:before="280"/>
        <w:rPr>
          <w:lang w:val="es-MX"/>
        </w:rPr>
      </w:pPr>
    </w:p>
    <w:p w:rsidR="00116654" w:rsidRDefault="00116654" w:rsidP="00116654">
      <w:pPr>
        <w:pStyle w:val="Standard"/>
        <w:spacing w:before="280"/>
        <w:ind w:left="-142"/>
        <w:jc w:val="center"/>
      </w:pPr>
      <w:r>
        <w:rPr>
          <w:lang w:val="es-MX"/>
        </w:rPr>
        <w:t xml:space="preserve">LIC. SALVADOR ENRIQUE SAGET FIGUEROA                                                                                                                      </w:t>
      </w:r>
      <w:r>
        <w:rPr>
          <w:sz w:val="20"/>
          <w:szCs w:val="20"/>
          <w:lang w:val="es-MX"/>
        </w:rPr>
        <w:t>ALCALDE MUNICIPAL</w:t>
      </w:r>
    </w:p>
    <w:p w:rsidR="00116654" w:rsidRDefault="00116654" w:rsidP="00116654">
      <w:pPr>
        <w:pStyle w:val="Standard"/>
        <w:spacing w:before="280"/>
      </w:pPr>
    </w:p>
    <w:p w:rsidR="00116654" w:rsidRDefault="00116654" w:rsidP="00116654">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116654" w:rsidRDefault="00116654" w:rsidP="00116654">
      <w:pPr>
        <w:pStyle w:val="NormalWeb"/>
        <w:spacing w:before="0" w:after="0"/>
        <w:ind w:left="-142"/>
        <w:rPr>
          <w:sz w:val="20"/>
          <w:szCs w:val="20"/>
          <w:lang w:val="es-MX"/>
        </w:rPr>
      </w:pPr>
      <w:r>
        <w:rPr>
          <w:sz w:val="20"/>
          <w:szCs w:val="20"/>
          <w:lang w:val="es-MX"/>
        </w:rPr>
        <w:t xml:space="preserve">                   SINDICA  MUNICIPAL                                                                 PRIMER   REGIDOR</w:t>
      </w:r>
    </w:p>
    <w:p w:rsidR="00116654" w:rsidRDefault="00116654" w:rsidP="00116654">
      <w:pPr>
        <w:pStyle w:val="NormalWeb"/>
        <w:spacing w:after="0"/>
        <w:ind w:left="709" w:hanging="709"/>
        <w:rPr>
          <w:sz w:val="18"/>
          <w:szCs w:val="18"/>
          <w:lang w:val="es-MX"/>
        </w:rPr>
      </w:pPr>
    </w:p>
    <w:p w:rsidR="00116654" w:rsidRDefault="00116654" w:rsidP="00116654">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116654" w:rsidRDefault="00116654" w:rsidP="00116654">
      <w:pPr>
        <w:pStyle w:val="NormalWeb"/>
        <w:spacing w:after="0"/>
        <w:rPr>
          <w:lang w:val="es-MX"/>
        </w:rPr>
      </w:pPr>
    </w:p>
    <w:p w:rsidR="00116654" w:rsidRDefault="00116654" w:rsidP="00116654">
      <w:pPr>
        <w:pStyle w:val="NormalWeb"/>
        <w:spacing w:after="0"/>
        <w:rPr>
          <w:lang w:val="es-MX"/>
        </w:rPr>
      </w:pPr>
    </w:p>
    <w:p w:rsidR="00116654" w:rsidRDefault="00116654" w:rsidP="00116654">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116654" w:rsidRDefault="00116654" w:rsidP="00116654">
      <w:pPr>
        <w:pStyle w:val="NormalWeb"/>
        <w:spacing w:after="0"/>
        <w:ind w:left="851" w:hanging="851"/>
        <w:rPr>
          <w:color w:val="000000"/>
          <w:sz w:val="20"/>
          <w:szCs w:val="20"/>
          <w:lang w:val="es-MX"/>
        </w:rPr>
      </w:pPr>
    </w:p>
    <w:p w:rsidR="00116654" w:rsidRDefault="00116654" w:rsidP="00116654">
      <w:pPr>
        <w:pStyle w:val="NormalWeb"/>
        <w:spacing w:after="0"/>
        <w:rPr>
          <w:color w:val="000000"/>
          <w:sz w:val="20"/>
          <w:szCs w:val="20"/>
          <w:lang w:val="es-MX"/>
        </w:rPr>
      </w:pPr>
    </w:p>
    <w:p w:rsidR="00116654" w:rsidRDefault="00116654" w:rsidP="0011665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116654" w:rsidRDefault="00116654" w:rsidP="00116654">
      <w:pPr>
        <w:pStyle w:val="NormalWeb"/>
        <w:spacing w:after="0"/>
        <w:rPr>
          <w:color w:val="000000"/>
          <w:sz w:val="20"/>
          <w:szCs w:val="20"/>
          <w:lang w:val="es-MX"/>
        </w:rPr>
      </w:pPr>
    </w:p>
    <w:p w:rsidR="00116654" w:rsidRDefault="00116654" w:rsidP="00116654">
      <w:pPr>
        <w:pStyle w:val="NormalWeb"/>
        <w:spacing w:after="0"/>
        <w:rPr>
          <w:color w:val="000000"/>
          <w:sz w:val="20"/>
          <w:szCs w:val="20"/>
          <w:lang w:val="es-MX"/>
        </w:rPr>
      </w:pPr>
    </w:p>
    <w:p w:rsidR="00116654" w:rsidRDefault="00116654" w:rsidP="00116654">
      <w:pPr>
        <w:pStyle w:val="NormalWeb"/>
        <w:spacing w:after="0"/>
        <w:rPr>
          <w:color w:val="000000"/>
          <w:sz w:val="20"/>
          <w:szCs w:val="20"/>
          <w:lang w:val="es-MX"/>
        </w:rPr>
      </w:pPr>
    </w:p>
    <w:p w:rsidR="00116654" w:rsidRDefault="00116654" w:rsidP="0011665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116654" w:rsidRDefault="00116654" w:rsidP="0011665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116654" w:rsidRDefault="00116654" w:rsidP="00116654">
      <w:pPr>
        <w:pStyle w:val="NormalWeb"/>
        <w:spacing w:before="0" w:after="0"/>
        <w:ind w:left="851" w:hanging="851"/>
        <w:rPr>
          <w:color w:val="000000"/>
          <w:sz w:val="20"/>
          <w:szCs w:val="20"/>
          <w:lang w:val="es-MX"/>
        </w:rPr>
      </w:pPr>
    </w:p>
    <w:p w:rsidR="00116654" w:rsidRDefault="00116654" w:rsidP="00116654">
      <w:pPr>
        <w:pStyle w:val="NormalWeb"/>
        <w:spacing w:after="0"/>
        <w:ind w:left="567" w:hanging="567"/>
        <w:rPr>
          <w:color w:val="000000"/>
          <w:sz w:val="20"/>
          <w:szCs w:val="20"/>
          <w:lang w:val="es-MX"/>
        </w:rPr>
      </w:pPr>
    </w:p>
    <w:p w:rsidR="00116654" w:rsidRDefault="00116654" w:rsidP="00116654">
      <w:pPr>
        <w:pStyle w:val="NormalWeb"/>
        <w:spacing w:after="0"/>
        <w:ind w:left="567" w:hanging="567"/>
        <w:rPr>
          <w:color w:val="000000"/>
          <w:sz w:val="20"/>
          <w:szCs w:val="20"/>
          <w:lang w:val="es-MX"/>
        </w:rPr>
      </w:pPr>
    </w:p>
    <w:p w:rsidR="00116654" w:rsidRDefault="00116654" w:rsidP="00116654">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116654" w:rsidRDefault="00116654" w:rsidP="00116654">
      <w:pPr>
        <w:pStyle w:val="NormalWeb"/>
        <w:spacing w:after="0"/>
        <w:ind w:left="567" w:hanging="567"/>
        <w:rPr>
          <w:color w:val="000000"/>
          <w:sz w:val="20"/>
          <w:szCs w:val="20"/>
          <w:lang w:val="es-MX"/>
        </w:rPr>
      </w:pPr>
    </w:p>
    <w:p w:rsidR="00116654" w:rsidRDefault="00116654" w:rsidP="00116654">
      <w:pPr>
        <w:pStyle w:val="NormalWeb"/>
        <w:spacing w:after="0"/>
        <w:ind w:left="567" w:hanging="567"/>
        <w:rPr>
          <w:color w:val="000000"/>
          <w:sz w:val="20"/>
          <w:szCs w:val="20"/>
          <w:lang w:val="es-MX"/>
        </w:rPr>
      </w:pPr>
    </w:p>
    <w:p w:rsidR="00116654" w:rsidRDefault="00116654" w:rsidP="00116654">
      <w:pPr>
        <w:pStyle w:val="NormalWeb"/>
        <w:spacing w:after="0"/>
      </w:pPr>
    </w:p>
    <w:p w:rsidR="00116654" w:rsidRDefault="00116654" w:rsidP="00116654">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116654" w:rsidRDefault="00116654" w:rsidP="00116654">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116654" w:rsidRDefault="00116654" w:rsidP="00116654">
      <w:pPr>
        <w:pStyle w:val="NormalWeb"/>
        <w:tabs>
          <w:tab w:val="left" w:pos="-450"/>
        </w:tabs>
        <w:spacing w:before="0" w:after="0"/>
        <w:rPr>
          <w:color w:val="000000"/>
          <w:sz w:val="18"/>
          <w:szCs w:val="18"/>
          <w:lang w:val="es-MX"/>
        </w:rPr>
      </w:pPr>
    </w:p>
    <w:p w:rsidR="00116654" w:rsidRDefault="00116654" w:rsidP="00116654">
      <w:pPr>
        <w:pStyle w:val="NormalWeb"/>
        <w:tabs>
          <w:tab w:val="left" w:pos="-450"/>
        </w:tabs>
        <w:spacing w:before="0" w:after="0"/>
        <w:rPr>
          <w:color w:val="000000"/>
          <w:sz w:val="18"/>
          <w:szCs w:val="18"/>
          <w:lang w:val="es-MX"/>
        </w:rPr>
      </w:pPr>
    </w:p>
    <w:p w:rsidR="00116654" w:rsidRDefault="00116654" w:rsidP="00116654">
      <w:pPr>
        <w:pStyle w:val="NormalWeb"/>
        <w:tabs>
          <w:tab w:val="left" w:pos="-450"/>
        </w:tabs>
        <w:spacing w:before="0" w:after="0"/>
        <w:rPr>
          <w:color w:val="000000"/>
          <w:sz w:val="18"/>
          <w:szCs w:val="18"/>
          <w:lang w:val="es-MX"/>
        </w:rPr>
      </w:pPr>
    </w:p>
    <w:p w:rsidR="00116654" w:rsidRDefault="00116654" w:rsidP="00116654">
      <w:pPr>
        <w:pStyle w:val="NormalWeb"/>
        <w:tabs>
          <w:tab w:val="left" w:pos="-450"/>
        </w:tabs>
        <w:spacing w:before="0" w:after="0"/>
        <w:rPr>
          <w:color w:val="000000"/>
          <w:sz w:val="18"/>
          <w:szCs w:val="18"/>
          <w:lang w:val="es-MX"/>
        </w:rPr>
      </w:pPr>
    </w:p>
    <w:p w:rsidR="00116654" w:rsidRDefault="00116654" w:rsidP="00116654">
      <w:pPr>
        <w:pStyle w:val="NormalWeb"/>
        <w:tabs>
          <w:tab w:val="left" w:pos="-450"/>
        </w:tabs>
        <w:spacing w:before="0" w:after="0"/>
        <w:rPr>
          <w:color w:val="000000"/>
          <w:sz w:val="18"/>
          <w:szCs w:val="18"/>
          <w:lang w:val="es-MX"/>
        </w:rPr>
      </w:pPr>
    </w:p>
    <w:p w:rsidR="00116654" w:rsidRDefault="00116654" w:rsidP="00116654">
      <w:pPr>
        <w:pStyle w:val="NormalWeb"/>
        <w:tabs>
          <w:tab w:val="left" w:pos="-450"/>
        </w:tabs>
        <w:spacing w:before="0" w:after="0"/>
        <w:rPr>
          <w:color w:val="000000"/>
          <w:sz w:val="18"/>
          <w:szCs w:val="18"/>
          <w:lang w:val="es-MX"/>
        </w:rPr>
      </w:pPr>
    </w:p>
    <w:p w:rsidR="00116654" w:rsidRDefault="00116654" w:rsidP="00116654">
      <w:pPr>
        <w:pStyle w:val="NormalWeb"/>
        <w:tabs>
          <w:tab w:val="left" w:pos="-450"/>
        </w:tabs>
        <w:spacing w:before="0" w:after="0"/>
        <w:rPr>
          <w:color w:val="000000"/>
          <w:sz w:val="18"/>
          <w:szCs w:val="18"/>
          <w:lang w:val="es-MX"/>
        </w:rPr>
      </w:pPr>
    </w:p>
    <w:p w:rsidR="00116654" w:rsidRDefault="00116654" w:rsidP="00116654">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592A0D" w:rsidRDefault="005D4DC3" w:rsidP="00592A0D">
      <w:bookmarkStart w:id="0" w:name="_GoBack"/>
      <w:bookmarkEnd w:id="0"/>
    </w:p>
    <w:sectPr w:rsidR="005D4DC3" w:rsidRPr="00592A0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ADA" w:rsidRDefault="00480ADA">
      <w:r>
        <w:separator/>
      </w:r>
    </w:p>
  </w:endnote>
  <w:endnote w:type="continuationSeparator" w:id="0">
    <w:p w:rsidR="00480ADA" w:rsidRDefault="0048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ADA" w:rsidRDefault="00480ADA">
      <w:r>
        <w:separator/>
      </w:r>
    </w:p>
  </w:footnote>
  <w:footnote w:type="continuationSeparator" w:id="0">
    <w:p w:rsidR="00480ADA" w:rsidRDefault="00480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5C32946"/>
    <w:multiLevelType w:val="multilevel"/>
    <w:tmpl w:val="3D1822A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60468D2"/>
    <w:multiLevelType w:val="multilevel"/>
    <w:tmpl w:val="22DE1D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6"/>
  </w:num>
  <w:num w:numId="3">
    <w:abstractNumId w:val="24"/>
  </w:num>
  <w:num w:numId="4">
    <w:abstractNumId w:val="19"/>
  </w:num>
  <w:num w:numId="5">
    <w:abstractNumId w:val="15"/>
  </w:num>
  <w:num w:numId="6">
    <w:abstractNumId w:val="3"/>
  </w:num>
  <w:num w:numId="7">
    <w:abstractNumId w:val="0"/>
  </w:num>
  <w:num w:numId="8">
    <w:abstractNumId w:val="21"/>
  </w:num>
  <w:num w:numId="9">
    <w:abstractNumId w:val="5"/>
  </w:num>
  <w:num w:numId="10">
    <w:abstractNumId w:val="20"/>
  </w:num>
  <w:num w:numId="11">
    <w:abstractNumId w:val="11"/>
  </w:num>
  <w:num w:numId="12">
    <w:abstractNumId w:val="10"/>
  </w:num>
  <w:num w:numId="13">
    <w:abstractNumId w:val="4"/>
  </w:num>
  <w:num w:numId="14">
    <w:abstractNumId w:val="6"/>
  </w:num>
  <w:num w:numId="15">
    <w:abstractNumId w:val="18"/>
  </w:num>
  <w:num w:numId="16">
    <w:abstractNumId w:val="2"/>
  </w:num>
  <w:num w:numId="17">
    <w:abstractNumId w:val="7"/>
  </w:num>
  <w:num w:numId="18">
    <w:abstractNumId w:val="22"/>
  </w:num>
  <w:num w:numId="19">
    <w:abstractNumId w:val="23"/>
  </w:num>
  <w:num w:numId="20">
    <w:abstractNumId w:val="13"/>
  </w:num>
  <w:num w:numId="21">
    <w:abstractNumId w:val="17"/>
  </w:num>
  <w:num w:numId="22">
    <w:abstractNumId w:val="12"/>
  </w:num>
  <w:num w:numId="23">
    <w:abstractNumId w:val="14"/>
  </w:num>
  <w:num w:numId="24">
    <w:abstractNumId w:val="9"/>
  </w:num>
  <w:num w:numId="2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654"/>
    <w:rsid w:val="0011671F"/>
    <w:rsid w:val="00117700"/>
    <w:rsid w:val="001344F9"/>
    <w:rsid w:val="001471B0"/>
    <w:rsid w:val="001475D7"/>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05C25"/>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80ADA"/>
    <w:rsid w:val="004E5BA1"/>
    <w:rsid w:val="004F50A8"/>
    <w:rsid w:val="004F54FF"/>
    <w:rsid w:val="004F7F83"/>
    <w:rsid w:val="005157A8"/>
    <w:rsid w:val="00516E36"/>
    <w:rsid w:val="00545183"/>
    <w:rsid w:val="00547414"/>
    <w:rsid w:val="00565F12"/>
    <w:rsid w:val="00577D5F"/>
    <w:rsid w:val="00584F70"/>
    <w:rsid w:val="005869E6"/>
    <w:rsid w:val="00591B6C"/>
    <w:rsid w:val="00592A0D"/>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010C"/>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8</Pages>
  <Words>3007</Words>
  <Characters>16543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2021-05-27T20:19:00Z</dcterms:modified>
</cp:coreProperties>
</file>