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8C66" w14:textId="77777777" w:rsidR="00195064" w:rsidRDefault="00195064" w:rsidP="00195064">
      <w:pPr>
        <w:rPr>
          <w:lang w:eastAsia="en-US"/>
        </w:rPr>
      </w:pPr>
    </w:p>
    <w:p w14:paraId="3B95FEBC" w14:textId="045A33DD" w:rsidR="00BF6C8E" w:rsidRDefault="00BF6C8E" w:rsidP="00195064">
      <w:pPr>
        <w:rPr>
          <w:lang w:eastAsia="en-US"/>
        </w:rPr>
      </w:pPr>
    </w:p>
    <w:p w14:paraId="1384564B" w14:textId="56EF26C7" w:rsidR="00BF6C8E" w:rsidRDefault="00BF6C8E" w:rsidP="00195064">
      <w:pPr>
        <w:rPr>
          <w:lang w:eastAsia="en-US"/>
        </w:rPr>
      </w:pPr>
    </w:p>
    <w:p w14:paraId="0231C4ED" w14:textId="77777777" w:rsidR="006E4243" w:rsidRPr="00AB5D67" w:rsidRDefault="006E4243" w:rsidP="006E4243">
      <w:pPr>
        <w:overflowPunct w:val="0"/>
        <w:autoSpaceDE w:val="0"/>
        <w:autoSpaceDN w:val="0"/>
        <w:jc w:val="center"/>
        <w:rPr>
          <w:rFonts w:cs="Arial"/>
          <w:b/>
          <w:lang w:val="es-SV" w:eastAsia="es-SV"/>
        </w:rPr>
      </w:pPr>
      <w:r w:rsidRPr="00AB5D67">
        <w:rPr>
          <w:rFonts w:cs="Arial"/>
          <w:b/>
          <w:lang w:val="es-SV" w:eastAsia="es-SV"/>
        </w:rPr>
        <w:t>14/RES/OIR/2020</w:t>
      </w:r>
    </w:p>
    <w:p w14:paraId="4A5C6282" w14:textId="77777777" w:rsidR="006E4243" w:rsidRPr="00383E9E" w:rsidRDefault="006E4243" w:rsidP="006E4243">
      <w:pPr>
        <w:jc w:val="both"/>
        <w:rPr>
          <w:rFonts w:ascii="Calibri" w:hAnsi="Calibri" w:cs="Arial"/>
          <w:b/>
          <w:lang w:val="es-SV"/>
        </w:rPr>
      </w:pPr>
    </w:p>
    <w:p w14:paraId="553BE7B9" w14:textId="5319FA39" w:rsidR="006E4243" w:rsidRPr="00383E9E" w:rsidRDefault="006E4243" w:rsidP="006E4243">
      <w:pPr>
        <w:jc w:val="both"/>
        <w:rPr>
          <w:rFonts w:ascii="Museo Sans 300" w:hAnsi="Museo Sans 300"/>
          <w:b/>
          <w:lang w:val="es-MX"/>
        </w:rPr>
      </w:pPr>
      <w:r w:rsidRPr="00383E9E">
        <w:rPr>
          <w:rFonts w:ascii="Museo Sans 300" w:hAnsi="Museo Sans 300" w:cs="Arial"/>
          <w:lang w:val="es-SV"/>
        </w:rPr>
        <w:t xml:space="preserve">Vista la solicitud de información, del ciudadano </w:t>
      </w:r>
      <w:r>
        <w:rPr>
          <w:rFonts w:ascii="Museo Sans 300" w:hAnsi="Museo Sans 300"/>
          <w:sz w:val="22"/>
          <w:szCs w:val="22"/>
          <w:lang w:val="es-ES_tradnl"/>
        </w:rPr>
        <w:t xml:space="preserve">                                                   </w:t>
      </w:r>
      <w:r w:rsidRPr="00383E9E">
        <w:rPr>
          <w:rFonts w:ascii="Museo Sans 300" w:hAnsi="Museo Sans 300"/>
          <w:bCs/>
          <w:sz w:val="22"/>
          <w:szCs w:val="22"/>
          <w:lang w:val="es-ES"/>
        </w:rPr>
        <w:t>, Estudiante, con Documento Único de Identidad:</w:t>
      </w:r>
      <w:r>
        <w:rPr>
          <w:rFonts w:ascii="Museo Sans 300" w:hAnsi="Museo Sans 300"/>
          <w:bCs/>
          <w:sz w:val="22"/>
          <w:szCs w:val="22"/>
          <w:lang w:val="es-ES"/>
        </w:rPr>
        <w:t xml:space="preserve">                                                   </w:t>
      </w:r>
      <w:r>
        <w:rPr>
          <w:rFonts w:ascii="Museo Sans 300" w:hAnsi="Museo Sans 300"/>
          <w:bCs/>
          <w:sz w:val="22"/>
          <w:szCs w:val="22"/>
          <w:lang w:val="es-ES"/>
        </w:rPr>
        <w:t xml:space="preserve">                     </w:t>
      </w:r>
      <w:r>
        <w:rPr>
          <w:rFonts w:ascii="Museo Sans 300" w:hAnsi="Museo Sans 300"/>
          <w:bCs/>
          <w:sz w:val="22"/>
          <w:szCs w:val="22"/>
          <w:lang w:val="es-ES"/>
        </w:rPr>
        <w:t xml:space="preserve">   </w:t>
      </w:r>
      <w:r w:rsidRPr="00383E9E">
        <w:rPr>
          <w:rFonts w:ascii="Museo Sans 300" w:hAnsi="Museo Sans 300"/>
          <w:bCs/>
          <w:sz w:val="22"/>
          <w:szCs w:val="22"/>
          <w:lang w:val="es-ES_tradnl"/>
        </w:rPr>
        <w:t xml:space="preserve">, respecto a: “Solicito a PROESA (Organismo Promotor de Exportaciones e Inversiones de El Salvador) la siguiente información de su empleado </w:t>
      </w:r>
      <w:bookmarkStart w:id="0" w:name="_Hlk57294500"/>
      <w:r w:rsidRPr="00383E9E">
        <w:rPr>
          <w:rFonts w:ascii="Museo Sans 300" w:hAnsi="Museo Sans 300"/>
          <w:bCs/>
          <w:sz w:val="22"/>
          <w:szCs w:val="22"/>
          <w:lang w:val="es-ES_tradnl"/>
        </w:rPr>
        <w:t>William Eulises Soriano Herrera</w:t>
      </w:r>
      <w:bookmarkEnd w:id="0"/>
      <w:r w:rsidRPr="00383E9E">
        <w:rPr>
          <w:rFonts w:ascii="Museo Sans 300" w:hAnsi="Museo Sans 300"/>
          <w:bCs/>
          <w:sz w:val="22"/>
          <w:szCs w:val="22"/>
          <w:lang w:val="es-ES_tradnl"/>
        </w:rPr>
        <w:t xml:space="preserve">, quien se desempeña como </w:t>
      </w:r>
      <w:bookmarkStart w:id="1" w:name="_Hlk57297209"/>
      <w:r w:rsidRPr="00383E9E">
        <w:rPr>
          <w:rFonts w:ascii="Museo Sans 300" w:hAnsi="Museo Sans 300"/>
          <w:bCs/>
          <w:sz w:val="22"/>
          <w:szCs w:val="22"/>
          <w:lang w:val="es-ES_tradnl"/>
        </w:rPr>
        <w:t>Especialista en Atracción de Inversionista</w:t>
      </w:r>
      <w:bookmarkEnd w:id="1"/>
      <w:r w:rsidRPr="00383E9E">
        <w:rPr>
          <w:rFonts w:ascii="Museo Sans 300" w:hAnsi="Museo Sans 300"/>
          <w:bCs/>
          <w:sz w:val="22"/>
          <w:szCs w:val="22"/>
          <w:lang w:val="es-ES_tradnl"/>
        </w:rPr>
        <w:t>: Horario de entrada y de salida, Marcación de entrada y salida o bitácoras (según el caso), Monto de salario ganado desde su inicio a la actualidad, Bonos, Horas extras, Viáticos, Dadivas, Llegadas tardías, Prestaciones extras, Descuentos realizados a su salario, Registros de faltas cometidas, Permisos y viajes”.</w:t>
      </w:r>
      <w:r w:rsidRPr="00383E9E">
        <w:rPr>
          <w:rFonts w:ascii="Museo Sans 300" w:hAnsi="Museo Sans 300" w:cs="Arial"/>
          <w:lang w:val="es-SV"/>
        </w:rPr>
        <w:t xml:space="preserve"> 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información; y </w:t>
      </w:r>
      <w:r w:rsidRPr="00383E9E">
        <w:rPr>
          <w:rFonts w:ascii="Museo Sans 300" w:hAnsi="Museo Sans 300" w:cs="Arial"/>
          <w:bCs/>
          <w:lang w:val="es-SV"/>
        </w:rPr>
        <w:t>CONCIDERANDO:</w:t>
      </w:r>
      <w:r w:rsidRPr="00383E9E">
        <w:rPr>
          <w:rFonts w:ascii="Museo Sans 300" w:hAnsi="Museo Sans 300" w:cs="Arial"/>
          <w:lang w:val="es-SV"/>
        </w:rPr>
        <w:t xml:space="preserve"> </w:t>
      </w:r>
    </w:p>
    <w:p w14:paraId="76359486" w14:textId="77777777" w:rsidR="006E4243" w:rsidRPr="00383E9E" w:rsidRDefault="006E4243" w:rsidP="006E4243">
      <w:pPr>
        <w:jc w:val="both"/>
        <w:rPr>
          <w:rFonts w:ascii="Museo Sans 300" w:hAnsi="Museo Sans 300"/>
          <w:b/>
          <w:lang w:val="es-MX"/>
        </w:rPr>
      </w:pPr>
    </w:p>
    <w:p w14:paraId="008FBD3D" w14:textId="77777777" w:rsidR="006E4243" w:rsidRPr="00383E9E" w:rsidRDefault="006E4243" w:rsidP="006E4243">
      <w:pPr>
        <w:numPr>
          <w:ilvl w:val="0"/>
          <w:numId w:val="9"/>
        </w:numPr>
        <w:contextualSpacing/>
        <w:jc w:val="both"/>
        <w:rPr>
          <w:rFonts w:ascii="Museo Sans 300" w:hAnsi="Museo Sans 300"/>
          <w:b/>
          <w:lang w:val="es-MX"/>
        </w:rPr>
      </w:pPr>
      <w:r w:rsidRPr="00383E9E">
        <w:rPr>
          <w:rFonts w:ascii="Museo Sans 300" w:hAnsi="Museo Sans 300"/>
          <w:lang w:val="es-MX"/>
        </w:rPr>
        <w:t>Que el artículo 6 literal a) y b) de la ley de Acceso a la Información Pública (LAIP) la cual considera datos personales y datos personales sensibles los que corresponden a una persona</w:t>
      </w:r>
      <w:r>
        <w:rPr>
          <w:rFonts w:ascii="Museo Sans 300" w:hAnsi="Museo Sans 300"/>
          <w:lang w:val="es-MX"/>
        </w:rPr>
        <w:t>,</w:t>
      </w:r>
      <w:r w:rsidRPr="00383E9E">
        <w:rPr>
          <w:rFonts w:ascii="Museo Sans 300" w:hAnsi="Museo Sans 300"/>
          <w:lang w:val="es-MX"/>
        </w:rPr>
        <w:t xml:space="preserve"> resguardando su protección a la vida privada o intimidad personal, cuya divulgación puede dañar, causar algún perjuicio o provocar discriminación al titular de la información, en relación con el art 28 del mismo cuerpo legal es que se prohíbe la divulgar de tal información.</w:t>
      </w:r>
    </w:p>
    <w:p w14:paraId="255B77A5" w14:textId="77777777" w:rsidR="006E4243" w:rsidRPr="00383E9E" w:rsidRDefault="006E4243" w:rsidP="006E4243">
      <w:pPr>
        <w:numPr>
          <w:ilvl w:val="0"/>
          <w:numId w:val="9"/>
        </w:numPr>
        <w:contextualSpacing/>
        <w:jc w:val="both"/>
        <w:rPr>
          <w:rFonts w:ascii="Museo Sans 300" w:hAnsi="Museo Sans 300"/>
          <w:b/>
          <w:lang w:val="es-SV"/>
        </w:rPr>
      </w:pPr>
      <w:r w:rsidRPr="00383E9E">
        <w:rPr>
          <w:rFonts w:ascii="Museo Sans 300" w:hAnsi="Museo Sans 300"/>
          <w:lang w:val="es-MX"/>
        </w:rPr>
        <w:t xml:space="preserve">El mismo artículo 6 literal f), establece “Información Confidencial”: es aquella información privada en poder del Estado cuyo acceso público se prohíbe por mandato constitucional o legal en razón de un interés personal jurídicamente protegido. Haciendo énfasis al </w:t>
      </w:r>
      <w:r w:rsidRPr="00383E9E">
        <w:rPr>
          <w:rFonts w:ascii="Museo Sans 300" w:hAnsi="Museo Sans 300"/>
          <w:lang w:val="es-SV"/>
        </w:rPr>
        <w:t>consentimiento de los individuos para su difusión"; y según artículo 25 de la precitada Ley, el cual hace referencia al Consentimiento de la divulgación: "Los entes obligados no proporcionarán información confidencial sin que medie el consentimiento expreso y libre del titular de la misma"; en atención a lo anterior se encuentra circunscrito dentro de la información confidencial, por tanto, la misma debe ser resguardada y custodiada por la Unidad encargada.</w:t>
      </w:r>
    </w:p>
    <w:p w14:paraId="45AF4C43" w14:textId="77777777" w:rsidR="006E4243" w:rsidRPr="006E4243" w:rsidRDefault="006E4243" w:rsidP="006E4243">
      <w:pPr>
        <w:numPr>
          <w:ilvl w:val="0"/>
          <w:numId w:val="9"/>
        </w:numPr>
        <w:contextualSpacing/>
        <w:jc w:val="both"/>
        <w:rPr>
          <w:rFonts w:ascii="Museo Sans 300" w:hAnsi="Museo Sans 300"/>
          <w:b/>
          <w:lang w:val="es-SV"/>
        </w:rPr>
      </w:pPr>
      <w:r w:rsidRPr="00383E9E">
        <w:rPr>
          <w:rFonts w:ascii="Museo Sans 300" w:hAnsi="Museo Sans 300"/>
          <w:lang w:val="es-SV"/>
        </w:rPr>
        <w:t>Es importante expresar que la información confidencial atiende a la protección de datos que por su naturaleza jurídica no pueden ser divulgados públicamente por los Entes Obligados que resguardan la misma, ya que ello implicaría la vulneración de derechos a la</w:t>
      </w:r>
      <w:r>
        <w:rPr>
          <w:rFonts w:ascii="Museo Sans 300" w:hAnsi="Museo Sans 300"/>
          <w:lang w:val="es-SV"/>
        </w:rPr>
        <w:t>s</w:t>
      </w:r>
      <w:r w:rsidRPr="00383E9E">
        <w:rPr>
          <w:rFonts w:ascii="Museo Sans 300" w:hAnsi="Museo Sans 300"/>
          <w:lang w:val="es-SV"/>
        </w:rPr>
        <w:t xml:space="preserve"> persona</w:t>
      </w:r>
      <w:r>
        <w:rPr>
          <w:rFonts w:ascii="Museo Sans 300" w:hAnsi="Museo Sans 300"/>
          <w:lang w:val="es-SV"/>
        </w:rPr>
        <w:t>s</w:t>
      </w:r>
      <w:r w:rsidRPr="00383E9E">
        <w:rPr>
          <w:rFonts w:ascii="Museo Sans 300" w:hAnsi="Museo Sans 300"/>
          <w:lang w:val="es-SV"/>
        </w:rPr>
        <w:t xml:space="preserve"> natural</w:t>
      </w:r>
      <w:r>
        <w:rPr>
          <w:rFonts w:ascii="Museo Sans 300" w:hAnsi="Museo Sans 300"/>
          <w:lang w:val="es-SV"/>
        </w:rPr>
        <w:t>es</w:t>
      </w:r>
      <w:r w:rsidRPr="00383E9E">
        <w:rPr>
          <w:rFonts w:ascii="Museo Sans 300" w:hAnsi="Museo Sans 300"/>
          <w:lang w:val="es-SV"/>
        </w:rPr>
        <w:t xml:space="preserve"> y jurídica</w:t>
      </w:r>
      <w:r>
        <w:rPr>
          <w:rFonts w:ascii="Museo Sans 300" w:hAnsi="Museo Sans 300"/>
          <w:lang w:val="es-SV"/>
        </w:rPr>
        <w:t>s</w:t>
      </w:r>
      <w:r w:rsidRPr="00383E9E">
        <w:rPr>
          <w:rFonts w:ascii="Museo Sans 300" w:hAnsi="Museo Sans 300"/>
          <w:lang w:val="es-SV"/>
        </w:rPr>
        <w:t xml:space="preserve"> cuya información se encuentra en resguardo, razón por la cual, la Administración Pública ostenta la obligación de garantizar la protección de datos confidenciales y sensibles de personas naturales y jurídicas, situación que motiva la denegatoria en parte a lo solicitado, ya que la misma requiere información que jurídicamente es de carácter </w:t>
      </w:r>
      <w:r w:rsidRPr="006E4243">
        <w:rPr>
          <w:rFonts w:ascii="Museo Sans 300" w:hAnsi="Museo Sans 300"/>
          <w:lang w:val="es-SV"/>
        </w:rPr>
        <w:t>confidencial</w:t>
      </w:r>
      <w:r w:rsidRPr="006E4243">
        <w:rPr>
          <w:rFonts w:ascii="Cambria" w:eastAsia="MS Mincho" w:hAnsi="Cambria"/>
        </w:rPr>
        <w:t xml:space="preserve"> , </w:t>
      </w:r>
      <w:r w:rsidRPr="006E4243">
        <w:rPr>
          <w:rFonts w:ascii="Museo Sans 300" w:hAnsi="Museo Sans 300"/>
          <w:lang w:val="es-SV"/>
        </w:rPr>
        <w:t xml:space="preserve">por lo que el suscrito, </w:t>
      </w:r>
      <w:r w:rsidRPr="006E4243">
        <w:rPr>
          <w:rFonts w:ascii="Museo Sans 300" w:hAnsi="Museo Sans 300"/>
          <w:bCs/>
          <w:lang w:val="es-SV"/>
        </w:rPr>
        <w:t>RESUELVE:</w:t>
      </w:r>
      <w:r w:rsidRPr="006E4243">
        <w:rPr>
          <w:rFonts w:ascii="Museo Sans 300" w:hAnsi="Museo Sans 300"/>
          <w:lang w:val="es-SV"/>
        </w:rPr>
        <w:t xml:space="preserve"> Entregar la información según lo proporcionado por la unidad generadora de la información; hago de su conocimiento que el cargo del señor William Eulises Soriano Herrera es de </w:t>
      </w:r>
    </w:p>
    <w:p w14:paraId="413B1D5B" w14:textId="77777777" w:rsidR="006E4243" w:rsidRDefault="006E4243" w:rsidP="006E4243">
      <w:pPr>
        <w:ind w:left="720"/>
        <w:contextualSpacing/>
        <w:jc w:val="both"/>
        <w:rPr>
          <w:rFonts w:ascii="Museo Sans 300" w:hAnsi="Museo Sans 300"/>
          <w:b/>
          <w:lang w:val="es-SV"/>
        </w:rPr>
      </w:pPr>
    </w:p>
    <w:p w14:paraId="61091A3A" w14:textId="77777777" w:rsidR="006E4243" w:rsidRDefault="006E4243" w:rsidP="006E4243">
      <w:pPr>
        <w:ind w:left="720"/>
        <w:contextualSpacing/>
        <w:jc w:val="both"/>
        <w:rPr>
          <w:rFonts w:ascii="Museo Sans 300" w:hAnsi="Museo Sans 300"/>
          <w:b/>
          <w:lang w:val="es-SV"/>
        </w:rPr>
      </w:pPr>
    </w:p>
    <w:p w14:paraId="72C50917" w14:textId="77777777" w:rsidR="006E4243" w:rsidRDefault="006E4243" w:rsidP="006E4243">
      <w:pPr>
        <w:ind w:left="720"/>
        <w:contextualSpacing/>
        <w:jc w:val="both"/>
        <w:rPr>
          <w:rFonts w:ascii="Museo Sans 300" w:hAnsi="Museo Sans 300"/>
          <w:b/>
          <w:lang w:val="es-SV"/>
        </w:rPr>
      </w:pPr>
    </w:p>
    <w:p w14:paraId="2A445303" w14:textId="77777777" w:rsidR="006E4243" w:rsidRDefault="006E4243" w:rsidP="006E4243">
      <w:pPr>
        <w:ind w:left="720"/>
        <w:contextualSpacing/>
        <w:jc w:val="both"/>
        <w:rPr>
          <w:rFonts w:ascii="Museo Sans 300" w:hAnsi="Museo Sans 300"/>
          <w:b/>
          <w:lang w:val="es-SV"/>
        </w:rPr>
      </w:pPr>
    </w:p>
    <w:p w14:paraId="78C9AF33" w14:textId="0BFAA97A" w:rsidR="006E4243" w:rsidRPr="006E4243" w:rsidRDefault="006E4243" w:rsidP="006E4243">
      <w:pPr>
        <w:ind w:left="720"/>
        <w:contextualSpacing/>
        <w:jc w:val="both"/>
        <w:rPr>
          <w:rFonts w:ascii="Museo Sans 300" w:hAnsi="Museo Sans 300"/>
          <w:b/>
          <w:lang w:val="es-SV"/>
        </w:rPr>
      </w:pPr>
      <w:r w:rsidRPr="006E4243">
        <w:rPr>
          <w:rFonts w:ascii="Museo Sans 300" w:hAnsi="Museo Sans 300"/>
          <w:lang w:val="es-SV"/>
        </w:rPr>
        <w:t>Especialista en Promoción de Inversiones y no como lo ha establecido en la solicitud de información presentada: “Especialista en Atracción de Inversionista”.</w:t>
      </w:r>
    </w:p>
    <w:p w14:paraId="6C5340DE" w14:textId="77777777" w:rsidR="006E4243" w:rsidRPr="00383E9E" w:rsidRDefault="006E4243" w:rsidP="006E4243">
      <w:pPr>
        <w:ind w:left="720"/>
        <w:contextualSpacing/>
        <w:jc w:val="both"/>
        <w:rPr>
          <w:rFonts w:ascii="Museo Sans 300" w:hAnsi="Museo Sans 300"/>
          <w:b/>
          <w:lang w:val="es-SV"/>
        </w:rPr>
      </w:pPr>
    </w:p>
    <w:p w14:paraId="50EC82E7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 xml:space="preserve">Horario de entrada y de salida: Horario según reglamento interno, información pública en página de gobierno abierto: </w:t>
      </w:r>
      <w:bookmarkStart w:id="2" w:name="_Hlk57199212"/>
      <w:r w:rsidRPr="00383E9E">
        <w:rPr>
          <w:rFonts w:ascii="Museo Sans 300" w:hAnsi="Museo Sans 300" w:cs="Arial"/>
          <w:b/>
          <w:lang w:val="es-ES"/>
        </w:rPr>
        <w:fldChar w:fldCharType="begin"/>
      </w:r>
      <w:r w:rsidRPr="00383E9E">
        <w:rPr>
          <w:rFonts w:ascii="Museo Sans 300" w:hAnsi="Museo Sans 300" w:cs="Arial"/>
          <w:lang w:val="es-ES"/>
        </w:rPr>
        <w:instrText xml:space="preserve"> HYPERLINK "https://www.transparencia.gob.sv/institutions/proesa/documents/manuales-basicos-de-organizacion" </w:instrText>
      </w:r>
      <w:r w:rsidRPr="00383E9E">
        <w:rPr>
          <w:rFonts w:ascii="Museo Sans 300" w:hAnsi="Museo Sans 300" w:cs="Arial"/>
          <w:b/>
          <w:lang w:val="es-ES"/>
        </w:rPr>
        <w:fldChar w:fldCharType="separate"/>
      </w:r>
      <w:r w:rsidRPr="00383E9E">
        <w:rPr>
          <w:rFonts w:ascii="Museo Sans 300" w:hAnsi="Museo Sans 300" w:cs="Arial"/>
          <w:color w:val="0000FF"/>
          <w:u w:val="single"/>
          <w:lang w:val="es-ES"/>
        </w:rPr>
        <w:t>https://www.transparencia.gob.sv/institutions/proesa/documents/manuales-basicos-de-organizacion</w:t>
      </w:r>
      <w:r w:rsidRPr="00383E9E">
        <w:rPr>
          <w:rFonts w:ascii="Museo Sans 300" w:hAnsi="Museo Sans 300" w:cs="Arial"/>
          <w:b/>
          <w:lang w:val="es-ES"/>
        </w:rPr>
        <w:fldChar w:fldCharType="end"/>
      </w:r>
      <w:r w:rsidRPr="00383E9E">
        <w:rPr>
          <w:rFonts w:ascii="Museo Sans 300" w:hAnsi="Museo Sans 300" w:cs="Arial"/>
          <w:lang w:val="es-ES"/>
        </w:rPr>
        <w:t xml:space="preserve"> </w:t>
      </w:r>
      <w:bookmarkEnd w:id="2"/>
    </w:p>
    <w:p w14:paraId="1C66B44F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 xml:space="preserve">Marcación de entrada y salida o bitácoras (según el caso): Información personal confidencial </w:t>
      </w:r>
    </w:p>
    <w:p w14:paraId="2B1FECC1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 xml:space="preserve">Monto de salario ganado desde su inicio a la actualidad: Información pública en página de gobierno abierto: </w:t>
      </w:r>
      <w:hyperlink r:id="rId11" w:history="1">
        <w:r w:rsidRPr="00383E9E">
          <w:rPr>
            <w:rFonts w:ascii="Museo Sans 300" w:hAnsi="Museo Sans 300" w:cs="Arial"/>
            <w:color w:val="0000FF"/>
            <w:u w:val="single"/>
            <w:lang w:val="es-ES"/>
          </w:rPr>
          <w:t>https://www.transparencia.gob.sv/institutions/proesa/remunerations?page=2</w:t>
        </w:r>
      </w:hyperlink>
      <w:r w:rsidRPr="00383E9E">
        <w:rPr>
          <w:rFonts w:ascii="Museo Sans 300" w:hAnsi="Museo Sans 300" w:cs="Arial"/>
          <w:lang w:val="es-ES"/>
        </w:rPr>
        <w:t xml:space="preserve"> </w:t>
      </w:r>
    </w:p>
    <w:p w14:paraId="02CA687B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 xml:space="preserve">Bonos: Información inexistente </w:t>
      </w:r>
    </w:p>
    <w:p w14:paraId="2A16EB49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>Horas extras: Información inexistente</w:t>
      </w:r>
    </w:p>
    <w:p w14:paraId="4C4D16A1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 xml:space="preserve">Viáticos: Información pública relacionada a misiones oficiales (viajes al exterior) en página de gobierno abierto: </w:t>
      </w:r>
      <w:hyperlink r:id="rId12" w:history="1">
        <w:r w:rsidRPr="00383E9E">
          <w:rPr>
            <w:rFonts w:ascii="Museo Sans 300" w:hAnsi="Museo Sans 300" w:cs="Arial"/>
            <w:color w:val="0000FF"/>
            <w:u w:val="single"/>
            <w:lang w:val="es-ES"/>
          </w:rPr>
          <w:t>https://www.transparencia.gob.sv/institutions/proesa/travels</w:t>
        </w:r>
      </w:hyperlink>
      <w:r w:rsidRPr="00383E9E">
        <w:rPr>
          <w:rFonts w:ascii="Museo Sans 300" w:hAnsi="Museo Sans 300" w:cs="Arial"/>
          <w:lang w:val="es-ES"/>
        </w:rPr>
        <w:t xml:space="preserve"> </w:t>
      </w:r>
    </w:p>
    <w:p w14:paraId="4469F76E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>Dadivas: Información inexistente</w:t>
      </w:r>
    </w:p>
    <w:p w14:paraId="304601BE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>Llegadas tardías: Información personal confidencial</w:t>
      </w:r>
    </w:p>
    <w:p w14:paraId="08BD9425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 xml:space="preserve">Prestaciones extras: Información pública en página de gobierno abierto (Reglamento Interno): </w:t>
      </w:r>
      <w:hyperlink r:id="rId13" w:history="1">
        <w:r w:rsidRPr="00383E9E">
          <w:rPr>
            <w:rFonts w:ascii="Museo Sans 300" w:hAnsi="Museo Sans 300" w:cs="Arial"/>
            <w:color w:val="0000FF"/>
            <w:u w:val="single"/>
            <w:lang w:val="es-ES"/>
          </w:rPr>
          <w:t>https://www.transparencia.gob.sv/institutions/proesa/documents/manuales-basicos-de-organizacion</w:t>
        </w:r>
      </w:hyperlink>
    </w:p>
    <w:p w14:paraId="6BE8F2CE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>Descuentos realizados a su salario: Información personal confidencial</w:t>
      </w:r>
    </w:p>
    <w:p w14:paraId="62B7BED9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>Registros de faltas cometidas: Información personal confidencial</w:t>
      </w:r>
    </w:p>
    <w:p w14:paraId="3E2167F8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>Permisos: Información personal confidencial</w:t>
      </w:r>
    </w:p>
    <w:p w14:paraId="229E6678" w14:textId="77777777" w:rsidR="006E4243" w:rsidRPr="00383E9E" w:rsidRDefault="006E4243" w:rsidP="006E4243">
      <w:pPr>
        <w:numPr>
          <w:ilvl w:val="0"/>
          <w:numId w:val="8"/>
        </w:numPr>
        <w:tabs>
          <w:tab w:val="left" w:pos="5166"/>
        </w:tabs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ES"/>
        </w:rPr>
        <w:t xml:space="preserve">Viajes: Información pública en página de gobierno abierto: </w:t>
      </w:r>
      <w:hyperlink r:id="rId14" w:history="1">
        <w:r w:rsidRPr="00383E9E">
          <w:rPr>
            <w:rFonts w:ascii="Museo Sans 300" w:hAnsi="Museo Sans 300" w:cs="Arial"/>
            <w:color w:val="0000FF"/>
            <w:u w:val="single"/>
            <w:lang w:val="es-ES"/>
          </w:rPr>
          <w:t>https://www.transparencia.gob.sv/institutions/proesa/travels</w:t>
        </w:r>
      </w:hyperlink>
    </w:p>
    <w:p w14:paraId="31CDC71C" w14:textId="77777777" w:rsidR="006E4243" w:rsidRPr="00383E9E" w:rsidRDefault="006E4243" w:rsidP="006E4243">
      <w:pPr>
        <w:spacing w:after="200"/>
        <w:jc w:val="both"/>
        <w:rPr>
          <w:rFonts w:ascii="Museo Sans 300" w:hAnsi="Museo Sans 300" w:cs="Arial"/>
          <w:b/>
          <w:lang w:val="es-SV"/>
        </w:rPr>
      </w:pPr>
    </w:p>
    <w:p w14:paraId="3E5C5BE2" w14:textId="77777777" w:rsidR="006E4243" w:rsidRPr="00383E9E" w:rsidRDefault="006E4243" w:rsidP="006E4243">
      <w:pPr>
        <w:spacing w:after="200"/>
        <w:jc w:val="both"/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SV"/>
        </w:rPr>
        <w:t>Queda expedito el derecho del solicitante de proceder conforme lo establece el art. 82 LAIP.</w:t>
      </w:r>
    </w:p>
    <w:p w14:paraId="783DB75A" w14:textId="77777777" w:rsidR="006E4243" w:rsidRPr="00383E9E" w:rsidRDefault="006E4243" w:rsidP="006E4243">
      <w:pPr>
        <w:spacing w:after="200"/>
        <w:jc w:val="both"/>
        <w:rPr>
          <w:rFonts w:ascii="Museo Sans 300" w:hAnsi="Museo Sans 300" w:cs="Arial"/>
          <w:b/>
          <w:lang w:val="es-SV"/>
        </w:rPr>
      </w:pPr>
      <w:r w:rsidRPr="00383E9E">
        <w:rPr>
          <w:rFonts w:ascii="Museo Sans 300" w:hAnsi="Museo Sans 300" w:cs="Arial"/>
          <w:lang w:val="es-SV"/>
        </w:rPr>
        <w:t xml:space="preserve">Sin otro particular. </w:t>
      </w:r>
    </w:p>
    <w:p w14:paraId="72AFF81F" w14:textId="77777777" w:rsidR="006E4243" w:rsidRDefault="006E4243" w:rsidP="006E4243">
      <w:pPr>
        <w:tabs>
          <w:tab w:val="left" w:pos="5166"/>
        </w:tabs>
        <w:jc w:val="both"/>
        <w:rPr>
          <w:rFonts w:ascii="Museo Sans 300" w:hAnsi="Museo Sans 300" w:cs="Arial"/>
          <w:lang w:val="es-SV"/>
        </w:rPr>
      </w:pPr>
      <w:r w:rsidRPr="00383E9E">
        <w:rPr>
          <w:rFonts w:ascii="Museo Sans 300" w:hAnsi="Museo Sans 300" w:cs="Arial"/>
          <w:lang w:val="es-SV"/>
        </w:rPr>
        <w:t xml:space="preserve">San Salvador, a las quince horas </w:t>
      </w:r>
      <w:r>
        <w:rPr>
          <w:rFonts w:ascii="Museo Sans 300" w:hAnsi="Museo Sans 300" w:cs="Arial"/>
          <w:lang w:val="es-SV"/>
        </w:rPr>
        <w:t xml:space="preserve">y treinta minutos </w:t>
      </w:r>
      <w:r w:rsidRPr="00383E9E">
        <w:rPr>
          <w:rFonts w:ascii="Museo Sans 300" w:hAnsi="Museo Sans 300" w:cs="Arial"/>
          <w:lang w:val="es-SV"/>
        </w:rPr>
        <w:t>del día veintiséis de noviembre de dos mil veinte.</w:t>
      </w:r>
    </w:p>
    <w:p w14:paraId="63CEA3FD" w14:textId="77777777" w:rsidR="006E4243" w:rsidRDefault="006E4243" w:rsidP="006E4243">
      <w:pPr>
        <w:tabs>
          <w:tab w:val="left" w:pos="5166"/>
        </w:tabs>
        <w:jc w:val="both"/>
        <w:rPr>
          <w:rFonts w:ascii="Museo Sans 300" w:hAnsi="Museo Sans 300" w:cs="Arial"/>
          <w:lang w:val="es-SV"/>
        </w:rPr>
      </w:pPr>
    </w:p>
    <w:p w14:paraId="0975FBF4" w14:textId="77777777" w:rsidR="006E4243" w:rsidRDefault="006E4243" w:rsidP="006E4243">
      <w:pPr>
        <w:tabs>
          <w:tab w:val="left" w:pos="5166"/>
        </w:tabs>
        <w:jc w:val="both"/>
        <w:rPr>
          <w:rFonts w:ascii="Museo Sans 300" w:hAnsi="Museo Sans 300" w:cs="Arial"/>
          <w:lang w:val="es-SV"/>
        </w:rPr>
      </w:pPr>
    </w:p>
    <w:p w14:paraId="0E4F675B" w14:textId="77777777" w:rsidR="006E4243" w:rsidRPr="00383E9E" w:rsidRDefault="006E4243" w:rsidP="006E4243">
      <w:pPr>
        <w:tabs>
          <w:tab w:val="left" w:pos="5166"/>
        </w:tabs>
        <w:jc w:val="both"/>
        <w:rPr>
          <w:rFonts w:ascii="Museo Sans 300" w:hAnsi="Museo Sans 300" w:cs="Arial"/>
          <w:b/>
          <w:lang w:val="es-SV"/>
        </w:rPr>
      </w:pPr>
    </w:p>
    <w:p w14:paraId="173CCBE1" w14:textId="77777777" w:rsidR="006E4243" w:rsidRPr="00AB5D67" w:rsidRDefault="006E4243" w:rsidP="006E4243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AB5D67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44AF2ABE" w14:textId="69B85101" w:rsidR="006E4243" w:rsidRPr="006E4243" w:rsidRDefault="00552FBF" w:rsidP="00552FBF">
      <w:pPr>
        <w:tabs>
          <w:tab w:val="center" w:pos="4678"/>
          <w:tab w:val="left" w:pos="8370"/>
        </w:tabs>
        <w:spacing w:after="200" w:line="276" w:lineRule="auto"/>
        <w:rPr>
          <w:rFonts w:ascii="Museo Sans 300" w:eastAsia="Calibri" w:hAnsi="Museo Sans 300" w:cs="Times New Roman"/>
          <w:lang w:val="es-SV" w:eastAsia="en-US"/>
        </w:rPr>
      </w:pPr>
      <w:r>
        <w:rPr>
          <w:rFonts w:ascii="Museo Sans 300" w:eastAsia="Calibri" w:hAnsi="Museo Sans 300" w:cs="Arial"/>
          <w:b/>
          <w:lang w:val="es-SV" w:eastAsia="en-US"/>
        </w:rPr>
        <w:tab/>
        <w:t xml:space="preserve">                                                </w:t>
      </w:r>
      <w:r w:rsidR="006E4243" w:rsidRPr="00AB5D67">
        <w:rPr>
          <w:rFonts w:ascii="Museo Sans 300" w:eastAsia="Calibri" w:hAnsi="Museo Sans 300" w:cs="Arial"/>
          <w:b/>
          <w:lang w:val="es-SV" w:eastAsia="en-US"/>
        </w:rPr>
        <w:t>Oficial de Informació</w:t>
      </w:r>
      <w:r w:rsidR="006E4243">
        <w:rPr>
          <w:rFonts w:ascii="Museo Sans 300" w:eastAsia="Calibri" w:hAnsi="Museo Sans 300" w:cs="Arial"/>
          <w:b/>
          <w:lang w:val="es-SV" w:eastAsia="en-US"/>
        </w:rPr>
        <w:t>n</w:t>
      </w:r>
      <w:r>
        <w:rPr>
          <w:rFonts w:ascii="Museo Sans 300" w:eastAsia="Calibri" w:hAnsi="Museo Sans 300" w:cs="Arial"/>
          <w:b/>
          <w:lang w:val="es-SV" w:eastAsia="en-US"/>
        </w:rPr>
        <w:t xml:space="preserve">                                Sin anexo</w:t>
      </w:r>
      <w:r>
        <w:rPr>
          <w:rFonts w:ascii="Museo Sans 300" w:eastAsia="Calibri" w:hAnsi="Museo Sans 300" w:cs="Arial"/>
          <w:b/>
          <w:lang w:val="es-SV" w:eastAsia="en-US"/>
        </w:rPr>
        <w:tab/>
      </w:r>
    </w:p>
    <w:sectPr w:rsidR="006E4243" w:rsidRPr="006E4243" w:rsidSect="009414F6">
      <w:headerReference w:type="default" r:id="rId15"/>
      <w:footerReference w:type="default" r:id="rId16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10C03" w14:textId="77777777" w:rsidR="009B11EB" w:rsidRDefault="009B11EB" w:rsidP="0074168C">
      <w:r>
        <w:separator/>
      </w:r>
    </w:p>
  </w:endnote>
  <w:endnote w:type="continuationSeparator" w:id="0">
    <w:p w14:paraId="7562DA1E" w14:textId="77777777" w:rsidR="009B11EB" w:rsidRDefault="009B11EB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593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sz w:val="22"/>
        <w:szCs w:val="22"/>
      </w:rPr>
      <w:t>Edificio</w:t>
    </w:r>
    <w:proofErr w:type="spellEnd"/>
    <w:r w:rsidRPr="00BA2CBA">
      <w:rPr>
        <w:sz w:val="22"/>
        <w:szCs w:val="22"/>
      </w:rPr>
      <w:t xml:space="preserve"> World Trade Center, Torre I Nivel 5,</w:t>
    </w:r>
  </w:p>
  <w:p w14:paraId="2A9AAED5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70935A3F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E2531" w14:textId="77777777" w:rsidR="009B11EB" w:rsidRDefault="009B11EB" w:rsidP="0074168C">
      <w:r>
        <w:separator/>
      </w:r>
    </w:p>
  </w:footnote>
  <w:footnote w:type="continuationSeparator" w:id="0">
    <w:p w14:paraId="1845119E" w14:textId="77777777" w:rsidR="009B11EB" w:rsidRDefault="009B11EB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17B6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21B7FF" wp14:editId="559C73A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D5065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E0D821E" wp14:editId="1745986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51A7C"/>
    <w:multiLevelType w:val="hybridMultilevel"/>
    <w:tmpl w:val="6388F738"/>
    <w:lvl w:ilvl="0" w:tplc="61E8972E">
      <w:start w:val="1"/>
      <w:numFmt w:val="bullet"/>
      <w:lvlText w:val="-"/>
      <w:lvlJc w:val="left"/>
      <w:pPr>
        <w:ind w:left="720" w:hanging="360"/>
      </w:pPr>
      <w:rPr>
        <w:rFonts w:ascii="Museo Sans 300" w:eastAsia="Calibri" w:hAnsi="Museo Sans 300" w:cs="Calibri" w:hint="default"/>
        <w:color w:val="000000"/>
        <w:sz w:val="21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B0CF1"/>
    <w:multiLevelType w:val="hybridMultilevel"/>
    <w:tmpl w:val="960E3ACE"/>
    <w:lvl w:ilvl="0" w:tplc="146A6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57DA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70CC"/>
    <w:rsid w:val="0026442D"/>
    <w:rsid w:val="002A2179"/>
    <w:rsid w:val="002B02A3"/>
    <w:rsid w:val="002B14F2"/>
    <w:rsid w:val="002B1B78"/>
    <w:rsid w:val="002D1D5F"/>
    <w:rsid w:val="00341259"/>
    <w:rsid w:val="003445AE"/>
    <w:rsid w:val="00381FD6"/>
    <w:rsid w:val="00396F74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52FBF"/>
    <w:rsid w:val="0059498D"/>
    <w:rsid w:val="005A3219"/>
    <w:rsid w:val="005B7FF1"/>
    <w:rsid w:val="005C017C"/>
    <w:rsid w:val="005C6873"/>
    <w:rsid w:val="005E0673"/>
    <w:rsid w:val="005E7620"/>
    <w:rsid w:val="005F4EFC"/>
    <w:rsid w:val="00607B6E"/>
    <w:rsid w:val="00627F4A"/>
    <w:rsid w:val="00687BEB"/>
    <w:rsid w:val="00695316"/>
    <w:rsid w:val="006B275A"/>
    <w:rsid w:val="006B6CAE"/>
    <w:rsid w:val="006E4243"/>
    <w:rsid w:val="006E5AAE"/>
    <w:rsid w:val="00707C64"/>
    <w:rsid w:val="0074168C"/>
    <w:rsid w:val="007446D6"/>
    <w:rsid w:val="007469FC"/>
    <w:rsid w:val="00780108"/>
    <w:rsid w:val="00781E0D"/>
    <w:rsid w:val="0078324F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E4335"/>
    <w:rsid w:val="00921A58"/>
    <w:rsid w:val="00936E83"/>
    <w:rsid w:val="009414F6"/>
    <w:rsid w:val="00942317"/>
    <w:rsid w:val="0095551B"/>
    <w:rsid w:val="009B11EB"/>
    <w:rsid w:val="009D44B7"/>
    <w:rsid w:val="00A33661"/>
    <w:rsid w:val="00A746E0"/>
    <w:rsid w:val="00A91D19"/>
    <w:rsid w:val="00A93ACA"/>
    <w:rsid w:val="00AE2BE5"/>
    <w:rsid w:val="00B033B9"/>
    <w:rsid w:val="00B105BE"/>
    <w:rsid w:val="00B12A1B"/>
    <w:rsid w:val="00B32E8C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79BD4"/>
  <w14:defaultImageDpi w14:val="300"/>
  <w15:docId w15:val="{73118F0D-3367-4445-B18A-79ABA35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nsparencia.gob.sv/institutions/proesa/documents/manuales-basicos-de-organizac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arencia.gob.sv/institutions/proesa/tra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nsparencia.gob.sv/institutions/proesa/remunerations?page=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ansparencia.gob.sv/institutions/proesa/trave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2FA04BB-8B9B-408A-986F-8F8AA222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3</cp:revision>
  <cp:lastPrinted>2019-10-31T18:27:00Z</cp:lastPrinted>
  <dcterms:created xsi:type="dcterms:W3CDTF">2020-11-30T20:46:00Z</dcterms:created>
  <dcterms:modified xsi:type="dcterms:W3CDTF">2020-11-30T20:50:00Z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