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696" w:rsidRDefault="00674696" w:rsidP="00674696">
      <w:pPr>
        <w:spacing w:after="160" w:line="259" w:lineRule="auto"/>
        <w:rPr>
          <w:sz w:val="20"/>
          <w:szCs w:val="20"/>
          <w:lang w:val="es-SV"/>
        </w:rPr>
      </w:pPr>
    </w:p>
    <w:p w:rsidR="00674696" w:rsidRDefault="00674696" w:rsidP="00674696">
      <w:pPr>
        <w:spacing w:after="160" w:line="259" w:lineRule="auto"/>
        <w:rPr>
          <w:sz w:val="20"/>
          <w:szCs w:val="20"/>
          <w:lang w:val="es-SV"/>
        </w:rPr>
      </w:pPr>
    </w:p>
    <w:p w:rsidR="00674696" w:rsidRDefault="00674696" w:rsidP="00674696">
      <w:pPr>
        <w:spacing w:line="804" w:lineRule="exact"/>
        <w:ind w:left="102" w:right="-20"/>
        <w:rPr>
          <w:rFonts w:ascii="Cambria" w:eastAsia="Cambria" w:hAnsi="Cambria" w:cs="Cambria"/>
          <w:sz w:val="72"/>
          <w:szCs w:val="72"/>
          <w:lang w:val="es-SV"/>
        </w:rPr>
      </w:pPr>
    </w:p>
    <w:p w:rsidR="00674696" w:rsidRDefault="00674696" w:rsidP="00674696">
      <w:pPr>
        <w:spacing w:line="804" w:lineRule="exact"/>
        <w:ind w:left="102" w:right="-20"/>
        <w:rPr>
          <w:rFonts w:ascii="Cambria" w:eastAsia="Cambria" w:hAnsi="Cambria" w:cs="Cambria"/>
          <w:sz w:val="72"/>
          <w:szCs w:val="72"/>
          <w:lang w:val="es-SV"/>
        </w:rPr>
      </w:pPr>
    </w:p>
    <w:p w:rsidR="00674696" w:rsidRDefault="00674696" w:rsidP="00674696">
      <w:pPr>
        <w:spacing w:line="804" w:lineRule="exact"/>
        <w:ind w:left="102" w:right="-20"/>
        <w:rPr>
          <w:rFonts w:ascii="Cambria" w:eastAsia="Cambria" w:hAnsi="Cambria" w:cs="Cambria"/>
          <w:sz w:val="72"/>
          <w:szCs w:val="72"/>
          <w:lang w:val="es-SV"/>
        </w:rPr>
      </w:pPr>
    </w:p>
    <w:p w:rsidR="00674696" w:rsidRPr="0051652F" w:rsidRDefault="00674696" w:rsidP="00674696">
      <w:pPr>
        <w:spacing w:line="804" w:lineRule="exact"/>
        <w:ind w:left="102" w:right="-20"/>
        <w:rPr>
          <w:rFonts w:ascii="Cambria" w:eastAsia="Cambria" w:hAnsi="Cambria" w:cs="Cambria"/>
          <w:sz w:val="72"/>
          <w:szCs w:val="72"/>
          <w:lang w:val="es-SV"/>
        </w:rPr>
      </w:pPr>
      <w:r w:rsidRPr="0051652F">
        <w:rPr>
          <w:rFonts w:ascii="Cambria" w:eastAsia="Cambria" w:hAnsi="Cambria" w:cs="Cambria"/>
          <w:sz w:val="72"/>
          <w:szCs w:val="72"/>
          <w:lang w:val="es-SV"/>
        </w:rPr>
        <w:t>Política de uso de Correo Electrónico Institucional</w:t>
      </w:r>
    </w:p>
    <w:p w:rsidR="00674696" w:rsidRDefault="00674696" w:rsidP="00674696">
      <w:pPr>
        <w:spacing w:after="160" w:line="259" w:lineRule="auto"/>
        <w:rPr>
          <w:sz w:val="20"/>
          <w:szCs w:val="20"/>
          <w:lang w:val="es-SV"/>
        </w:rPr>
      </w:pPr>
    </w:p>
    <w:p w:rsidR="00674696" w:rsidRDefault="00674696" w:rsidP="00674696">
      <w:pPr>
        <w:spacing w:after="160" w:line="259" w:lineRule="auto"/>
        <w:rPr>
          <w:sz w:val="20"/>
          <w:szCs w:val="20"/>
          <w:lang w:val="es-SV"/>
        </w:rPr>
      </w:pPr>
    </w:p>
    <w:p w:rsidR="00674696" w:rsidRDefault="00674696" w:rsidP="00674696">
      <w:pPr>
        <w:spacing w:after="160" w:line="259" w:lineRule="auto"/>
        <w:rPr>
          <w:sz w:val="20"/>
          <w:szCs w:val="20"/>
          <w:lang w:val="es-SV"/>
        </w:rPr>
      </w:pPr>
    </w:p>
    <w:p w:rsidR="00674696" w:rsidRDefault="00674696" w:rsidP="00674696">
      <w:pPr>
        <w:spacing w:after="160" w:line="259" w:lineRule="auto"/>
        <w:rPr>
          <w:sz w:val="20"/>
          <w:szCs w:val="20"/>
          <w:lang w:val="es-SV"/>
        </w:rPr>
      </w:pPr>
    </w:p>
    <w:p w:rsidR="00674696" w:rsidRDefault="00674696" w:rsidP="00674696">
      <w:pPr>
        <w:spacing w:after="160" w:line="259" w:lineRule="auto"/>
        <w:rPr>
          <w:sz w:val="20"/>
          <w:szCs w:val="20"/>
          <w:lang w:val="es-SV"/>
        </w:rPr>
      </w:pPr>
    </w:p>
    <w:p w:rsidR="00674696" w:rsidRPr="0051652F" w:rsidRDefault="00674696" w:rsidP="00674696">
      <w:pPr>
        <w:spacing w:line="200" w:lineRule="exact"/>
        <w:rPr>
          <w:sz w:val="20"/>
          <w:szCs w:val="20"/>
          <w:lang w:val="es-SV"/>
        </w:rPr>
      </w:pPr>
    </w:p>
    <w:p w:rsidR="00674696" w:rsidRPr="0051652F" w:rsidRDefault="00674696" w:rsidP="00674696">
      <w:pPr>
        <w:ind w:left="102" w:right="-20"/>
        <w:rPr>
          <w:rFonts w:ascii="Calibri" w:eastAsia="Calibri" w:hAnsi="Calibri" w:cs="Calibri"/>
          <w:lang w:val="es-SV"/>
        </w:rPr>
      </w:pPr>
      <w:r w:rsidRPr="0051652F">
        <w:rPr>
          <w:rFonts w:ascii="Calibri" w:eastAsia="Calibri" w:hAnsi="Calibri" w:cs="Calibri"/>
          <w:lang w:val="es-SV"/>
        </w:rPr>
        <w:t>PROESA</w:t>
      </w:r>
    </w:p>
    <w:p w:rsidR="00674696" w:rsidRPr="0051652F" w:rsidRDefault="00674696" w:rsidP="00674696">
      <w:pPr>
        <w:ind w:left="102" w:right="-20"/>
        <w:rPr>
          <w:rFonts w:ascii="Calibri" w:eastAsia="Calibri" w:hAnsi="Calibri" w:cs="Calibri"/>
          <w:lang w:val="es-SV"/>
        </w:rPr>
      </w:pPr>
      <w:r w:rsidRPr="0051652F">
        <w:rPr>
          <w:rFonts w:ascii="Calibri" w:eastAsia="Calibri" w:hAnsi="Calibri" w:cs="Calibri"/>
          <w:lang w:val="es-SV"/>
        </w:rPr>
        <w:t>Tecnologías de</w:t>
      </w:r>
      <w:r w:rsidRPr="0051652F">
        <w:rPr>
          <w:rFonts w:ascii="Calibri" w:eastAsia="Calibri" w:hAnsi="Calibri" w:cs="Calibri"/>
          <w:spacing w:val="-2"/>
          <w:lang w:val="es-SV"/>
        </w:rPr>
        <w:t xml:space="preserve"> </w:t>
      </w:r>
      <w:r w:rsidRPr="0051652F">
        <w:rPr>
          <w:rFonts w:ascii="Calibri" w:eastAsia="Calibri" w:hAnsi="Calibri" w:cs="Calibri"/>
          <w:lang w:val="es-SV"/>
        </w:rPr>
        <w:t>Información</w:t>
      </w:r>
    </w:p>
    <w:p w:rsidR="00674696" w:rsidRPr="0051652F" w:rsidRDefault="00674696" w:rsidP="00674696">
      <w:pPr>
        <w:spacing w:before="1" w:line="110" w:lineRule="exact"/>
        <w:rPr>
          <w:sz w:val="11"/>
          <w:szCs w:val="11"/>
          <w:lang w:val="es-SV"/>
        </w:rPr>
      </w:pPr>
    </w:p>
    <w:p w:rsidR="00674696" w:rsidRPr="0051652F" w:rsidRDefault="00674696" w:rsidP="00674696">
      <w:pPr>
        <w:ind w:left="118" w:right="-20"/>
        <w:rPr>
          <w:rFonts w:ascii="Calibri" w:eastAsia="Calibri" w:hAnsi="Calibri" w:cs="Calibri"/>
          <w:lang w:val="es-SV"/>
        </w:rPr>
      </w:pPr>
      <w:r w:rsidRPr="0051652F">
        <w:rPr>
          <w:rFonts w:ascii="Calibri" w:eastAsia="Calibri" w:hAnsi="Calibri" w:cs="Calibri"/>
          <w:lang w:val="es-SV"/>
        </w:rPr>
        <w:t>Actualizado</w:t>
      </w:r>
      <w:r>
        <w:rPr>
          <w:rFonts w:ascii="Calibri" w:eastAsia="Calibri" w:hAnsi="Calibri" w:cs="Calibri"/>
          <w:lang w:val="es-SV"/>
        </w:rPr>
        <w:t>, agosto 2019</w:t>
      </w:r>
    </w:p>
    <w:p w:rsidR="00674696" w:rsidRDefault="00674696" w:rsidP="00674696">
      <w:pPr>
        <w:spacing w:after="160" w:line="259" w:lineRule="auto"/>
        <w:rPr>
          <w:sz w:val="20"/>
          <w:szCs w:val="20"/>
          <w:lang w:val="es-SV"/>
        </w:rPr>
      </w:pPr>
    </w:p>
    <w:p w:rsidR="00674696" w:rsidRDefault="00674696" w:rsidP="00674696">
      <w:pPr>
        <w:spacing w:after="160" w:line="259" w:lineRule="auto"/>
        <w:rPr>
          <w:sz w:val="20"/>
          <w:szCs w:val="20"/>
          <w:lang w:val="es-SV"/>
        </w:rPr>
      </w:pPr>
    </w:p>
    <w:p w:rsidR="00674696" w:rsidRDefault="00674696" w:rsidP="00674696">
      <w:pPr>
        <w:spacing w:after="160" w:line="259" w:lineRule="auto"/>
        <w:rPr>
          <w:sz w:val="20"/>
          <w:szCs w:val="20"/>
          <w:lang w:val="es-SV"/>
        </w:rPr>
      </w:pPr>
    </w:p>
    <w:p w:rsidR="00674696" w:rsidRDefault="00674696" w:rsidP="00674696">
      <w:pPr>
        <w:spacing w:after="160" w:line="259" w:lineRule="auto"/>
        <w:rPr>
          <w:sz w:val="20"/>
          <w:szCs w:val="20"/>
          <w:lang w:val="es-SV"/>
        </w:rPr>
      </w:pPr>
    </w:p>
    <w:p w:rsidR="00674696" w:rsidRDefault="00674696" w:rsidP="00674696">
      <w:pPr>
        <w:spacing w:after="160" w:line="259" w:lineRule="auto"/>
        <w:rPr>
          <w:sz w:val="20"/>
          <w:szCs w:val="20"/>
          <w:lang w:val="es-SV"/>
        </w:rPr>
      </w:pPr>
      <w:r>
        <w:rPr>
          <w:sz w:val="20"/>
          <w:szCs w:val="20"/>
          <w:lang w:val="es-SV"/>
        </w:rPr>
        <w:br w:type="page"/>
      </w:r>
    </w:p>
    <w:p w:rsidR="00674696" w:rsidRPr="0051652F" w:rsidRDefault="00674696" w:rsidP="00C87634">
      <w:pPr>
        <w:spacing w:before="120" w:line="360" w:lineRule="auto"/>
        <w:jc w:val="both"/>
        <w:rPr>
          <w:sz w:val="20"/>
          <w:szCs w:val="20"/>
          <w:lang w:val="es-SV"/>
        </w:rPr>
      </w:pPr>
    </w:p>
    <w:p w:rsidR="00674696" w:rsidRPr="0051652F" w:rsidRDefault="00674696" w:rsidP="00C87634">
      <w:pPr>
        <w:spacing w:before="120" w:line="360" w:lineRule="auto"/>
        <w:jc w:val="both"/>
        <w:rPr>
          <w:b/>
          <w:lang w:val="es-SV"/>
        </w:rPr>
      </w:pPr>
      <w:r w:rsidRPr="0051652F">
        <w:rPr>
          <w:b/>
          <w:lang w:val="es-SV"/>
        </w:rPr>
        <w:t>Correo Electrónico</w:t>
      </w:r>
    </w:p>
    <w:p w:rsidR="00674696" w:rsidRPr="0051652F" w:rsidRDefault="00674696" w:rsidP="00C87634">
      <w:pPr>
        <w:spacing w:before="120" w:line="360" w:lineRule="auto"/>
        <w:jc w:val="both"/>
        <w:rPr>
          <w:b/>
          <w:lang w:val="es-SV"/>
        </w:rPr>
      </w:pPr>
      <w:r w:rsidRPr="0051652F">
        <w:rPr>
          <w:lang w:val="es-SV"/>
        </w:rPr>
        <w:t>Es un servicio de red que permite a los usuarios enviar y recibir mensajes rápidamente mediante sistemas de comunicación electrónicos.</w:t>
      </w:r>
    </w:p>
    <w:p w:rsidR="00674696" w:rsidRPr="0051652F" w:rsidRDefault="00674696" w:rsidP="00C87634">
      <w:pPr>
        <w:spacing w:before="120" w:line="360" w:lineRule="auto"/>
        <w:jc w:val="both"/>
        <w:rPr>
          <w:b/>
          <w:lang w:val="es-SV"/>
        </w:rPr>
      </w:pPr>
    </w:p>
    <w:p w:rsidR="00674696" w:rsidRPr="0051652F" w:rsidRDefault="00674696" w:rsidP="00C87634">
      <w:pPr>
        <w:spacing w:before="120" w:line="360" w:lineRule="auto"/>
        <w:jc w:val="both"/>
        <w:rPr>
          <w:b/>
          <w:lang w:val="es-SV"/>
        </w:rPr>
      </w:pPr>
      <w:r w:rsidRPr="0051652F">
        <w:rPr>
          <w:b/>
          <w:lang w:val="es-SV"/>
        </w:rPr>
        <w:t>Objetivo</w:t>
      </w:r>
    </w:p>
    <w:p w:rsidR="00674696" w:rsidRPr="0051652F" w:rsidRDefault="00674696" w:rsidP="00C87634">
      <w:pPr>
        <w:spacing w:before="120" w:line="360" w:lineRule="auto"/>
        <w:jc w:val="both"/>
        <w:rPr>
          <w:lang w:val="es-SV"/>
        </w:rPr>
      </w:pPr>
      <w:r w:rsidRPr="0051652F">
        <w:rPr>
          <w:lang w:val="es-SV"/>
        </w:rPr>
        <w:t xml:space="preserve">Establecerlos lineamientos a seguir para el uso </w:t>
      </w:r>
      <w:r w:rsidR="00C87634">
        <w:rPr>
          <w:lang w:val="es-SV"/>
        </w:rPr>
        <w:t>adecuado</w:t>
      </w:r>
      <w:r w:rsidRPr="0051652F">
        <w:rPr>
          <w:lang w:val="es-SV"/>
        </w:rPr>
        <w:t xml:space="preserve"> del correo electrónico institucional, de tal forma que se garantice su continua disponibilidad, así como la seguridad necesaria a fin de no perder información institucional.</w:t>
      </w:r>
    </w:p>
    <w:p w:rsidR="00674696" w:rsidRPr="0051652F" w:rsidRDefault="00674696" w:rsidP="00C87634">
      <w:pPr>
        <w:spacing w:before="120" w:line="360" w:lineRule="auto"/>
        <w:jc w:val="both"/>
        <w:rPr>
          <w:sz w:val="20"/>
          <w:szCs w:val="20"/>
          <w:lang w:val="es-SV"/>
        </w:rPr>
      </w:pPr>
    </w:p>
    <w:p w:rsidR="00674696" w:rsidRPr="0051652F" w:rsidRDefault="00674696" w:rsidP="00C87634">
      <w:pPr>
        <w:spacing w:before="120" w:line="360" w:lineRule="auto"/>
        <w:jc w:val="both"/>
        <w:rPr>
          <w:b/>
          <w:lang w:val="es-SV"/>
        </w:rPr>
      </w:pPr>
      <w:r w:rsidRPr="0051652F">
        <w:rPr>
          <w:b/>
          <w:lang w:val="es-SV"/>
        </w:rPr>
        <w:t>Beneficios</w:t>
      </w:r>
    </w:p>
    <w:p w:rsidR="00674696" w:rsidRPr="0051652F" w:rsidRDefault="00674696" w:rsidP="00C87634">
      <w:pPr>
        <w:spacing w:before="120" w:line="360" w:lineRule="auto"/>
        <w:jc w:val="both"/>
        <w:rPr>
          <w:lang w:val="es-SV"/>
        </w:rPr>
      </w:pPr>
      <w:r>
        <w:rPr>
          <w:lang w:val="es-SV"/>
        </w:rPr>
        <w:t>G</w:t>
      </w:r>
      <w:r w:rsidRPr="0051652F">
        <w:rPr>
          <w:lang w:val="es-SV"/>
        </w:rPr>
        <w:t>arantizar la eficaz y eficiente comunicación, así como la pronta ejecución de las actividades de PR</w:t>
      </w:r>
      <w:r>
        <w:rPr>
          <w:lang w:val="es-SV"/>
        </w:rPr>
        <w:t>OESA</w:t>
      </w:r>
    </w:p>
    <w:p w:rsidR="00674696" w:rsidRPr="0051652F" w:rsidRDefault="00674696" w:rsidP="00C87634">
      <w:pPr>
        <w:spacing w:before="120" w:line="360" w:lineRule="auto"/>
        <w:jc w:val="both"/>
        <w:rPr>
          <w:lang w:val="es-SV"/>
        </w:rPr>
      </w:pPr>
    </w:p>
    <w:p w:rsidR="00674696" w:rsidRPr="0051652F" w:rsidRDefault="00674696" w:rsidP="00C87634">
      <w:pPr>
        <w:spacing w:before="120" w:line="360" w:lineRule="auto"/>
        <w:jc w:val="both"/>
        <w:rPr>
          <w:b/>
          <w:lang w:val="es-SV"/>
        </w:rPr>
      </w:pPr>
      <w:r w:rsidRPr="0051652F">
        <w:rPr>
          <w:b/>
          <w:lang w:val="es-SV"/>
        </w:rPr>
        <w:t xml:space="preserve">Sobre el uso del Correo Electrónico Institucional </w:t>
      </w:r>
    </w:p>
    <w:p w:rsidR="00674696" w:rsidRPr="0051652F" w:rsidRDefault="00674696" w:rsidP="00C87634">
      <w:pPr>
        <w:pStyle w:val="Prrafodelista"/>
        <w:numPr>
          <w:ilvl w:val="0"/>
          <w:numId w:val="1"/>
        </w:numPr>
        <w:spacing w:before="120" w:after="0" w:line="360" w:lineRule="auto"/>
        <w:jc w:val="both"/>
        <w:rPr>
          <w:lang w:val="es-SV"/>
        </w:rPr>
      </w:pPr>
      <w:r w:rsidRPr="0051652F">
        <w:rPr>
          <w:lang w:val="es-SV"/>
        </w:rPr>
        <w:t xml:space="preserve">Cada usuario de la red dispondrá de un buzón de correo electrónico </w:t>
      </w:r>
      <w:r w:rsidR="00C87634">
        <w:rPr>
          <w:lang w:val="es-SV"/>
        </w:rPr>
        <w:t xml:space="preserve">que cuenta de un usuario y </w:t>
      </w:r>
      <w:r w:rsidRPr="0051652F">
        <w:rPr>
          <w:lang w:val="es-SV"/>
        </w:rPr>
        <w:t>clave de acceso, e</w:t>
      </w:r>
      <w:r w:rsidR="00C87634">
        <w:rPr>
          <w:lang w:val="es-SV"/>
        </w:rPr>
        <w:t>ste</w:t>
      </w:r>
      <w:r w:rsidRPr="0051652F">
        <w:rPr>
          <w:lang w:val="es-SV"/>
        </w:rPr>
        <w:t xml:space="preserve"> le permite enviar y recibir correspondencia de uso oficial de forma electrónica interna</w:t>
      </w:r>
      <w:r w:rsidR="00C87634">
        <w:rPr>
          <w:lang w:val="es-SV"/>
        </w:rPr>
        <w:t>mente</w:t>
      </w:r>
      <w:r w:rsidRPr="0051652F">
        <w:rPr>
          <w:lang w:val="es-SV"/>
        </w:rPr>
        <w:t xml:space="preserve"> o externa</w:t>
      </w:r>
      <w:r w:rsidR="00C87634">
        <w:rPr>
          <w:lang w:val="es-SV"/>
        </w:rPr>
        <w:t>.</w:t>
      </w:r>
      <w:r w:rsidRPr="0051652F">
        <w:rPr>
          <w:lang w:val="es-SV"/>
        </w:rPr>
        <w:t xml:space="preserve"> </w:t>
      </w:r>
    </w:p>
    <w:p w:rsidR="00674696" w:rsidRPr="0051652F" w:rsidRDefault="00674696" w:rsidP="00C87634">
      <w:pPr>
        <w:pStyle w:val="Prrafodelista"/>
        <w:numPr>
          <w:ilvl w:val="0"/>
          <w:numId w:val="1"/>
        </w:numPr>
        <w:spacing w:before="120" w:after="0" w:line="360" w:lineRule="auto"/>
        <w:jc w:val="both"/>
        <w:rPr>
          <w:lang w:val="es-SV"/>
        </w:rPr>
      </w:pPr>
      <w:r w:rsidRPr="0051652F">
        <w:rPr>
          <w:lang w:val="es-SV"/>
        </w:rPr>
        <w:t xml:space="preserve">El servicio de correo estará configurado para reportar al usuario sobre los correos que no puedan ser entregados al destinatario, a fin de brindar al usuario la oportunidad </w:t>
      </w:r>
      <w:r w:rsidR="00C87634">
        <w:rPr>
          <w:lang w:val="es-SV"/>
        </w:rPr>
        <w:t>de poder</w:t>
      </w:r>
      <w:r w:rsidRPr="0051652F">
        <w:rPr>
          <w:lang w:val="es-SV"/>
        </w:rPr>
        <w:t xml:space="preserve"> verificar los datos en la dirección de destinatario o si el servicio del receptor esta fuera de línea.</w:t>
      </w:r>
    </w:p>
    <w:p w:rsidR="00C87634" w:rsidRDefault="00674696" w:rsidP="00C87634">
      <w:pPr>
        <w:pStyle w:val="Prrafodelista"/>
        <w:numPr>
          <w:ilvl w:val="0"/>
          <w:numId w:val="1"/>
        </w:numPr>
        <w:spacing w:before="120" w:after="0" w:line="360" w:lineRule="auto"/>
        <w:jc w:val="both"/>
        <w:rPr>
          <w:lang w:val="es-SV"/>
        </w:rPr>
      </w:pPr>
      <w:r>
        <w:rPr>
          <w:lang w:val="es-SV"/>
        </w:rPr>
        <w:t>Los</w:t>
      </w:r>
      <w:r w:rsidRPr="0051652F">
        <w:rPr>
          <w:lang w:val="es-SV"/>
        </w:rPr>
        <w:t xml:space="preserve"> correo</w:t>
      </w:r>
      <w:r>
        <w:rPr>
          <w:lang w:val="es-SV"/>
        </w:rPr>
        <w:t>s</w:t>
      </w:r>
      <w:r w:rsidRPr="0051652F">
        <w:rPr>
          <w:lang w:val="es-SV"/>
        </w:rPr>
        <w:t xml:space="preserve"> electrónico</w:t>
      </w:r>
      <w:r>
        <w:rPr>
          <w:lang w:val="es-SV"/>
        </w:rPr>
        <w:t>s</w:t>
      </w:r>
      <w:r w:rsidRPr="0051652F">
        <w:rPr>
          <w:lang w:val="es-SV"/>
        </w:rPr>
        <w:t xml:space="preserve"> recibido</w:t>
      </w:r>
      <w:r>
        <w:rPr>
          <w:lang w:val="es-SV"/>
        </w:rPr>
        <w:t>s</w:t>
      </w:r>
      <w:r w:rsidRPr="0051652F">
        <w:rPr>
          <w:lang w:val="es-SV"/>
        </w:rPr>
        <w:t xml:space="preserve">, serán </w:t>
      </w:r>
      <w:r w:rsidR="00C87634">
        <w:rPr>
          <w:lang w:val="es-SV"/>
        </w:rPr>
        <w:t>primeramente analizados p</w:t>
      </w:r>
      <w:r w:rsidRPr="0051652F">
        <w:rPr>
          <w:lang w:val="es-SV"/>
        </w:rPr>
        <w:t xml:space="preserve">or </w:t>
      </w:r>
      <w:proofErr w:type="gramStart"/>
      <w:r w:rsidRPr="0051652F">
        <w:rPr>
          <w:lang w:val="es-SV"/>
        </w:rPr>
        <w:t xml:space="preserve">el </w:t>
      </w:r>
      <w:r w:rsidR="00C87634">
        <w:rPr>
          <w:lang w:val="es-SV"/>
        </w:rPr>
        <w:t>cortafuegos</w:t>
      </w:r>
      <w:proofErr w:type="gramEnd"/>
      <w:r w:rsidR="00C87634">
        <w:rPr>
          <w:lang w:val="es-SV"/>
        </w:rPr>
        <w:t xml:space="preserve"> para proteger, visibilizar y analizar ataques dirigidos y </w:t>
      </w:r>
      <w:proofErr w:type="spellStart"/>
      <w:r w:rsidR="00C87634">
        <w:rPr>
          <w:lang w:val="es-SV"/>
        </w:rPr>
        <w:t>ransomware</w:t>
      </w:r>
      <w:proofErr w:type="spellEnd"/>
      <w:r w:rsidR="00C87634">
        <w:rPr>
          <w:lang w:val="es-SV"/>
        </w:rPr>
        <w:t>, si en caso dicho correo no tiene ningún impedimento, este luego será analizado por el antivirus para analizar el comportamiento previo a la ejecución y poder detectar posibles malware</w:t>
      </w:r>
      <w:r w:rsidRPr="0051652F">
        <w:rPr>
          <w:lang w:val="es-SV"/>
        </w:rPr>
        <w:t xml:space="preserve">. </w:t>
      </w:r>
    </w:p>
    <w:p w:rsidR="00674696" w:rsidRPr="0051652F" w:rsidRDefault="00674696" w:rsidP="00C87634">
      <w:pPr>
        <w:pStyle w:val="Prrafodelista"/>
        <w:numPr>
          <w:ilvl w:val="0"/>
          <w:numId w:val="1"/>
        </w:numPr>
        <w:spacing w:before="120" w:after="0" w:line="360" w:lineRule="auto"/>
        <w:jc w:val="both"/>
        <w:rPr>
          <w:lang w:val="es-SV"/>
        </w:rPr>
      </w:pPr>
      <w:r w:rsidRPr="0051652F">
        <w:rPr>
          <w:lang w:val="es-SV"/>
        </w:rPr>
        <w:t xml:space="preserve">Los buzones de correo electrónico mantendrán activada y actualizada la protección contra virus, para evitar el daño a las computadoras.  </w:t>
      </w:r>
    </w:p>
    <w:p w:rsidR="00674696" w:rsidRPr="0051652F" w:rsidRDefault="00674696" w:rsidP="00C87634">
      <w:pPr>
        <w:pStyle w:val="Prrafodelista"/>
        <w:numPr>
          <w:ilvl w:val="0"/>
          <w:numId w:val="1"/>
        </w:numPr>
        <w:spacing w:before="120" w:after="0" w:line="360" w:lineRule="auto"/>
        <w:jc w:val="both"/>
        <w:rPr>
          <w:lang w:val="es-SV"/>
        </w:rPr>
      </w:pPr>
      <w:r w:rsidRPr="0051652F">
        <w:rPr>
          <w:lang w:val="es-SV"/>
        </w:rPr>
        <w:t>Cuando se requiera que un documento de gran tamaño, sea conocido por todos los usuarios, se utilizará la carpeta temporal de uso general (G) del servidor.</w:t>
      </w:r>
    </w:p>
    <w:p w:rsidR="00674696" w:rsidRPr="0051652F" w:rsidRDefault="00674696" w:rsidP="00C87634">
      <w:pPr>
        <w:pStyle w:val="Prrafodelista"/>
        <w:numPr>
          <w:ilvl w:val="0"/>
          <w:numId w:val="1"/>
        </w:numPr>
        <w:spacing w:before="120" w:after="0" w:line="360" w:lineRule="auto"/>
        <w:jc w:val="both"/>
        <w:rPr>
          <w:lang w:val="es-SV"/>
        </w:rPr>
      </w:pPr>
      <w:r w:rsidRPr="0051652F">
        <w:rPr>
          <w:lang w:val="es-SV"/>
        </w:rPr>
        <w:t>Se prohíbe a los Usuarios enviar mensajes con contenidos pornográficos u obscenos o mensajes que violen los principios éticos de PROESA, falsificar mensajes de correo electrónico, enviar mensajes indiscriminadamente a todos los usuarios del sistema. Asimismo, se prohíbe a los Usuarios enviar mensajes estilo cadena o propaganda postal.</w:t>
      </w:r>
    </w:p>
    <w:p w:rsidR="00674696" w:rsidRPr="0051652F" w:rsidRDefault="00674696" w:rsidP="00C87634">
      <w:pPr>
        <w:pStyle w:val="Prrafodelista"/>
        <w:numPr>
          <w:ilvl w:val="0"/>
          <w:numId w:val="1"/>
        </w:numPr>
        <w:spacing w:before="120" w:after="0" w:line="360" w:lineRule="auto"/>
        <w:jc w:val="both"/>
        <w:rPr>
          <w:lang w:val="es-SV"/>
        </w:rPr>
      </w:pPr>
      <w:r w:rsidRPr="0051652F">
        <w:rPr>
          <w:lang w:val="es-SV"/>
        </w:rPr>
        <w:t xml:space="preserve">Se recomienda que todo correo de procedencia o remitente desconocido, y que se considere potencialmente peligroso sea eliminado de inmediato, por el usuario que lo recibe para prevenir posibles infecciones de virus.     </w:t>
      </w:r>
    </w:p>
    <w:p w:rsidR="00674696" w:rsidRDefault="00674696" w:rsidP="00C87634">
      <w:pPr>
        <w:pStyle w:val="Prrafodelista"/>
        <w:numPr>
          <w:ilvl w:val="0"/>
          <w:numId w:val="1"/>
        </w:numPr>
        <w:spacing w:before="120" w:after="0" w:line="360" w:lineRule="auto"/>
        <w:jc w:val="both"/>
        <w:rPr>
          <w:lang w:val="es-SV"/>
        </w:rPr>
      </w:pPr>
      <w:r w:rsidRPr="0051652F">
        <w:rPr>
          <w:lang w:val="es-SV"/>
        </w:rPr>
        <w:t>Los usuarios serán los responsables de la eficiente administración y limpieza de su buzón de correo electrónico, de tal manera de no sobrepasar el espacio de almacenamiento asignad</w:t>
      </w:r>
      <w:r w:rsidR="003F3FDC">
        <w:rPr>
          <w:lang w:val="es-SV"/>
        </w:rPr>
        <w:t>o y evitar la saturación del servidor de correos</w:t>
      </w:r>
      <w:r w:rsidRPr="0051652F">
        <w:rPr>
          <w:lang w:val="es-SV"/>
        </w:rPr>
        <w:t xml:space="preserve">.  </w:t>
      </w:r>
    </w:p>
    <w:p w:rsidR="00674696" w:rsidRDefault="00674696" w:rsidP="00C87634">
      <w:pPr>
        <w:pStyle w:val="Prrafodelista"/>
        <w:numPr>
          <w:ilvl w:val="0"/>
          <w:numId w:val="1"/>
        </w:numPr>
        <w:spacing w:before="120" w:after="0" w:line="360" w:lineRule="auto"/>
        <w:jc w:val="both"/>
        <w:rPr>
          <w:lang w:val="es-SV"/>
        </w:rPr>
      </w:pPr>
      <w:r>
        <w:rPr>
          <w:lang w:val="es-SV"/>
        </w:rPr>
        <w:t>El peso máximo de contenido adjunto para enviar y recibir información será de 10 Mb.</w:t>
      </w:r>
    </w:p>
    <w:p w:rsidR="00C87634" w:rsidRDefault="00C87634" w:rsidP="00C87634">
      <w:pPr>
        <w:pStyle w:val="Prrafodelista"/>
        <w:numPr>
          <w:ilvl w:val="0"/>
          <w:numId w:val="1"/>
        </w:numPr>
        <w:spacing w:before="120" w:after="0" w:line="360" w:lineRule="auto"/>
        <w:jc w:val="both"/>
        <w:rPr>
          <w:lang w:val="es-SV"/>
        </w:rPr>
      </w:pPr>
      <w:r>
        <w:rPr>
          <w:lang w:val="es-SV"/>
        </w:rPr>
        <w:t xml:space="preserve">Identificar los remitentes por parte del usuario antes de abrir un correo electrónico. Si el remitente no es un contacto conocido habrá que prestar especial atención ya que puede tratarse de un nuevo cliente o </w:t>
      </w:r>
      <w:r w:rsidR="003F3FDC">
        <w:rPr>
          <w:lang w:val="es-SV"/>
        </w:rPr>
        <w:t xml:space="preserve">puede ser </w:t>
      </w:r>
      <w:r>
        <w:rPr>
          <w:lang w:val="es-SV"/>
        </w:rPr>
        <w:t>un correo malicioso.</w:t>
      </w:r>
    </w:p>
    <w:p w:rsidR="00C87634" w:rsidRDefault="00C87634" w:rsidP="00C87634">
      <w:pPr>
        <w:pStyle w:val="Prrafodelista"/>
        <w:numPr>
          <w:ilvl w:val="0"/>
          <w:numId w:val="1"/>
        </w:numPr>
        <w:spacing w:before="120" w:after="0" w:line="360" w:lineRule="auto"/>
        <w:jc w:val="both"/>
        <w:rPr>
          <w:lang w:val="es-SV"/>
        </w:rPr>
      </w:pPr>
      <w:r>
        <w:rPr>
          <w:lang w:val="es-SV"/>
        </w:rPr>
        <w:t>Todas las cuentas deben utilizar contraseñas de acceso para evitar acceso no autorizados.</w:t>
      </w:r>
    </w:p>
    <w:p w:rsidR="00C87634" w:rsidRDefault="00C87634" w:rsidP="00C87634">
      <w:pPr>
        <w:pStyle w:val="Prrafodelista"/>
        <w:numPr>
          <w:ilvl w:val="0"/>
          <w:numId w:val="1"/>
        </w:numPr>
        <w:spacing w:before="120" w:after="0" w:line="360" w:lineRule="auto"/>
        <w:jc w:val="both"/>
        <w:rPr>
          <w:lang w:val="es-SV"/>
        </w:rPr>
      </w:pPr>
      <w:r>
        <w:rPr>
          <w:lang w:val="es-SV"/>
        </w:rPr>
        <w:t>Si se accede al correo a través desde un interfaz web nunca se marcará la opción de recordar contraseña.</w:t>
      </w:r>
    </w:p>
    <w:p w:rsidR="00C87634" w:rsidRDefault="00C87634" w:rsidP="00C87634">
      <w:pPr>
        <w:pStyle w:val="Prrafodelista"/>
        <w:numPr>
          <w:ilvl w:val="0"/>
          <w:numId w:val="1"/>
        </w:numPr>
        <w:spacing w:before="120" w:after="0" w:line="360" w:lineRule="auto"/>
        <w:jc w:val="both"/>
        <w:rPr>
          <w:lang w:val="es-SV"/>
        </w:rPr>
      </w:pPr>
      <w:r>
        <w:rPr>
          <w:lang w:val="es-SV"/>
        </w:rPr>
        <w:t>Cuando reciba correos spam no debe responder.</w:t>
      </w:r>
    </w:p>
    <w:p w:rsidR="00C87634" w:rsidRDefault="00C87634" w:rsidP="00C87634">
      <w:pPr>
        <w:pStyle w:val="Prrafodelista"/>
        <w:numPr>
          <w:ilvl w:val="0"/>
          <w:numId w:val="1"/>
        </w:numPr>
        <w:spacing w:before="120" w:after="0" w:line="360" w:lineRule="auto"/>
        <w:jc w:val="both"/>
        <w:rPr>
          <w:lang w:val="es-SV"/>
        </w:rPr>
      </w:pPr>
      <w:r>
        <w:rPr>
          <w:lang w:val="es-SV"/>
        </w:rPr>
        <w:t>El correo institucional debe ser exclusivo para asuntos labores.</w:t>
      </w:r>
    </w:p>
    <w:p w:rsidR="00C87634" w:rsidRDefault="00C87634" w:rsidP="00C87634">
      <w:pPr>
        <w:pStyle w:val="Prrafodelista"/>
        <w:numPr>
          <w:ilvl w:val="0"/>
          <w:numId w:val="1"/>
        </w:numPr>
        <w:spacing w:before="120" w:after="0" w:line="360" w:lineRule="auto"/>
        <w:jc w:val="both"/>
        <w:rPr>
          <w:lang w:val="es-SV"/>
        </w:rPr>
      </w:pPr>
      <w:r>
        <w:rPr>
          <w:lang w:val="es-SV"/>
        </w:rPr>
        <w:t xml:space="preserve">Utilizar la copia oculta, cuando se envíen mensajes a múltiples destinatarios se debe utilizar </w:t>
      </w:r>
      <w:proofErr w:type="spellStart"/>
      <w:r>
        <w:rPr>
          <w:lang w:val="es-SV"/>
        </w:rPr>
        <w:t>CCO</w:t>
      </w:r>
      <w:proofErr w:type="spellEnd"/>
      <w:r>
        <w:rPr>
          <w:lang w:val="es-SV"/>
        </w:rPr>
        <w:t xml:space="preserve"> esto impide que los destinatarios vean a quien más ha sido enviado dicho correo.</w:t>
      </w:r>
    </w:p>
    <w:p w:rsidR="00C87634" w:rsidRDefault="00C87634" w:rsidP="00C87634">
      <w:pPr>
        <w:pStyle w:val="Prrafodelista"/>
        <w:numPr>
          <w:ilvl w:val="0"/>
          <w:numId w:val="1"/>
        </w:numPr>
        <w:spacing w:before="120" w:after="0" w:line="360" w:lineRule="auto"/>
        <w:jc w:val="both"/>
        <w:rPr>
          <w:lang w:val="es-SV"/>
        </w:rPr>
      </w:pPr>
      <w:r>
        <w:rPr>
          <w:lang w:val="es-SV"/>
        </w:rPr>
        <w:t xml:space="preserve"> Evitar utilizar el correo electrónico desde conexiones públicas, ya que nuestro tráfico de datos puede ser interceptado por cualquier usuario de esta red.</w:t>
      </w:r>
    </w:p>
    <w:p w:rsidR="00C87634" w:rsidRDefault="00C87634" w:rsidP="00C87634">
      <w:pPr>
        <w:pStyle w:val="Prrafodelista"/>
        <w:spacing w:before="120" w:after="0" w:line="360" w:lineRule="auto"/>
        <w:jc w:val="both"/>
        <w:rPr>
          <w:lang w:val="es-SV"/>
        </w:rPr>
      </w:pPr>
    </w:p>
    <w:p w:rsidR="00674696" w:rsidRPr="00674696" w:rsidRDefault="00674696" w:rsidP="00674696">
      <w:pPr>
        <w:rPr>
          <w:rFonts w:eastAsiaTheme="minorHAnsi"/>
          <w:sz w:val="22"/>
          <w:szCs w:val="22"/>
          <w:lang w:val="es-SV" w:eastAsia="en-US"/>
        </w:rPr>
      </w:pPr>
      <w:r>
        <w:rPr>
          <w:lang w:val="es-SV"/>
        </w:rPr>
        <w:br w:type="page"/>
      </w:r>
    </w:p>
    <w:p w:rsidR="00674696" w:rsidRPr="00BD4F29" w:rsidRDefault="00674696" w:rsidP="00674696">
      <w:pPr>
        <w:ind w:left="360"/>
        <w:rPr>
          <w:lang w:val="es-SV"/>
        </w:rPr>
      </w:pPr>
    </w:p>
    <w:p w:rsidR="00674696" w:rsidRDefault="00674696" w:rsidP="00674696">
      <w:pPr>
        <w:pStyle w:val="Ttulo4"/>
        <w:rPr>
          <w:lang w:val="es-SV"/>
        </w:rPr>
      </w:pPr>
      <w:r w:rsidRPr="0051652F">
        <w:rPr>
          <w:lang w:val="es-SV"/>
        </w:rPr>
        <w:t>Administración de Correo</w:t>
      </w:r>
    </w:p>
    <w:tbl>
      <w:tblPr>
        <w:tblStyle w:val="Cuadrculaclara-nfasis11"/>
        <w:tblW w:w="8637" w:type="dxa"/>
        <w:tblLook w:val="04A0" w:firstRow="1" w:lastRow="0" w:firstColumn="1" w:lastColumn="0" w:noHBand="0" w:noVBand="1"/>
      </w:tblPr>
      <w:tblGrid>
        <w:gridCol w:w="675"/>
        <w:gridCol w:w="3284"/>
        <w:gridCol w:w="2127"/>
        <w:gridCol w:w="2551"/>
      </w:tblGrid>
      <w:tr w:rsidR="00674696" w:rsidRPr="0051652F" w:rsidTr="000C5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674696" w:rsidRPr="0051652F" w:rsidRDefault="00674696" w:rsidP="000C5621">
            <w:pPr>
              <w:jc w:val="center"/>
              <w:rPr>
                <w:sz w:val="16"/>
                <w:szCs w:val="16"/>
              </w:rPr>
            </w:pPr>
            <w:r w:rsidRPr="0051652F">
              <w:rPr>
                <w:sz w:val="16"/>
                <w:szCs w:val="16"/>
              </w:rPr>
              <w:t>No.</w:t>
            </w:r>
          </w:p>
        </w:tc>
        <w:tc>
          <w:tcPr>
            <w:tcW w:w="3284" w:type="dxa"/>
          </w:tcPr>
          <w:p w:rsidR="00674696" w:rsidRPr="0051652F" w:rsidRDefault="00674696" w:rsidP="000C5621">
            <w:pPr>
              <w:jc w:val="center"/>
              <w:cnfStyle w:val="100000000000" w:firstRow="1" w:lastRow="0" w:firstColumn="0" w:lastColumn="0" w:oddVBand="0" w:evenVBand="0" w:oddHBand="0" w:evenHBand="0" w:firstRowFirstColumn="0" w:firstRowLastColumn="0" w:lastRowFirstColumn="0" w:lastRowLastColumn="0"/>
              <w:rPr>
                <w:sz w:val="16"/>
                <w:szCs w:val="16"/>
              </w:rPr>
            </w:pPr>
            <w:r w:rsidRPr="0051652F">
              <w:rPr>
                <w:sz w:val="16"/>
                <w:szCs w:val="16"/>
              </w:rPr>
              <w:t>Nombre del Software</w:t>
            </w:r>
          </w:p>
        </w:tc>
        <w:tc>
          <w:tcPr>
            <w:tcW w:w="2127" w:type="dxa"/>
          </w:tcPr>
          <w:p w:rsidR="00674696" w:rsidRPr="0051652F" w:rsidRDefault="00674696" w:rsidP="000C5621">
            <w:pPr>
              <w:jc w:val="center"/>
              <w:cnfStyle w:val="100000000000" w:firstRow="1" w:lastRow="0" w:firstColumn="0" w:lastColumn="0" w:oddVBand="0" w:evenVBand="0" w:oddHBand="0" w:evenHBand="0" w:firstRowFirstColumn="0" w:firstRowLastColumn="0" w:lastRowFirstColumn="0" w:lastRowLastColumn="0"/>
              <w:rPr>
                <w:sz w:val="16"/>
                <w:szCs w:val="16"/>
              </w:rPr>
            </w:pPr>
            <w:r w:rsidRPr="0051652F">
              <w:rPr>
                <w:sz w:val="16"/>
                <w:szCs w:val="16"/>
              </w:rPr>
              <w:t>Total de Licencias</w:t>
            </w:r>
          </w:p>
        </w:tc>
        <w:tc>
          <w:tcPr>
            <w:tcW w:w="2551" w:type="dxa"/>
          </w:tcPr>
          <w:p w:rsidR="00674696" w:rsidRPr="0051652F" w:rsidRDefault="00674696" w:rsidP="000C5621">
            <w:pPr>
              <w:jc w:val="center"/>
              <w:cnfStyle w:val="100000000000" w:firstRow="1" w:lastRow="0" w:firstColumn="0" w:lastColumn="0" w:oddVBand="0" w:evenVBand="0" w:oddHBand="0" w:evenHBand="0" w:firstRowFirstColumn="0" w:firstRowLastColumn="0" w:lastRowFirstColumn="0" w:lastRowLastColumn="0"/>
              <w:rPr>
                <w:sz w:val="16"/>
                <w:szCs w:val="16"/>
              </w:rPr>
            </w:pPr>
            <w:r w:rsidRPr="0051652F">
              <w:rPr>
                <w:sz w:val="16"/>
                <w:szCs w:val="16"/>
              </w:rPr>
              <w:t>Disponibles</w:t>
            </w:r>
          </w:p>
        </w:tc>
      </w:tr>
      <w:tr w:rsidR="00674696" w:rsidRPr="0051652F" w:rsidTr="000C5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674696" w:rsidRPr="0051652F" w:rsidRDefault="00674696" w:rsidP="000C5621">
            <w:pPr>
              <w:jc w:val="center"/>
              <w:rPr>
                <w:rFonts w:eastAsiaTheme="minorHAnsi"/>
                <w:b w:val="0"/>
                <w:bCs w:val="0"/>
                <w:sz w:val="16"/>
                <w:szCs w:val="16"/>
              </w:rPr>
            </w:pPr>
            <w:r w:rsidRPr="0051652F">
              <w:rPr>
                <w:rFonts w:eastAsiaTheme="minorHAnsi"/>
                <w:b w:val="0"/>
                <w:bCs w:val="0"/>
                <w:sz w:val="16"/>
                <w:szCs w:val="16"/>
              </w:rPr>
              <w:t>1</w:t>
            </w:r>
          </w:p>
        </w:tc>
        <w:tc>
          <w:tcPr>
            <w:tcW w:w="3284" w:type="dxa"/>
          </w:tcPr>
          <w:p w:rsidR="00674696" w:rsidRPr="0051652F" w:rsidRDefault="00674696" w:rsidP="000C5621">
            <w:pPr>
              <w:jc w:val="both"/>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Microsoft Exchange Server 2013</w:t>
            </w:r>
          </w:p>
        </w:tc>
        <w:tc>
          <w:tcPr>
            <w:tcW w:w="2127" w:type="dxa"/>
          </w:tcPr>
          <w:p w:rsidR="00674696" w:rsidRPr="0051652F" w:rsidRDefault="00674696" w:rsidP="000C56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51652F">
              <w:rPr>
                <w:sz w:val="16"/>
                <w:szCs w:val="16"/>
              </w:rPr>
              <w:t>2</w:t>
            </w:r>
          </w:p>
        </w:tc>
        <w:tc>
          <w:tcPr>
            <w:tcW w:w="2551" w:type="dxa"/>
          </w:tcPr>
          <w:p w:rsidR="00674696" w:rsidRPr="0051652F" w:rsidRDefault="00674696" w:rsidP="000C5621">
            <w:pPr>
              <w:jc w:val="center"/>
              <w:cnfStyle w:val="000000100000" w:firstRow="0" w:lastRow="0" w:firstColumn="0" w:lastColumn="0" w:oddVBand="0" w:evenVBand="0" w:oddHBand="1" w:evenHBand="0" w:firstRowFirstColumn="0" w:firstRowLastColumn="0" w:lastRowFirstColumn="0" w:lastRowLastColumn="0"/>
              <w:rPr>
                <w:sz w:val="16"/>
                <w:szCs w:val="16"/>
              </w:rPr>
            </w:pPr>
            <w:r w:rsidRPr="0051652F">
              <w:rPr>
                <w:sz w:val="16"/>
                <w:szCs w:val="16"/>
              </w:rPr>
              <w:t>0</w:t>
            </w:r>
          </w:p>
        </w:tc>
      </w:tr>
      <w:tr w:rsidR="00674696" w:rsidRPr="0051652F" w:rsidTr="000C56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674696" w:rsidRPr="0051652F" w:rsidRDefault="00674696" w:rsidP="000C5621">
            <w:pPr>
              <w:jc w:val="center"/>
              <w:rPr>
                <w:rFonts w:eastAsiaTheme="minorHAnsi"/>
                <w:b w:val="0"/>
                <w:bCs w:val="0"/>
                <w:sz w:val="16"/>
                <w:szCs w:val="16"/>
              </w:rPr>
            </w:pPr>
            <w:r w:rsidRPr="0051652F">
              <w:rPr>
                <w:rFonts w:eastAsiaTheme="minorHAnsi"/>
                <w:b w:val="0"/>
                <w:bCs w:val="0"/>
                <w:sz w:val="16"/>
                <w:szCs w:val="16"/>
              </w:rPr>
              <w:t>2</w:t>
            </w:r>
          </w:p>
        </w:tc>
        <w:tc>
          <w:tcPr>
            <w:tcW w:w="3284" w:type="dxa"/>
          </w:tcPr>
          <w:p w:rsidR="00674696" w:rsidRPr="0051652F" w:rsidRDefault="00674696" w:rsidP="000C5621">
            <w:pPr>
              <w:jc w:val="both"/>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Microsoft Exchange Standard 2013</w:t>
            </w:r>
            <w:r w:rsidRPr="0051652F">
              <w:rPr>
                <w:sz w:val="16"/>
                <w:szCs w:val="16"/>
              </w:rPr>
              <w:t xml:space="preserve"> CAL</w:t>
            </w:r>
          </w:p>
        </w:tc>
        <w:tc>
          <w:tcPr>
            <w:tcW w:w="2127" w:type="dxa"/>
          </w:tcPr>
          <w:p w:rsidR="00674696" w:rsidRPr="0051652F" w:rsidRDefault="00674696" w:rsidP="000C5621">
            <w:pPr>
              <w:jc w:val="center"/>
              <w:cnfStyle w:val="000000010000" w:firstRow="0" w:lastRow="0" w:firstColumn="0" w:lastColumn="0" w:oddVBand="0" w:evenVBand="0" w:oddHBand="0" w:evenHBand="1" w:firstRowFirstColumn="0" w:firstRowLastColumn="0" w:lastRowFirstColumn="0" w:lastRowLastColumn="0"/>
              <w:rPr>
                <w:sz w:val="16"/>
                <w:szCs w:val="16"/>
              </w:rPr>
            </w:pPr>
            <w:r w:rsidRPr="0051652F">
              <w:rPr>
                <w:sz w:val="16"/>
                <w:szCs w:val="16"/>
              </w:rPr>
              <w:t>85</w:t>
            </w:r>
          </w:p>
        </w:tc>
        <w:tc>
          <w:tcPr>
            <w:tcW w:w="2551" w:type="dxa"/>
          </w:tcPr>
          <w:p w:rsidR="00674696" w:rsidRPr="0051652F" w:rsidRDefault="00674696" w:rsidP="000C5621">
            <w:pPr>
              <w:jc w:val="center"/>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0</w:t>
            </w:r>
          </w:p>
        </w:tc>
      </w:tr>
    </w:tbl>
    <w:p w:rsidR="00674696" w:rsidRPr="0051652F" w:rsidRDefault="00674696" w:rsidP="00674696">
      <w:pPr>
        <w:rPr>
          <w:lang w:val="es-SV"/>
        </w:rPr>
      </w:pPr>
    </w:p>
    <w:p w:rsidR="00674696" w:rsidRPr="0051652F" w:rsidRDefault="00674696" w:rsidP="00674696">
      <w:pPr>
        <w:jc w:val="both"/>
        <w:rPr>
          <w:lang w:val="es-SV"/>
        </w:rPr>
      </w:pPr>
      <w:r w:rsidRPr="0051652F">
        <w:rPr>
          <w:lang w:val="es-SV"/>
        </w:rPr>
        <w:t>Los dispositivos físicos que apoyan en la seguridad de PROESA son los siguientes:</w:t>
      </w:r>
    </w:p>
    <w:tbl>
      <w:tblPr>
        <w:tblStyle w:val="Cuadrculaclara-nfasis11"/>
        <w:tblW w:w="8637" w:type="dxa"/>
        <w:tblLook w:val="04A0" w:firstRow="1" w:lastRow="0" w:firstColumn="1" w:lastColumn="0" w:noHBand="0" w:noVBand="1"/>
      </w:tblPr>
      <w:tblGrid>
        <w:gridCol w:w="675"/>
        <w:gridCol w:w="1158"/>
        <w:gridCol w:w="3969"/>
        <w:gridCol w:w="2835"/>
      </w:tblGrid>
      <w:tr w:rsidR="00674696" w:rsidRPr="0051652F" w:rsidTr="000C5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674696" w:rsidRPr="0051652F" w:rsidRDefault="00674696" w:rsidP="000C5621">
            <w:pPr>
              <w:jc w:val="center"/>
              <w:rPr>
                <w:sz w:val="16"/>
                <w:szCs w:val="16"/>
              </w:rPr>
            </w:pPr>
            <w:r w:rsidRPr="0051652F">
              <w:rPr>
                <w:sz w:val="16"/>
                <w:szCs w:val="16"/>
              </w:rPr>
              <w:t>No.</w:t>
            </w:r>
          </w:p>
        </w:tc>
        <w:tc>
          <w:tcPr>
            <w:tcW w:w="1158" w:type="dxa"/>
          </w:tcPr>
          <w:p w:rsidR="00674696" w:rsidRPr="0051652F" w:rsidRDefault="00674696" w:rsidP="000C5621">
            <w:pPr>
              <w:jc w:val="center"/>
              <w:cnfStyle w:val="100000000000" w:firstRow="1" w:lastRow="0" w:firstColumn="0" w:lastColumn="0" w:oddVBand="0" w:evenVBand="0" w:oddHBand="0" w:evenHBand="0" w:firstRowFirstColumn="0" w:firstRowLastColumn="0" w:lastRowFirstColumn="0" w:lastRowLastColumn="0"/>
              <w:rPr>
                <w:sz w:val="16"/>
                <w:szCs w:val="16"/>
              </w:rPr>
            </w:pPr>
            <w:r w:rsidRPr="0051652F">
              <w:rPr>
                <w:sz w:val="16"/>
                <w:szCs w:val="16"/>
              </w:rPr>
              <w:t>Tipo</w:t>
            </w:r>
          </w:p>
        </w:tc>
        <w:tc>
          <w:tcPr>
            <w:tcW w:w="3969" w:type="dxa"/>
          </w:tcPr>
          <w:p w:rsidR="00674696" w:rsidRPr="0051652F" w:rsidRDefault="00674696" w:rsidP="000C5621">
            <w:pPr>
              <w:jc w:val="center"/>
              <w:cnfStyle w:val="100000000000" w:firstRow="1" w:lastRow="0" w:firstColumn="0" w:lastColumn="0" w:oddVBand="0" w:evenVBand="0" w:oddHBand="0" w:evenHBand="0" w:firstRowFirstColumn="0" w:firstRowLastColumn="0" w:lastRowFirstColumn="0" w:lastRowLastColumn="0"/>
              <w:rPr>
                <w:sz w:val="16"/>
                <w:szCs w:val="16"/>
              </w:rPr>
            </w:pPr>
            <w:r w:rsidRPr="0051652F">
              <w:rPr>
                <w:sz w:val="16"/>
                <w:szCs w:val="16"/>
              </w:rPr>
              <w:t>Descripción de la Función</w:t>
            </w:r>
          </w:p>
        </w:tc>
        <w:tc>
          <w:tcPr>
            <w:tcW w:w="2835" w:type="dxa"/>
          </w:tcPr>
          <w:p w:rsidR="00674696" w:rsidRPr="0051652F" w:rsidRDefault="00674696" w:rsidP="000C5621">
            <w:pPr>
              <w:jc w:val="center"/>
              <w:cnfStyle w:val="100000000000" w:firstRow="1" w:lastRow="0" w:firstColumn="0" w:lastColumn="0" w:oddVBand="0" w:evenVBand="0" w:oddHBand="0" w:evenHBand="0" w:firstRowFirstColumn="0" w:firstRowLastColumn="0" w:lastRowFirstColumn="0" w:lastRowLastColumn="0"/>
              <w:rPr>
                <w:sz w:val="16"/>
                <w:szCs w:val="16"/>
              </w:rPr>
            </w:pPr>
            <w:r w:rsidRPr="0051652F">
              <w:rPr>
                <w:sz w:val="16"/>
                <w:szCs w:val="16"/>
              </w:rPr>
              <w:t>Marca y Modelo</w:t>
            </w:r>
          </w:p>
        </w:tc>
      </w:tr>
      <w:tr w:rsidR="00674696" w:rsidRPr="0051652F" w:rsidTr="000C5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Align w:val="center"/>
          </w:tcPr>
          <w:p w:rsidR="00674696" w:rsidRPr="0051652F" w:rsidRDefault="00674696" w:rsidP="000C5621">
            <w:pPr>
              <w:rPr>
                <w:rFonts w:eastAsiaTheme="minorHAnsi"/>
                <w:b w:val="0"/>
                <w:bCs w:val="0"/>
                <w:sz w:val="16"/>
                <w:szCs w:val="16"/>
              </w:rPr>
            </w:pPr>
            <w:r w:rsidRPr="0051652F">
              <w:rPr>
                <w:rFonts w:eastAsiaTheme="minorHAnsi"/>
                <w:b w:val="0"/>
                <w:bCs w:val="0"/>
                <w:sz w:val="16"/>
                <w:szCs w:val="16"/>
              </w:rPr>
              <w:t>1</w:t>
            </w:r>
          </w:p>
        </w:tc>
        <w:tc>
          <w:tcPr>
            <w:tcW w:w="1158" w:type="dxa"/>
            <w:vAlign w:val="center"/>
          </w:tcPr>
          <w:p w:rsidR="00674696" w:rsidRPr="0051652F" w:rsidRDefault="00674696" w:rsidP="000C5621">
            <w:pPr>
              <w:cnfStyle w:val="000000100000" w:firstRow="0" w:lastRow="0" w:firstColumn="0" w:lastColumn="0" w:oddVBand="0" w:evenVBand="0" w:oddHBand="1" w:evenHBand="0" w:firstRowFirstColumn="0" w:firstRowLastColumn="0" w:lastRowFirstColumn="0" w:lastRowLastColumn="0"/>
              <w:rPr>
                <w:sz w:val="16"/>
                <w:szCs w:val="16"/>
              </w:rPr>
            </w:pPr>
            <w:r w:rsidRPr="0051652F">
              <w:rPr>
                <w:sz w:val="16"/>
                <w:szCs w:val="16"/>
              </w:rPr>
              <w:t>Firewall</w:t>
            </w:r>
          </w:p>
        </w:tc>
        <w:tc>
          <w:tcPr>
            <w:tcW w:w="3969" w:type="dxa"/>
            <w:vAlign w:val="center"/>
          </w:tcPr>
          <w:p w:rsidR="00674696" w:rsidRPr="0051652F" w:rsidRDefault="00674696" w:rsidP="000C5621">
            <w:pPr>
              <w:cnfStyle w:val="000000100000" w:firstRow="0" w:lastRow="0" w:firstColumn="0" w:lastColumn="0" w:oddVBand="0" w:evenVBand="0" w:oddHBand="1" w:evenHBand="0" w:firstRowFirstColumn="0" w:firstRowLastColumn="0" w:lastRowFirstColumn="0" w:lastRowLastColumn="0"/>
              <w:rPr>
                <w:sz w:val="16"/>
                <w:szCs w:val="16"/>
              </w:rPr>
            </w:pPr>
            <w:r w:rsidRPr="0051652F">
              <w:rPr>
                <w:sz w:val="16"/>
                <w:szCs w:val="16"/>
              </w:rPr>
              <w:t>Tiene la función de hacer filtrado Web e IPS.</w:t>
            </w:r>
          </w:p>
        </w:tc>
        <w:tc>
          <w:tcPr>
            <w:tcW w:w="2835" w:type="dxa"/>
            <w:vAlign w:val="center"/>
          </w:tcPr>
          <w:p w:rsidR="00674696" w:rsidRPr="0051652F" w:rsidRDefault="00674696" w:rsidP="000C5621">
            <w:pPr>
              <w:cnfStyle w:val="000000100000" w:firstRow="0" w:lastRow="0" w:firstColumn="0" w:lastColumn="0" w:oddVBand="0" w:evenVBand="0" w:oddHBand="1" w:evenHBand="0" w:firstRowFirstColumn="0" w:firstRowLastColumn="0" w:lastRowFirstColumn="0" w:lastRowLastColumn="0"/>
              <w:rPr>
                <w:sz w:val="16"/>
                <w:szCs w:val="16"/>
              </w:rPr>
            </w:pPr>
            <w:proofErr w:type="spellStart"/>
            <w:r>
              <w:rPr>
                <w:sz w:val="16"/>
                <w:szCs w:val="16"/>
              </w:rPr>
              <w:t>Sophos</w:t>
            </w:r>
            <w:proofErr w:type="spellEnd"/>
            <w:r>
              <w:rPr>
                <w:sz w:val="16"/>
                <w:szCs w:val="16"/>
              </w:rPr>
              <w:t xml:space="preserve"> </w:t>
            </w:r>
            <w:proofErr w:type="spellStart"/>
            <w:r>
              <w:rPr>
                <w:sz w:val="16"/>
                <w:szCs w:val="16"/>
              </w:rPr>
              <w:t>UTM</w:t>
            </w:r>
            <w:proofErr w:type="spellEnd"/>
          </w:p>
        </w:tc>
      </w:tr>
      <w:tr w:rsidR="00674696" w:rsidRPr="0051652F" w:rsidTr="000C56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Align w:val="center"/>
          </w:tcPr>
          <w:p w:rsidR="00674696" w:rsidRPr="0051652F" w:rsidRDefault="00674696" w:rsidP="000C5621">
            <w:pPr>
              <w:rPr>
                <w:rFonts w:eastAsiaTheme="minorHAnsi"/>
                <w:b w:val="0"/>
                <w:bCs w:val="0"/>
                <w:sz w:val="16"/>
                <w:szCs w:val="16"/>
              </w:rPr>
            </w:pPr>
            <w:r w:rsidRPr="0051652F">
              <w:rPr>
                <w:rFonts w:eastAsiaTheme="minorHAnsi"/>
                <w:b w:val="0"/>
                <w:bCs w:val="0"/>
                <w:sz w:val="16"/>
                <w:szCs w:val="16"/>
              </w:rPr>
              <w:t>2</w:t>
            </w:r>
          </w:p>
        </w:tc>
        <w:tc>
          <w:tcPr>
            <w:tcW w:w="1158" w:type="dxa"/>
            <w:vAlign w:val="center"/>
          </w:tcPr>
          <w:p w:rsidR="00674696" w:rsidRPr="0051652F" w:rsidRDefault="00674696" w:rsidP="000C5621">
            <w:pPr>
              <w:cnfStyle w:val="000000010000" w:firstRow="0" w:lastRow="0" w:firstColumn="0" w:lastColumn="0" w:oddVBand="0" w:evenVBand="0" w:oddHBand="0" w:evenHBand="1" w:firstRowFirstColumn="0" w:firstRowLastColumn="0" w:lastRowFirstColumn="0" w:lastRowLastColumn="0"/>
              <w:rPr>
                <w:sz w:val="16"/>
                <w:szCs w:val="16"/>
              </w:rPr>
            </w:pPr>
            <w:proofErr w:type="spellStart"/>
            <w:r w:rsidRPr="0051652F">
              <w:rPr>
                <w:sz w:val="16"/>
                <w:szCs w:val="16"/>
              </w:rPr>
              <w:t>Antispam</w:t>
            </w:r>
            <w:proofErr w:type="spellEnd"/>
          </w:p>
        </w:tc>
        <w:tc>
          <w:tcPr>
            <w:tcW w:w="3969" w:type="dxa"/>
            <w:vAlign w:val="center"/>
          </w:tcPr>
          <w:p w:rsidR="00674696" w:rsidRPr="0051652F" w:rsidRDefault="00674696" w:rsidP="000C5621">
            <w:pPr>
              <w:cnfStyle w:val="000000010000" w:firstRow="0" w:lastRow="0" w:firstColumn="0" w:lastColumn="0" w:oddVBand="0" w:evenVBand="0" w:oddHBand="0" w:evenHBand="1" w:firstRowFirstColumn="0" w:firstRowLastColumn="0" w:lastRowFirstColumn="0" w:lastRowLastColumn="0"/>
              <w:rPr>
                <w:sz w:val="16"/>
                <w:szCs w:val="16"/>
              </w:rPr>
            </w:pPr>
            <w:r w:rsidRPr="0051652F">
              <w:rPr>
                <w:sz w:val="16"/>
                <w:szCs w:val="16"/>
              </w:rPr>
              <w:t>Filtra todo correo SPAM  antes de llegar a nuestro servidor de correo.</w:t>
            </w:r>
          </w:p>
        </w:tc>
        <w:tc>
          <w:tcPr>
            <w:tcW w:w="2835" w:type="dxa"/>
            <w:vAlign w:val="center"/>
          </w:tcPr>
          <w:p w:rsidR="00674696" w:rsidRPr="0051652F" w:rsidRDefault="00674696" w:rsidP="000C5621">
            <w:pPr>
              <w:cnfStyle w:val="000000010000" w:firstRow="0" w:lastRow="0" w:firstColumn="0" w:lastColumn="0" w:oddVBand="0" w:evenVBand="0" w:oddHBand="0" w:evenHBand="1" w:firstRowFirstColumn="0" w:firstRowLastColumn="0" w:lastRowFirstColumn="0" w:lastRowLastColumn="0"/>
              <w:rPr>
                <w:sz w:val="16"/>
                <w:szCs w:val="16"/>
              </w:rPr>
            </w:pPr>
            <w:proofErr w:type="spellStart"/>
            <w:r>
              <w:rPr>
                <w:sz w:val="16"/>
                <w:szCs w:val="16"/>
              </w:rPr>
              <w:t>Sophos</w:t>
            </w:r>
            <w:proofErr w:type="spellEnd"/>
            <w:r>
              <w:rPr>
                <w:sz w:val="16"/>
                <w:szCs w:val="16"/>
              </w:rPr>
              <w:t xml:space="preserve"> </w:t>
            </w:r>
            <w:proofErr w:type="spellStart"/>
            <w:r>
              <w:rPr>
                <w:sz w:val="16"/>
                <w:szCs w:val="16"/>
              </w:rPr>
              <w:t>UTM</w:t>
            </w:r>
            <w:proofErr w:type="spellEnd"/>
          </w:p>
        </w:tc>
      </w:tr>
    </w:tbl>
    <w:p w:rsidR="00674696" w:rsidRPr="0051652F" w:rsidRDefault="00674696" w:rsidP="00674696">
      <w:pPr>
        <w:rPr>
          <w:lang w:val="es-SV"/>
        </w:rPr>
      </w:pPr>
    </w:p>
    <w:p w:rsidR="00674696" w:rsidRPr="0051652F" w:rsidRDefault="00674696" w:rsidP="00674696">
      <w:pPr>
        <w:rPr>
          <w:lang w:val="es-SV"/>
        </w:rPr>
      </w:pPr>
    </w:p>
    <w:p w:rsidR="00674696" w:rsidRPr="0051652F" w:rsidRDefault="00674696" w:rsidP="00674696">
      <w:pPr>
        <w:autoSpaceDE w:val="0"/>
        <w:autoSpaceDN w:val="0"/>
        <w:adjustRightInd w:val="0"/>
        <w:rPr>
          <w:rFonts w:ascii="Book Antiqua" w:hAnsi="Book Antiqua" w:cs="SegoeUI"/>
          <w:color w:val="191919"/>
          <w:lang w:val="es-SV"/>
        </w:rPr>
      </w:pPr>
    </w:p>
    <w:p w:rsidR="0074168C" w:rsidRPr="00674696" w:rsidRDefault="0074168C" w:rsidP="00674696"/>
    <w:sectPr w:rsidR="0074168C" w:rsidRPr="00674696" w:rsidSect="00662333">
      <w:headerReference w:type="default" r:id="rId10"/>
      <w:footerReference w:type="default" r:id="rId11"/>
      <w:pgSz w:w="12240" w:h="15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33C" w:rsidRDefault="00D3733C" w:rsidP="0074168C">
      <w:r>
        <w:separator/>
      </w:r>
    </w:p>
  </w:endnote>
  <w:endnote w:type="continuationSeparator" w:id="0">
    <w:p w:rsidR="00D3733C" w:rsidRDefault="00D3733C" w:rsidP="00741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SegoeUI">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68C" w:rsidRPr="0074168C" w:rsidRDefault="00F60F10" w:rsidP="0074168C">
    <w:pPr>
      <w:pStyle w:val="Piedepgina"/>
    </w:pPr>
    <w:r>
      <w:rPr>
        <w:noProof/>
        <w:lang w:val="es-SV" w:eastAsia="es-SV"/>
      </w:rPr>
      <w:drawing>
        <wp:anchor distT="0" distB="0" distL="114300" distR="114300" simplePos="0" relativeHeight="251658240" behindDoc="1" locked="0" layoutInCell="1" allowOverlap="1" wp14:anchorId="28DC2394" wp14:editId="204DB9E3">
          <wp:simplePos x="0" y="0"/>
          <wp:positionH relativeFrom="column">
            <wp:posOffset>800100</wp:posOffset>
          </wp:positionH>
          <wp:positionV relativeFrom="paragraph">
            <wp:posOffset>-300990</wp:posOffset>
          </wp:positionV>
          <wp:extent cx="4809490" cy="816610"/>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PAGINA.png"/>
                  <pic:cNvPicPr/>
                </pic:nvPicPr>
                <pic:blipFill>
                  <a:blip r:embed="rId1">
                    <a:extLst>
                      <a:ext uri="{28A0092B-C50C-407E-A947-70E740481C1C}">
                        <a14:useLocalDpi xmlns:a14="http://schemas.microsoft.com/office/drawing/2010/main" val="0"/>
                      </a:ext>
                    </a:extLst>
                  </a:blip>
                  <a:stretch>
                    <a:fillRect/>
                  </a:stretch>
                </pic:blipFill>
                <pic:spPr>
                  <a:xfrm>
                    <a:off x="0" y="0"/>
                    <a:ext cx="4809490" cy="8166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33C" w:rsidRDefault="00D3733C" w:rsidP="0074168C">
      <w:r>
        <w:separator/>
      </w:r>
    </w:p>
  </w:footnote>
  <w:footnote w:type="continuationSeparator" w:id="0">
    <w:p w:rsidR="00D3733C" w:rsidRDefault="00D3733C" w:rsidP="00741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68C" w:rsidRPr="0074168C" w:rsidRDefault="00036847" w:rsidP="0074168C">
    <w:pPr>
      <w:pStyle w:val="Encabezado"/>
    </w:pPr>
    <w:r>
      <w:rPr>
        <w:noProof/>
        <w:lang w:val="es-SV" w:eastAsia="es-SV"/>
      </w:rPr>
      <w:drawing>
        <wp:anchor distT="0" distB="0" distL="114300" distR="114300" simplePos="0" relativeHeight="251655680" behindDoc="1" locked="0" layoutInCell="1" allowOverlap="1" wp14:anchorId="3B930192" wp14:editId="4424CBEB">
          <wp:simplePos x="0" y="0"/>
          <wp:positionH relativeFrom="column">
            <wp:posOffset>314325</wp:posOffset>
          </wp:positionH>
          <wp:positionV relativeFrom="paragraph">
            <wp:posOffset>69215</wp:posOffset>
          </wp:positionV>
          <wp:extent cx="6724650" cy="7460016"/>
          <wp:effectExtent l="0" t="0" r="6350" b="762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_PROESA-03.png"/>
                  <pic:cNvPicPr/>
                </pic:nvPicPr>
                <pic:blipFill rotWithShape="1">
                  <a:blip r:embed="rId1">
                    <a:extLst>
                      <a:ext uri="{28A0092B-C50C-407E-A947-70E740481C1C}">
                        <a14:useLocalDpi xmlns:a14="http://schemas.microsoft.com/office/drawing/2010/main" val="0"/>
                      </a:ext>
                    </a:extLst>
                  </a:blip>
                  <a:srcRect l="8094" t="3277" r="-408" b="17109"/>
                  <a:stretch/>
                </pic:blipFill>
                <pic:spPr bwMode="auto">
                  <a:xfrm>
                    <a:off x="0" y="0"/>
                    <a:ext cx="6724650" cy="74600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2E8C">
      <w:rPr>
        <w:noProof/>
        <w:lang w:val="es-SV" w:eastAsia="es-SV"/>
      </w:rPr>
      <w:drawing>
        <wp:anchor distT="0" distB="0" distL="114300" distR="114300" simplePos="0" relativeHeight="251658752" behindDoc="1" locked="0" layoutInCell="1" allowOverlap="1" wp14:anchorId="15BC705B" wp14:editId="6C7C405E">
          <wp:simplePos x="0" y="0"/>
          <wp:positionH relativeFrom="page">
            <wp:align>center</wp:align>
          </wp:positionH>
          <wp:positionV relativeFrom="paragraph">
            <wp:posOffset>-163195</wp:posOffset>
          </wp:positionV>
          <wp:extent cx="2970000" cy="630000"/>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2.png"/>
                  <pic:cNvPicPr/>
                </pic:nvPicPr>
                <pic:blipFill rotWithShape="1">
                  <a:blip r:embed="rId2">
                    <a:extLst>
                      <a:ext uri="{28A0092B-C50C-407E-A947-70E740481C1C}">
                        <a14:useLocalDpi xmlns:a14="http://schemas.microsoft.com/office/drawing/2010/main" val="0"/>
                      </a:ext>
                    </a:extLst>
                  </a:blip>
                  <a:srcRect t="18499" b="28407"/>
                  <a:stretch/>
                </pic:blipFill>
                <pic:spPr bwMode="auto">
                  <a:xfrm>
                    <a:off x="0" y="0"/>
                    <a:ext cx="2970000" cy="63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323315"/>
    <w:multiLevelType w:val="hybridMultilevel"/>
    <w:tmpl w:val="C15A539A"/>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SV" w:vendorID="64" w:dllVersion="131078" w:nlCheck="1" w:checkStyle="0"/>
  <w:activeWritingStyle w:appName="MSWord" w:lang="en-US" w:vendorID="64" w:dllVersion="131078" w:nlCheck="1" w:checkStyle="1"/>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D85"/>
    <w:rsid w:val="00016D85"/>
    <w:rsid w:val="00033139"/>
    <w:rsid w:val="00036847"/>
    <w:rsid w:val="000D0D55"/>
    <w:rsid w:val="00155201"/>
    <w:rsid w:val="003F3FDC"/>
    <w:rsid w:val="004A220E"/>
    <w:rsid w:val="004B2EC3"/>
    <w:rsid w:val="00622F07"/>
    <w:rsid w:val="00662333"/>
    <w:rsid w:val="00674696"/>
    <w:rsid w:val="0074168C"/>
    <w:rsid w:val="00775AB9"/>
    <w:rsid w:val="00781E0D"/>
    <w:rsid w:val="00915942"/>
    <w:rsid w:val="009924E6"/>
    <w:rsid w:val="00AC0619"/>
    <w:rsid w:val="00B32E8C"/>
    <w:rsid w:val="00B809BD"/>
    <w:rsid w:val="00BA426F"/>
    <w:rsid w:val="00BD2DDA"/>
    <w:rsid w:val="00C87634"/>
    <w:rsid w:val="00C96B9A"/>
    <w:rsid w:val="00D200DE"/>
    <w:rsid w:val="00D3471B"/>
    <w:rsid w:val="00D3733C"/>
    <w:rsid w:val="00DD5160"/>
    <w:rsid w:val="00E34788"/>
    <w:rsid w:val="00EE2558"/>
    <w:rsid w:val="00F60F10"/>
    <w:rsid w:val="00FE1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E89476"/>
  <w14:defaultImageDpi w14:val="300"/>
  <w15:docId w15:val="{AC615EF4-6B23-45DB-AF19-95051624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link w:val="Ttulo4Car"/>
    <w:uiPriority w:val="9"/>
    <w:semiHidden/>
    <w:unhideWhenUsed/>
    <w:qFormat/>
    <w:rsid w:val="00674696"/>
    <w:pPr>
      <w:keepNext/>
      <w:keepLines/>
      <w:widowControl w:val="0"/>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168C"/>
    <w:pPr>
      <w:tabs>
        <w:tab w:val="center" w:pos="4419"/>
        <w:tab w:val="right" w:pos="8838"/>
      </w:tabs>
    </w:pPr>
  </w:style>
  <w:style w:type="character" w:customStyle="1" w:styleId="EncabezadoCar">
    <w:name w:val="Encabezado Car"/>
    <w:basedOn w:val="Fuentedeprrafopredeter"/>
    <w:link w:val="Encabezado"/>
    <w:uiPriority w:val="99"/>
    <w:rsid w:val="0074168C"/>
  </w:style>
  <w:style w:type="paragraph" w:styleId="Piedepgina">
    <w:name w:val="footer"/>
    <w:basedOn w:val="Normal"/>
    <w:link w:val="PiedepginaCar"/>
    <w:uiPriority w:val="99"/>
    <w:unhideWhenUsed/>
    <w:rsid w:val="0074168C"/>
    <w:pPr>
      <w:tabs>
        <w:tab w:val="center" w:pos="4419"/>
        <w:tab w:val="right" w:pos="8838"/>
      </w:tabs>
    </w:pPr>
  </w:style>
  <w:style w:type="character" w:customStyle="1" w:styleId="PiedepginaCar">
    <w:name w:val="Pie de página Car"/>
    <w:basedOn w:val="Fuentedeprrafopredeter"/>
    <w:link w:val="Piedepgina"/>
    <w:uiPriority w:val="99"/>
    <w:rsid w:val="0074168C"/>
  </w:style>
  <w:style w:type="paragraph" w:styleId="Textodeglobo">
    <w:name w:val="Balloon Text"/>
    <w:basedOn w:val="Normal"/>
    <w:link w:val="TextodegloboCar"/>
    <w:uiPriority w:val="99"/>
    <w:semiHidden/>
    <w:unhideWhenUsed/>
    <w:rsid w:val="007416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4168C"/>
    <w:rPr>
      <w:rFonts w:ascii="Lucida Grande" w:hAnsi="Lucida Grande" w:cs="Lucida Grande"/>
      <w:sz w:val="18"/>
      <w:szCs w:val="18"/>
    </w:rPr>
  </w:style>
  <w:style w:type="table" w:styleId="Tablaconcuadrcula">
    <w:name w:val="Table Grid"/>
    <w:basedOn w:val="Tablanormal"/>
    <w:uiPriority w:val="39"/>
    <w:rsid w:val="00662333"/>
    <w:rPr>
      <w:rFonts w:ascii="Cambria" w:eastAsia="MS Mincho" w:hAnsi="Cambria" w:cs="Times New Roman"/>
      <w:sz w:val="20"/>
      <w:szCs w:val="20"/>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674696"/>
    <w:rPr>
      <w:rFonts w:asciiTheme="majorHAnsi" w:eastAsiaTheme="majorEastAsia" w:hAnsiTheme="majorHAnsi" w:cstheme="majorBidi"/>
      <w:i/>
      <w:iCs/>
      <w:color w:val="365F91" w:themeColor="accent1" w:themeShade="BF"/>
      <w:sz w:val="22"/>
      <w:szCs w:val="22"/>
      <w:lang w:eastAsia="en-US"/>
    </w:rPr>
  </w:style>
  <w:style w:type="paragraph" w:styleId="Prrafodelista">
    <w:name w:val="List Paragraph"/>
    <w:basedOn w:val="Normal"/>
    <w:uiPriority w:val="72"/>
    <w:qFormat/>
    <w:rsid w:val="00674696"/>
    <w:pPr>
      <w:widowControl w:val="0"/>
      <w:spacing w:after="200" w:line="276" w:lineRule="auto"/>
      <w:ind w:left="720"/>
      <w:contextualSpacing/>
    </w:pPr>
    <w:rPr>
      <w:rFonts w:eastAsiaTheme="minorHAnsi"/>
      <w:sz w:val="22"/>
      <w:szCs w:val="22"/>
      <w:lang w:eastAsia="en-US"/>
    </w:rPr>
  </w:style>
  <w:style w:type="table" w:customStyle="1" w:styleId="Cuadrculaclara-nfasis11">
    <w:name w:val="Cuadrícula clara - Énfasis 11"/>
    <w:basedOn w:val="Tablanormal"/>
    <w:uiPriority w:val="62"/>
    <w:rsid w:val="00674696"/>
    <w:rPr>
      <w:rFonts w:eastAsiaTheme="minorHAnsi"/>
      <w:sz w:val="22"/>
      <w:szCs w:val="22"/>
      <w:lang w:val="es-SV"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0893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2405E5E3D93E4192F565E5A5593EA0" ma:contentTypeVersion="0" ma:contentTypeDescription="Crear nuevo documento." ma:contentTypeScope="" ma:versionID="dbc38676f253daf92e0c79a9634ee116">
  <xsd:schema xmlns:xsd="http://www.w3.org/2001/XMLSchema" xmlns:p="http://schemas.microsoft.com/office/2006/metadata/properties" targetNamespace="http://schemas.microsoft.com/office/2006/metadata/properties" ma:root="true" ma:fieldsID="b004d877ca112f136821ba8115f647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6FF000-D6A4-41B3-AD17-CCA55C238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A232BA5-212E-42E6-BA81-4D6C219524F7}">
  <ds:schemaRefs>
    <ds:schemaRef ds:uri="http://schemas.microsoft.com/office/2006/metadata/properties"/>
  </ds:schemaRefs>
</ds:datastoreItem>
</file>

<file path=customXml/itemProps3.xml><?xml version="1.0" encoding="utf-8"?>
<ds:datastoreItem xmlns:ds="http://schemas.openxmlformats.org/officeDocument/2006/customXml" ds:itemID="{1313F989-7397-464C-B576-96FFB47CF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Pages>
  <Words>624</Words>
  <Characters>3437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PROESA</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Hector Cartagena</dc:creator>
  <cp:lastModifiedBy>Yamileth Pérez de Jurado</cp:lastModifiedBy>
  <cp:revision>3</cp:revision>
  <cp:lastPrinted>2019-09-11T22:05:00Z</cp:lastPrinted>
  <dcterms:created xsi:type="dcterms:W3CDTF">2019-10-04T22:05:00Z</dcterms:created>
  <dcterms:modified xsi:type="dcterms:W3CDTF">2019-10-04T22:09:00Z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0x010100C32405E5E3D93E4192F565E5A5593EA0</vt:lpwstr>
  </property>
</Properties>
</file>