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1B6916" w:rsidRDefault="00D42AB1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1B6916">
        <w:rPr>
          <w:rFonts w:asciiTheme="minorHAnsi" w:hAnsiTheme="minorHAnsi" w:cs="Arial"/>
          <w:sz w:val="20"/>
          <w:szCs w:val="20"/>
        </w:rPr>
        <w:t xml:space="preserve">Oficina de Planificación del Área Metropolitana de San Salvador, en la ciudad de San Salvador a las </w:t>
      </w:r>
      <w:r w:rsidR="00D346EF">
        <w:rPr>
          <w:rFonts w:asciiTheme="minorHAnsi" w:hAnsiTheme="minorHAnsi" w:cs="Arial"/>
          <w:sz w:val="20"/>
          <w:szCs w:val="20"/>
        </w:rPr>
        <w:t>catorce</w:t>
      </w:r>
      <w:r w:rsidRPr="001B6916">
        <w:rPr>
          <w:rFonts w:asciiTheme="minorHAnsi" w:hAnsiTheme="minorHAnsi" w:cs="Arial"/>
          <w:sz w:val="20"/>
          <w:szCs w:val="20"/>
        </w:rPr>
        <w:t xml:space="preserve"> horas </w:t>
      </w:r>
      <w:r w:rsidR="006A18FC" w:rsidRPr="001B6916">
        <w:rPr>
          <w:rFonts w:asciiTheme="minorHAnsi" w:hAnsiTheme="minorHAnsi" w:cs="Arial"/>
          <w:sz w:val="20"/>
          <w:szCs w:val="20"/>
        </w:rPr>
        <w:t xml:space="preserve">con </w:t>
      </w:r>
      <w:r w:rsidR="00D346EF">
        <w:rPr>
          <w:rFonts w:asciiTheme="minorHAnsi" w:hAnsiTheme="minorHAnsi" w:cs="Arial"/>
          <w:sz w:val="20"/>
          <w:szCs w:val="20"/>
        </w:rPr>
        <w:t>cuarenta</w:t>
      </w:r>
      <w:r w:rsidR="006A18FC" w:rsidRPr="001B6916">
        <w:rPr>
          <w:rFonts w:asciiTheme="minorHAnsi" w:hAnsiTheme="minorHAnsi" w:cs="Arial"/>
          <w:sz w:val="20"/>
          <w:szCs w:val="20"/>
        </w:rPr>
        <w:t xml:space="preserve"> y cinco minutos </w:t>
      </w:r>
      <w:r w:rsidRPr="001B6916">
        <w:rPr>
          <w:rFonts w:asciiTheme="minorHAnsi" w:hAnsiTheme="minorHAnsi" w:cs="Arial"/>
          <w:sz w:val="20"/>
          <w:szCs w:val="20"/>
        </w:rPr>
        <w:t xml:space="preserve">del </w:t>
      </w:r>
      <w:r w:rsidR="00D346EF">
        <w:rPr>
          <w:rFonts w:asciiTheme="minorHAnsi" w:hAnsiTheme="minorHAnsi" w:cs="Arial"/>
          <w:sz w:val="20"/>
          <w:szCs w:val="20"/>
        </w:rPr>
        <w:t>día diecinueve de febrero del año dos mil veinte</w:t>
      </w:r>
      <w:r w:rsidRPr="001B6916">
        <w:rPr>
          <w:rFonts w:asciiTheme="minorHAnsi" w:hAnsiTheme="minorHAnsi" w:cs="Arial"/>
          <w:sz w:val="20"/>
          <w:szCs w:val="20"/>
        </w:rPr>
        <w:t>.</w:t>
      </w:r>
    </w:p>
    <w:p w:rsidR="001B6916" w:rsidRPr="001B6916" w:rsidRDefault="001B6916" w:rsidP="004F5368">
      <w:pPr>
        <w:pStyle w:val="Default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B6916" w:rsidRPr="001B6916" w:rsidRDefault="001B6916" w:rsidP="004F536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sz w:val="20"/>
          <w:szCs w:val="20"/>
        </w:rPr>
        <w:t xml:space="preserve">Que con fecha seis de febrero del dos mil veinte, se recibió solicitud de información interpuesta de forma digital, registrada bajo el número </w:t>
      </w:r>
      <w:r w:rsidRPr="001B6916">
        <w:rPr>
          <w:rFonts w:cs="Arial"/>
          <w:b/>
          <w:sz w:val="20"/>
          <w:szCs w:val="20"/>
        </w:rPr>
        <w:t>UAIPT No. 0019-2020</w:t>
      </w:r>
      <w:r w:rsidRPr="001B6916">
        <w:rPr>
          <w:rFonts w:cs="Arial"/>
          <w:sz w:val="20"/>
          <w:szCs w:val="20"/>
        </w:rPr>
        <w:t xml:space="preserve"> ante esta unidad, de parte de </w:t>
      </w:r>
      <w:r w:rsidR="001B0C3E">
        <w:rPr>
          <w:rFonts w:cs="Arial"/>
          <w:b/>
          <w:sz w:val="20"/>
          <w:szCs w:val="20"/>
        </w:rPr>
        <w:t xml:space="preserve">       </w:t>
      </w:r>
      <w:r w:rsidRPr="001B6916">
        <w:rPr>
          <w:rFonts w:cs="Arial"/>
          <w:b/>
          <w:sz w:val="20"/>
          <w:szCs w:val="20"/>
        </w:rPr>
        <w:t xml:space="preserve">, </w:t>
      </w:r>
      <w:r w:rsidRPr="001B6916">
        <w:rPr>
          <w:rFonts w:cs="Arial"/>
          <w:sz w:val="20"/>
          <w:szCs w:val="20"/>
        </w:rPr>
        <w:t>quien se identificó por medio de su Documento Único de Identidad número</w:t>
      </w:r>
      <w:r w:rsidRPr="001B6916">
        <w:rPr>
          <w:rFonts w:cs="Arial"/>
          <w:b/>
          <w:sz w:val="20"/>
          <w:szCs w:val="20"/>
        </w:rPr>
        <w:t xml:space="preserve"> </w:t>
      </w:r>
      <w:r w:rsidR="001B0C3E">
        <w:rPr>
          <w:rFonts w:cs="Arial"/>
          <w:b/>
          <w:sz w:val="20"/>
          <w:szCs w:val="20"/>
        </w:rPr>
        <w:t xml:space="preserve">        </w:t>
      </w:r>
      <w:bookmarkStart w:id="0" w:name="_GoBack"/>
      <w:bookmarkEnd w:id="0"/>
      <w:r w:rsidRPr="001B6916">
        <w:rPr>
          <w:rFonts w:cs="Arial"/>
          <w:b/>
          <w:sz w:val="20"/>
          <w:szCs w:val="20"/>
        </w:rPr>
        <w:t xml:space="preserve">, </w:t>
      </w:r>
      <w:r w:rsidRPr="001B6916">
        <w:rPr>
          <w:rFonts w:cs="Arial"/>
          <w:sz w:val="20"/>
          <w:szCs w:val="20"/>
        </w:rPr>
        <w:t xml:space="preserve">requiriendo </w:t>
      </w:r>
      <w:bookmarkStart w:id="1" w:name="_Hlk496184085"/>
      <w:r w:rsidRPr="001B6916">
        <w:rPr>
          <w:rFonts w:cs="Arial"/>
          <w:sz w:val="20"/>
          <w:szCs w:val="20"/>
        </w:rPr>
        <w:t>la información siguiente:</w:t>
      </w:r>
      <w:bookmarkEnd w:id="1"/>
      <w:r w:rsidRPr="001B6916">
        <w:rPr>
          <w:rFonts w:cs="Arial"/>
          <w:sz w:val="20"/>
          <w:szCs w:val="20"/>
        </w:rPr>
        <w:t xml:space="preserve"> </w:t>
      </w:r>
      <w:r w:rsidRPr="001B6916">
        <w:rPr>
          <w:rFonts w:cs="Arial"/>
          <w:b/>
          <w:sz w:val="20"/>
          <w:szCs w:val="20"/>
        </w:rPr>
        <w:t>“Que se me informe estado actual de todas las solicitudes de permisos de Construcción, presentada a OPAMSS por cualquier empresa constructora en la Colonia Lomas de Altamira Etapa #1 y Etapa #2.”</w:t>
      </w:r>
    </w:p>
    <w:p w:rsidR="00D42AB1" w:rsidRPr="001B6916" w:rsidRDefault="00D42AB1" w:rsidP="004F5368">
      <w:pPr>
        <w:pStyle w:val="Prrafodelista"/>
        <w:spacing w:after="0" w:line="360" w:lineRule="auto"/>
        <w:jc w:val="both"/>
        <w:rPr>
          <w:rFonts w:cs="Arial"/>
          <w:sz w:val="20"/>
          <w:szCs w:val="20"/>
        </w:rPr>
      </w:pPr>
    </w:p>
    <w:p w:rsidR="00285A34" w:rsidRPr="001B6916" w:rsidRDefault="00D42AB1" w:rsidP="004F536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cs="Arial"/>
          <w:sz w:val="20"/>
          <w:szCs w:val="20"/>
        </w:rPr>
      </w:pPr>
      <w:r w:rsidRPr="001B6916">
        <w:rPr>
          <w:rFonts w:cs="Arial"/>
          <w:sz w:val="20"/>
          <w:szCs w:val="20"/>
        </w:rPr>
        <w:t xml:space="preserve">Que en su fecha esta Unidad realizó consulta al Departamento </w:t>
      </w:r>
      <w:r w:rsidR="00BF65D4" w:rsidRPr="001B6916">
        <w:rPr>
          <w:rFonts w:cs="Arial"/>
          <w:sz w:val="20"/>
          <w:szCs w:val="20"/>
        </w:rPr>
        <w:t xml:space="preserve">de </w:t>
      </w:r>
      <w:r w:rsidR="00D346EF">
        <w:rPr>
          <w:rFonts w:cs="Arial"/>
          <w:sz w:val="20"/>
          <w:szCs w:val="20"/>
        </w:rPr>
        <w:t>Revisión Preliminar, Receptoría y Archivo</w:t>
      </w:r>
      <w:r w:rsidR="00F771F8" w:rsidRPr="001B6916">
        <w:rPr>
          <w:rFonts w:cs="Arial"/>
          <w:sz w:val="20"/>
          <w:szCs w:val="20"/>
        </w:rPr>
        <w:t>,</w:t>
      </w:r>
      <w:r w:rsidRPr="001B6916">
        <w:rPr>
          <w:rFonts w:cs="Arial"/>
          <w:sz w:val="20"/>
          <w:szCs w:val="20"/>
        </w:rPr>
        <w:t xml:space="preserve"> a fin de que se pronunciara sobre lo solicitado; al respecto informa que</w:t>
      </w:r>
      <w:r w:rsidR="00424205" w:rsidRPr="001B6916">
        <w:rPr>
          <w:rFonts w:cs="Arial"/>
          <w:sz w:val="20"/>
          <w:szCs w:val="20"/>
        </w:rPr>
        <w:t>:</w:t>
      </w:r>
      <w:r w:rsidRPr="001B6916">
        <w:rPr>
          <w:rFonts w:cs="Arial"/>
          <w:sz w:val="20"/>
          <w:szCs w:val="20"/>
        </w:rPr>
        <w:t xml:space="preserve"> </w:t>
      </w:r>
    </w:p>
    <w:p w:rsidR="00D42AB1" w:rsidRPr="001B6916" w:rsidRDefault="004F53B3" w:rsidP="004F5368">
      <w:pPr>
        <w:pStyle w:val="Prrafodelista"/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Luego de realizar búsqueda en el sistema de “Trámites y Antecedentes”</w:t>
      </w:r>
      <w:r w:rsidR="007F26A9">
        <w:rPr>
          <w:rFonts w:cs="Arial"/>
          <w:sz w:val="20"/>
          <w:szCs w:val="20"/>
        </w:rPr>
        <w:t xml:space="preserve"> que lleva éste departamento, se informa que para las generales de ubicación y proyecto indicadas</w:t>
      </w:r>
      <w:r w:rsidR="002968D8">
        <w:rPr>
          <w:rFonts w:cs="Arial"/>
          <w:sz w:val="20"/>
          <w:szCs w:val="20"/>
        </w:rPr>
        <w:t xml:space="preserve"> y en vista que se interpretó como “estado actual” información correspondiente a los años 2019 y lo que va del 2020, se verifican registros de permisos de construcción No. 0316-2019 y 0536-2019, ambos actualmente con</w:t>
      </w:r>
      <w:r w:rsidR="002968D8" w:rsidRPr="002968D8">
        <w:rPr>
          <w:rFonts w:cs="Arial"/>
          <w:sz w:val="20"/>
          <w:szCs w:val="20"/>
        </w:rPr>
        <w:t xml:space="preserve"> memorando</w:t>
      </w:r>
      <w:r w:rsidR="009C28F9">
        <w:rPr>
          <w:rFonts w:cs="Arial"/>
          <w:sz w:val="20"/>
          <w:szCs w:val="20"/>
        </w:rPr>
        <w:t>, por lo que no se cuenta con</w:t>
      </w:r>
      <w:r w:rsidR="00C22311">
        <w:rPr>
          <w:rFonts w:cs="Arial"/>
          <w:sz w:val="20"/>
          <w:szCs w:val="20"/>
        </w:rPr>
        <w:t xml:space="preserve"> registro en el archivo institucional de la</w:t>
      </w:r>
      <w:r w:rsidR="009C28F9">
        <w:rPr>
          <w:rFonts w:cs="Arial"/>
          <w:sz w:val="20"/>
          <w:szCs w:val="20"/>
        </w:rPr>
        <w:t xml:space="preserve"> información</w:t>
      </w:r>
      <w:r w:rsidR="00C22311">
        <w:rPr>
          <w:rFonts w:cs="Arial"/>
          <w:sz w:val="20"/>
          <w:szCs w:val="20"/>
        </w:rPr>
        <w:t xml:space="preserve"> </w:t>
      </w:r>
      <w:r w:rsidR="00BF41C0">
        <w:rPr>
          <w:rFonts w:cs="Arial"/>
          <w:sz w:val="20"/>
          <w:szCs w:val="20"/>
        </w:rPr>
        <w:t>peticionada</w:t>
      </w:r>
      <w:r w:rsidR="00C22311">
        <w:rPr>
          <w:rFonts w:cs="Arial"/>
          <w:sz w:val="20"/>
          <w:szCs w:val="20"/>
        </w:rPr>
        <w:t>,</w:t>
      </w:r>
      <w:r w:rsidR="009C28F9">
        <w:rPr>
          <w:rFonts w:cs="Arial"/>
          <w:sz w:val="20"/>
          <w:szCs w:val="20"/>
        </w:rPr>
        <w:t xml:space="preserve"> </w:t>
      </w:r>
      <w:r w:rsidR="004F5368">
        <w:rPr>
          <w:rFonts w:cs="Arial"/>
          <w:sz w:val="20"/>
          <w:szCs w:val="20"/>
        </w:rPr>
        <w:t>ya que está en poder del solicitante. Sobre el registro del Permiso de Construcción bajo referencia No. 0340-2019, éste cuenta con información clasificada como confidencial, por lo que</w:t>
      </w:r>
      <w:r w:rsidR="00A0075B" w:rsidRPr="001B6916">
        <w:rPr>
          <w:rFonts w:cs="Arial"/>
          <w:sz w:val="20"/>
          <w:szCs w:val="20"/>
        </w:rPr>
        <w:t xml:space="preserve"> </w:t>
      </w:r>
      <w:r w:rsidR="004F5368">
        <w:rPr>
          <w:rFonts w:cs="Arial"/>
          <w:sz w:val="20"/>
          <w:szCs w:val="20"/>
        </w:rPr>
        <w:t>s</w:t>
      </w:r>
      <w:r w:rsidR="00A0075B" w:rsidRPr="001B6916">
        <w:rPr>
          <w:rFonts w:cs="Arial"/>
          <w:sz w:val="20"/>
          <w:szCs w:val="20"/>
        </w:rPr>
        <w:t xml:space="preserve">e </w:t>
      </w:r>
      <w:r w:rsidR="004F5368">
        <w:rPr>
          <w:rFonts w:cs="Arial"/>
          <w:sz w:val="20"/>
          <w:szCs w:val="20"/>
        </w:rPr>
        <w:t xml:space="preserve">concede el acceso a la información </w:t>
      </w:r>
      <w:r w:rsidR="00A0075B" w:rsidRPr="001B6916">
        <w:rPr>
          <w:rFonts w:cs="Arial"/>
          <w:sz w:val="20"/>
          <w:szCs w:val="20"/>
        </w:rPr>
        <w:t xml:space="preserve">en versión pública, de acuerdo a lo regulado en el Art. 30 de la Ley de Acceso a la Información Pública (LAIP) </w:t>
      </w:r>
      <w:r w:rsidR="004F5368">
        <w:rPr>
          <w:rFonts w:cs="Arial"/>
          <w:sz w:val="20"/>
          <w:szCs w:val="20"/>
        </w:rPr>
        <w:t>y habiendo sido solicitada su entrega por medio de correo electrónico, se adjunta el documento que forma parte de la presente resolución</w:t>
      </w:r>
      <w:r w:rsidR="00846928" w:rsidRPr="001B6916">
        <w:rPr>
          <w:rFonts w:cs="Arial"/>
          <w:sz w:val="20"/>
          <w:szCs w:val="20"/>
        </w:rPr>
        <w:t>.</w:t>
      </w:r>
    </w:p>
    <w:p w:rsidR="00424205" w:rsidRPr="001B6916" w:rsidRDefault="00424205" w:rsidP="004F5368">
      <w:pPr>
        <w:pStyle w:val="Prrafodelista"/>
        <w:spacing w:after="0" w:line="360" w:lineRule="auto"/>
        <w:rPr>
          <w:rFonts w:cs="Arial"/>
          <w:sz w:val="20"/>
          <w:szCs w:val="20"/>
        </w:rPr>
      </w:pPr>
    </w:p>
    <w:p w:rsidR="00D42AB1" w:rsidRPr="001B6916" w:rsidRDefault="00D42AB1" w:rsidP="004F5368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cs="Arial"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>POR TANTO</w:t>
      </w:r>
      <w:r w:rsidRPr="001B6916">
        <w:rPr>
          <w:rFonts w:cs="Arial"/>
          <w:sz w:val="20"/>
          <w:szCs w:val="20"/>
        </w:rPr>
        <w:t xml:space="preserve">, de conformidad a los artículos </w:t>
      </w:r>
      <w:r w:rsidR="00C95D3D" w:rsidRPr="001B6916">
        <w:rPr>
          <w:rFonts w:cs="Arial"/>
          <w:sz w:val="20"/>
          <w:szCs w:val="20"/>
        </w:rPr>
        <w:t xml:space="preserve">30, </w:t>
      </w:r>
      <w:r w:rsidRPr="001B6916">
        <w:rPr>
          <w:rFonts w:cs="Arial"/>
          <w:sz w:val="20"/>
          <w:szCs w:val="20"/>
        </w:rPr>
        <w:t xml:space="preserve">62, 65, 66, 69, 70, 71 y 72 de la Ley de Acceso a la Información Pública, el suscrito Oficial de Información </w:t>
      </w:r>
      <w:r w:rsidRPr="001B6916">
        <w:rPr>
          <w:rFonts w:cs="Arial"/>
          <w:b/>
          <w:sz w:val="20"/>
          <w:szCs w:val="20"/>
        </w:rPr>
        <w:t>RESUELVE</w:t>
      </w:r>
      <w:r w:rsidRPr="001B6916">
        <w:rPr>
          <w:rFonts w:cs="Arial"/>
          <w:sz w:val="20"/>
          <w:szCs w:val="20"/>
        </w:rPr>
        <w:t xml:space="preserve">: </w:t>
      </w:r>
    </w:p>
    <w:p w:rsidR="00D42AB1" w:rsidRPr="001B6916" w:rsidRDefault="00D42AB1" w:rsidP="004F5368">
      <w:pPr>
        <w:widowControl w:val="0"/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p w:rsidR="00D42AB1" w:rsidRPr="001B6916" w:rsidRDefault="00D42AB1" w:rsidP="004F536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Informar </w:t>
      </w:r>
      <w:r w:rsidRPr="001B6916">
        <w:rPr>
          <w:rFonts w:cs="Arial"/>
          <w:sz w:val="20"/>
          <w:szCs w:val="20"/>
        </w:rPr>
        <w:t>a</w:t>
      </w:r>
      <w:r w:rsidR="003002C6" w:rsidRPr="001B6916">
        <w:rPr>
          <w:rFonts w:cs="Arial"/>
          <w:sz w:val="20"/>
          <w:szCs w:val="20"/>
        </w:rPr>
        <w:t xml:space="preserve"> </w:t>
      </w:r>
      <w:r w:rsidRPr="001B6916">
        <w:rPr>
          <w:rFonts w:cs="Arial"/>
          <w:sz w:val="20"/>
          <w:szCs w:val="20"/>
        </w:rPr>
        <w:t>l</w:t>
      </w:r>
      <w:r w:rsidR="003002C6" w:rsidRPr="001B6916">
        <w:rPr>
          <w:rFonts w:cs="Arial"/>
          <w:sz w:val="20"/>
          <w:szCs w:val="20"/>
        </w:rPr>
        <w:t>a</w:t>
      </w:r>
      <w:r w:rsidRPr="001B6916">
        <w:rPr>
          <w:rFonts w:cs="Arial"/>
          <w:sz w:val="20"/>
          <w:szCs w:val="20"/>
        </w:rPr>
        <w:t xml:space="preserve"> solicitante lo consignado en el romano II de la presente resolución,  y </w:t>
      </w:r>
    </w:p>
    <w:p w:rsidR="00245B4D" w:rsidRPr="004F5368" w:rsidRDefault="00D42AB1" w:rsidP="004F536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right="60"/>
        <w:jc w:val="both"/>
        <w:rPr>
          <w:sz w:val="20"/>
          <w:szCs w:val="20"/>
        </w:rPr>
      </w:pPr>
      <w:r w:rsidRPr="004F5368">
        <w:rPr>
          <w:rFonts w:cs="Arial"/>
          <w:sz w:val="20"/>
          <w:szCs w:val="20"/>
        </w:rPr>
        <w:t>Se concede</w:t>
      </w:r>
      <w:r w:rsidRPr="004F5368">
        <w:rPr>
          <w:rFonts w:cs="Arial"/>
          <w:b/>
          <w:sz w:val="20"/>
          <w:szCs w:val="20"/>
        </w:rPr>
        <w:t xml:space="preserve"> </w:t>
      </w:r>
      <w:r w:rsidRPr="004F5368">
        <w:rPr>
          <w:rFonts w:cs="Arial"/>
          <w:sz w:val="20"/>
          <w:szCs w:val="20"/>
        </w:rPr>
        <w:t>acceso a la información referida</w:t>
      </w:r>
      <w:r w:rsidR="004F5368">
        <w:rPr>
          <w:rFonts w:cs="Arial"/>
          <w:sz w:val="20"/>
          <w:szCs w:val="20"/>
        </w:rPr>
        <w:t>, en versión pública.</w:t>
      </w:r>
      <w:r w:rsidR="00D86EF4" w:rsidRPr="004F5368">
        <w:rPr>
          <w:rFonts w:cs="Arial"/>
          <w:sz w:val="20"/>
          <w:szCs w:val="20"/>
        </w:rPr>
        <w:t xml:space="preserve"> </w:t>
      </w:r>
      <w:r w:rsidR="00245B4D" w:rsidRPr="004F5368">
        <w:rPr>
          <w:rFonts w:cs="Arial"/>
          <w:b/>
          <w:sz w:val="20"/>
          <w:szCs w:val="20"/>
        </w:rPr>
        <w:t>Notifíquese.</w:t>
      </w:r>
    </w:p>
    <w:p w:rsidR="00D42AB1" w:rsidRPr="001B6916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1B6916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6916">
        <w:rPr>
          <w:sz w:val="20"/>
          <w:szCs w:val="20"/>
        </w:rPr>
        <w:t>Marlene Solano</w:t>
      </w:r>
    </w:p>
    <w:p w:rsidR="00D42AB1" w:rsidRPr="001B6916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1B6916">
        <w:rPr>
          <w:sz w:val="20"/>
          <w:szCs w:val="20"/>
        </w:rPr>
        <w:t>Oficial de Información</w:t>
      </w:r>
    </w:p>
    <w:sectPr w:rsidR="00D42AB1" w:rsidRPr="001B6916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62" w:rsidRDefault="009C4262" w:rsidP="007F451F">
      <w:pPr>
        <w:spacing w:after="0" w:line="240" w:lineRule="auto"/>
      </w:pPr>
      <w:r>
        <w:separator/>
      </w:r>
    </w:p>
  </w:endnote>
  <w:endnote w:type="continuationSeparator" w:id="0">
    <w:p w:rsidR="009C4262" w:rsidRDefault="009C4262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B0C3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B0C3E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62" w:rsidRDefault="009C4262" w:rsidP="007F451F">
      <w:pPr>
        <w:spacing w:after="0" w:line="240" w:lineRule="auto"/>
      </w:pPr>
      <w:r>
        <w:separator/>
      </w:r>
    </w:p>
  </w:footnote>
  <w:footnote w:type="continuationSeparator" w:id="0">
    <w:p w:rsidR="009C4262" w:rsidRDefault="009C4262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1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9695A"/>
    <w:rsid w:val="001B0C3E"/>
    <w:rsid w:val="001B50F1"/>
    <w:rsid w:val="001B6916"/>
    <w:rsid w:val="001C4043"/>
    <w:rsid w:val="001D2310"/>
    <w:rsid w:val="001D2827"/>
    <w:rsid w:val="001D7DFE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609A7"/>
    <w:rsid w:val="003643E1"/>
    <w:rsid w:val="00365657"/>
    <w:rsid w:val="00366C68"/>
    <w:rsid w:val="003A03DB"/>
    <w:rsid w:val="003A4B8D"/>
    <w:rsid w:val="003C457E"/>
    <w:rsid w:val="003D043F"/>
    <w:rsid w:val="003E782D"/>
    <w:rsid w:val="003F1E11"/>
    <w:rsid w:val="003F3938"/>
    <w:rsid w:val="00424205"/>
    <w:rsid w:val="00435A18"/>
    <w:rsid w:val="004408F4"/>
    <w:rsid w:val="00450627"/>
    <w:rsid w:val="00493877"/>
    <w:rsid w:val="00495A52"/>
    <w:rsid w:val="004974FE"/>
    <w:rsid w:val="00497CE0"/>
    <w:rsid w:val="004B19C8"/>
    <w:rsid w:val="004B2F7D"/>
    <w:rsid w:val="004D236F"/>
    <w:rsid w:val="004E2634"/>
    <w:rsid w:val="004E58E6"/>
    <w:rsid w:val="004F096B"/>
    <w:rsid w:val="004F1F03"/>
    <w:rsid w:val="004F5368"/>
    <w:rsid w:val="004F53B3"/>
    <w:rsid w:val="005144CD"/>
    <w:rsid w:val="00580201"/>
    <w:rsid w:val="00586CBC"/>
    <w:rsid w:val="005955DD"/>
    <w:rsid w:val="005A5078"/>
    <w:rsid w:val="005B0B2A"/>
    <w:rsid w:val="005B4DF8"/>
    <w:rsid w:val="005B78C4"/>
    <w:rsid w:val="005D005A"/>
    <w:rsid w:val="005D5866"/>
    <w:rsid w:val="005F450B"/>
    <w:rsid w:val="00662282"/>
    <w:rsid w:val="00672872"/>
    <w:rsid w:val="00676727"/>
    <w:rsid w:val="006772BF"/>
    <w:rsid w:val="0069223B"/>
    <w:rsid w:val="006932EA"/>
    <w:rsid w:val="006958F2"/>
    <w:rsid w:val="006A18FC"/>
    <w:rsid w:val="006A41A7"/>
    <w:rsid w:val="006C0DB5"/>
    <w:rsid w:val="006C62CD"/>
    <w:rsid w:val="006F1D94"/>
    <w:rsid w:val="006F450D"/>
    <w:rsid w:val="00704331"/>
    <w:rsid w:val="007050E1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E2F8B"/>
    <w:rsid w:val="007F0504"/>
    <w:rsid w:val="007F26A9"/>
    <w:rsid w:val="007F451F"/>
    <w:rsid w:val="00823939"/>
    <w:rsid w:val="00827D24"/>
    <w:rsid w:val="00846928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30EFE"/>
    <w:rsid w:val="00940C94"/>
    <w:rsid w:val="009451A4"/>
    <w:rsid w:val="00947E2B"/>
    <w:rsid w:val="00976F8D"/>
    <w:rsid w:val="00985BC1"/>
    <w:rsid w:val="009A0798"/>
    <w:rsid w:val="009A17F2"/>
    <w:rsid w:val="009A3DDC"/>
    <w:rsid w:val="009C28F9"/>
    <w:rsid w:val="009C2F45"/>
    <w:rsid w:val="009C4262"/>
    <w:rsid w:val="009E3E86"/>
    <w:rsid w:val="00A0075B"/>
    <w:rsid w:val="00A02C78"/>
    <w:rsid w:val="00A40AF1"/>
    <w:rsid w:val="00A55D3B"/>
    <w:rsid w:val="00A64732"/>
    <w:rsid w:val="00A70EB9"/>
    <w:rsid w:val="00A92018"/>
    <w:rsid w:val="00A96EAA"/>
    <w:rsid w:val="00A97AC2"/>
    <w:rsid w:val="00AC7820"/>
    <w:rsid w:val="00AD1C12"/>
    <w:rsid w:val="00AD2B81"/>
    <w:rsid w:val="00B16F07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F41C0"/>
    <w:rsid w:val="00BF43C5"/>
    <w:rsid w:val="00BF65D4"/>
    <w:rsid w:val="00C02AE3"/>
    <w:rsid w:val="00C22311"/>
    <w:rsid w:val="00C64546"/>
    <w:rsid w:val="00C65221"/>
    <w:rsid w:val="00C66B98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B5D6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AAF1D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11</cp:revision>
  <cp:lastPrinted>2019-11-22T20:57:00Z</cp:lastPrinted>
  <dcterms:created xsi:type="dcterms:W3CDTF">2020-02-19T20:30:00Z</dcterms:created>
  <dcterms:modified xsi:type="dcterms:W3CDTF">2020-08-11T05:40:00Z</dcterms:modified>
</cp:coreProperties>
</file>