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ED78E" w14:textId="77777777" w:rsidR="00687826" w:rsidRPr="001B0850" w:rsidRDefault="001B0850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40"/>
          <w:szCs w:val="40"/>
        </w:rPr>
      </w:pPr>
      <w:r w:rsidRPr="001B0850">
        <w:rPr>
          <w:rFonts w:ascii="Arial" w:hAnsi="Arial" w:cs="Arial"/>
          <w:b/>
          <w:color w:val="404040" w:themeColor="text1" w:themeTint="BF"/>
          <w:sz w:val="40"/>
          <w:szCs w:val="40"/>
        </w:rPr>
        <w:t xml:space="preserve">Unidad Financiera Institucional </w:t>
      </w:r>
    </w:p>
    <w:p w14:paraId="78705D8A" w14:textId="77777777" w:rsidR="001B0850" w:rsidRPr="001B0850" w:rsidRDefault="001B0850" w:rsidP="001B0850">
      <w:pPr>
        <w:spacing w:line="360" w:lineRule="auto"/>
        <w:jc w:val="center"/>
        <w:rPr>
          <w:b/>
          <w:color w:val="404040" w:themeColor="text1" w:themeTint="BF"/>
          <w:sz w:val="36"/>
          <w:szCs w:val="36"/>
        </w:rPr>
      </w:pPr>
    </w:p>
    <w:p w14:paraId="09C17A30" w14:textId="77777777" w:rsidR="00687826" w:rsidRPr="001B0850" w:rsidRDefault="001B0850" w:rsidP="001B0850">
      <w:pPr>
        <w:spacing w:line="360" w:lineRule="auto"/>
        <w:jc w:val="center"/>
        <w:rPr>
          <w:b/>
          <w:color w:val="404040" w:themeColor="text1" w:themeTint="BF"/>
          <w:sz w:val="36"/>
          <w:szCs w:val="36"/>
        </w:rPr>
      </w:pPr>
      <w:r w:rsidRPr="001B0850">
        <w:rPr>
          <w:rFonts w:cs="Arial"/>
          <w:noProof/>
          <w:color w:val="404040" w:themeColor="text1" w:themeTint="BF"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645FBE4B" wp14:editId="48143FC7">
            <wp:simplePos x="0" y="0"/>
            <wp:positionH relativeFrom="column">
              <wp:posOffset>865505</wp:posOffset>
            </wp:positionH>
            <wp:positionV relativeFrom="paragraph">
              <wp:posOffset>254000</wp:posOffset>
            </wp:positionV>
            <wp:extent cx="3550920" cy="1299210"/>
            <wp:effectExtent l="0" t="0" r="0" b="0"/>
            <wp:wrapNone/>
            <wp:docPr id="1" name="Imagen 1" descr="C:\Users\alejandro.garcia\Pictures\LogotipoNuevoCOAMSS-OPAM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o.garcia\Pictures\LogotipoNuevoCOAMSS-OPAMS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92B13" w14:textId="77777777" w:rsidR="00687826" w:rsidRPr="001B0850" w:rsidRDefault="00687826" w:rsidP="001B0850">
      <w:pPr>
        <w:spacing w:line="360" w:lineRule="auto"/>
        <w:jc w:val="center"/>
        <w:rPr>
          <w:b/>
          <w:color w:val="404040" w:themeColor="text1" w:themeTint="BF"/>
          <w:sz w:val="36"/>
          <w:szCs w:val="36"/>
        </w:rPr>
      </w:pPr>
    </w:p>
    <w:p w14:paraId="6976551C" w14:textId="77777777" w:rsidR="00687826" w:rsidRPr="001B0850" w:rsidRDefault="00687826" w:rsidP="001B0850">
      <w:pPr>
        <w:spacing w:line="360" w:lineRule="auto"/>
        <w:jc w:val="center"/>
        <w:rPr>
          <w:b/>
          <w:color w:val="404040" w:themeColor="text1" w:themeTint="BF"/>
          <w:sz w:val="36"/>
          <w:szCs w:val="36"/>
        </w:rPr>
      </w:pPr>
    </w:p>
    <w:p w14:paraId="7BAC11DF" w14:textId="77777777" w:rsidR="00687826" w:rsidRPr="001B0850" w:rsidRDefault="00687826" w:rsidP="001B0850">
      <w:pPr>
        <w:spacing w:line="360" w:lineRule="auto"/>
        <w:jc w:val="center"/>
        <w:rPr>
          <w:b/>
          <w:color w:val="404040" w:themeColor="text1" w:themeTint="BF"/>
          <w:sz w:val="36"/>
          <w:szCs w:val="36"/>
        </w:rPr>
      </w:pPr>
    </w:p>
    <w:p w14:paraId="13369E23" w14:textId="77777777" w:rsidR="001B0850" w:rsidRPr="001B0850" w:rsidRDefault="001B0850" w:rsidP="001B0850">
      <w:pPr>
        <w:spacing w:line="360" w:lineRule="auto"/>
        <w:jc w:val="center"/>
        <w:rPr>
          <w:b/>
          <w:color w:val="404040" w:themeColor="text1" w:themeTint="BF"/>
          <w:sz w:val="36"/>
          <w:szCs w:val="36"/>
        </w:rPr>
      </w:pPr>
    </w:p>
    <w:p w14:paraId="315D5D96" w14:textId="78BD0E2A" w:rsidR="00687826" w:rsidRPr="001B0850" w:rsidRDefault="00687826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40"/>
          <w:szCs w:val="40"/>
        </w:rPr>
      </w:pPr>
      <w:r w:rsidRPr="001B0850">
        <w:rPr>
          <w:rFonts w:ascii="Arial" w:hAnsi="Arial" w:cs="Arial"/>
          <w:b/>
          <w:color w:val="404040" w:themeColor="text1" w:themeTint="BF"/>
          <w:sz w:val="40"/>
          <w:szCs w:val="40"/>
        </w:rPr>
        <w:lastRenderedPageBreak/>
        <w:t>Políticas y Procedimiento</w:t>
      </w:r>
      <w:r w:rsidR="00057622">
        <w:rPr>
          <w:rFonts w:ascii="Arial" w:hAnsi="Arial" w:cs="Arial"/>
          <w:b/>
          <w:color w:val="404040" w:themeColor="text1" w:themeTint="BF"/>
          <w:sz w:val="40"/>
          <w:szCs w:val="40"/>
        </w:rPr>
        <w:t>s</w:t>
      </w:r>
      <w:r w:rsidRPr="001B0850">
        <w:rPr>
          <w:rFonts w:ascii="Arial" w:hAnsi="Arial" w:cs="Arial"/>
          <w:b/>
          <w:color w:val="404040" w:themeColor="text1" w:themeTint="BF"/>
          <w:sz w:val="40"/>
          <w:szCs w:val="40"/>
        </w:rPr>
        <w:t xml:space="preserve"> para la </w:t>
      </w:r>
      <w:r w:rsidR="00057622">
        <w:rPr>
          <w:rFonts w:ascii="Arial" w:hAnsi="Arial" w:cs="Arial"/>
          <w:b/>
          <w:color w:val="404040" w:themeColor="text1" w:themeTint="BF"/>
          <w:sz w:val="40"/>
          <w:szCs w:val="40"/>
        </w:rPr>
        <w:t>C</w:t>
      </w:r>
      <w:r w:rsidRPr="001B0850">
        <w:rPr>
          <w:rFonts w:ascii="Arial" w:hAnsi="Arial" w:cs="Arial"/>
          <w:b/>
          <w:color w:val="404040" w:themeColor="text1" w:themeTint="BF"/>
          <w:sz w:val="40"/>
          <w:szCs w:val="40"/>
        </w:rPr>
        <w:t xml:space="preserve">onciliación de los </w:t>
      </w:r>
      <w:r w:rsidR="00057622">
        <w:rPr>
          <w:rFonts w:ascii="Arial" w:hAnsi="Arial" w:cs="Arial"/>
          <w:b/>
          <w:color w:val="404040" w:themeColor="text1" w:themeTint="BF"/>
          <w:sz w:val="40"/>
          <w:szCs w:val="40"/>
        </w:rPr>
        <w:t>R</w:t>
      </w:r>
      <w:r w:rsidRPr="001B0850">
        <w:rPr>
          <w:rFonts w:ascii="Arial" w:hAnsi="Arial" w:cs="Arial"/>
          <w:b/>
          <w:color w:val="404040" w:themeColor="text1" w:themeTint="BF"/>
          <w:sz w:val="40"/>
          <w:szCs w:val="40"/>
        </w:rPr>
        <w:t>egistros</w:t>
      </w:r>
      <w:r w:rsidR="00F144C3" w:rsidRPr="001B0850">
        <w:rPr>
          <w:rFonts w:ascii="Arial" w:hAnsi="Arial" w:cs="Arial"/>
          <w:b/>
          <w:color w:val="404040" w:themeColor="text1" w:themeTint="BF"/>
          <w:sz w:val="40"/>
          <w:szCs w:val="40"/>
        </w:rPr>
        <w:t xml:space="preserve"> Institucionales </w:t>
      </w:r>
    </w:p>
    <w:p w14:paraId="65DC1829" w14:textId="77777777" w:rsidR="003A260A" w:rsidRPr="001B0850" w:rsidRDefault="003A260A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4797C079" w14:textId="77777777" w:rsidR="003A260A" w:rsidRPr="001B0850" w:rsidRDefault="003A260A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3BFCB29" w14:textId="77777777" w:rsidR="003A260A" w:rsidRPr="001B0850" w:rsidRDefault="003A260A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FE19846" w14:textId="77777777" w:rsidR="003A260A" w:rsidRPr="001B0850" w:rsidRDefault="003A260A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C9B67A1" w14:textId="77777777" w:rsidR="003A260A" w:rsidRDefault="003A260A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0E38027" w14:textId="77777777" w:rsidR="001B0850" w:rsidRPr="001B0850" w:rsidRDefault="001B0850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42B82AE4" w14:textId="77777777" w:rsidR="003A260A" w:rsidRPr="001B0850" w:rsidRDefault="003A260A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E5234B0" w14:textId="77777777" w:rsidR="003A260A" w:rsidRPr="001B0850" w:rsidRDefault="003A260A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2BBFED5" w14:textId="07D54F68" w:rsidR="00687826" w:rsidRPr="001B0850" w:rsidRDefault="003A260A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San Salvador</w:t>
      </w:r>
      <w:r w:rsidR="00057622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enero de 2016</w:t>
      </w:r>
      <w:r w:rsidR="00687826"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br w:type="page"/>
      </w:r>
    </w:p>
    <w:p w14:paraId="212C0261" w14:textId="77777777" w:rsidR="003A260A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CONTENIDO</w:t>
      </w:r>
    </w:p>
    <w:p w14:paraId="30640447" w14:textId="77777777" w:rsidR="002A751B" w:rsidRDefault="002A751B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RESUMEN………………………………………………………………….3</w:t>
      </w:r>
    </w:p>
    <w:p w14:paraId="0804E4C0" w14:textId="1D53FCB6" w:rsidR="002A751B" w:rsidRPr="00E83CF7" w:rsidRDefault="002A751B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OBJETIVO GENERAL DE LA POL</w:t>
      </w:r>
      <w:r w:rsidR="00057622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TICA………………………………3</w:t>
      </w:r>
    </w:p>
    <w:p w14:paraId="3EC83BC5" w14:textId="3A1280E0" w:rsidR="002A751B" w:rsidRPr="00E83CF7" w:rsidRDefault="002A751B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ALCANCE DE LA  POL</w:t>
      </w:r>
      <w:r w:rsidR="00057622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TICA……………………………………………4</w:t>
      </w:r>
    </w:p>
    <w:p w14:paraId="22A9B9E1" w14:textId="77777777" w:rsidR="002A751B" w:rsidRPr="00E83CF7" w:rsidRDefault="002A751B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RESPONSABLES…………………………………………………………</w:t>
      </w:r>
      <w:r w:rsidR="00CD50B5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4</w:t>
      </w:r>
    </w:p>
    <w:p w14:paraId="644CA0E3" w14:textId="13541BB7" w:rsidR="002A751B" w:rsidRPr="00E83CF7" w:rsidRDefault="002A751B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POL</w:t>
      </w:r>
      <w:r w:rsidR="00057622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TICAS GENERALES………………………………………………</w:t>
      </w:r>
      <w:r w:rsidR="009475F5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..</w:t>
      </w:r>
      <w:r w:rsidR="009F062D">
        <w:rPr>
          <w:rFonts w:ascii="Arial" w:hAnsi="Arial" w:cs="Arial"/>
          <w:b/>
          <w:color w:val="404040" w:themeColor="text1" w:themeTint="BF"/>
          <w:sz w:val="24"/>
          <w:szCs w:val="24"/>
        </w:rPr>
        <w:t>5</w:t>
      </w:r>
    </w:p>
    <w:p w14:paraId="6AC50E7C" w14:textId="1C149A1C" w:rsidR="002A751B" w:rsidRPr="00E83CF7" w:rsidRDefault="002A751B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POL</w:t>
      </w:r>
      <w:r w:rsidR="00057622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TICAS CONTABILIDAD……………………………………………</w:t>
      </w:r>
      <w:r w:rsidR="009475F5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5</w:t>
      </w:r>
    </w:p>
    <w:p w14:paraId="24C9AC13" w14:textId="2DA32231" w:rsidR="002A751B" w:rsidRPr="00E83CF7" w:rsidRDefault="002A751B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POL</w:t>
      </w:r>
      <w:r w:rsidR="00057622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TICAS PRESUPUESTARIAS……………………………………</w:t>
      </w:r>
      <w:r w:rsidR="009475F5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…</w:t>
      </w:r>
      <w:r w:rsidR="007F0CFF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7</w:t>
      </w:r>
    </w:p>
    <w:p w14:paraId="67DB26A6" w14:textId="77777777" w:rsidR="002A751B" w:rsidRPr="00E83CF7" w:rsidRDefault="002A751B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PROCEDIMIENTOS CONTABLES……………………………………</w:t>
      </w:r>
      <w:r w:rsidR="009475F5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…</w:t>
      </w:r>
      <w:r w:rsidR="00CD50B5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8</w:t>
      </w:r>
    </w:p>
    <w:p w14:paraId="5D668EA9" w14:textId="7430504A" w:rsidR="009475F5" w:rsidRPr="00E83CF7" w:rsidRDefault="009475F5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PROCEDIMIENTOS PRESUPUESTARIOS…………………………….2</w:t>
      </w:r>
      <w:r w:rsidR="007F0CFF"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2</w:t>
      </w:r>
    </w:p>
    <w:p w14:paraId="2E5377D0" w14:textId="44C8BDFF" w:rsidR="009F062D" w:rsidRPr="00E83CF7" w:rsidRDefault="009F062D" w:rsidP="009F062D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CUADROD DE AUTORIZACIÓN…………..</w:t>
      </w:r>
      <w:r w:rsidRPr="00E83CF7">
        <w:rPr>
          <w:rFonts w:ascii="Arial" w:hAnsi="Arial" w:cs="Arial"/>
          <w:b/>
          <w:color w:val="404040" w:themeColor="text1" w:themeTint="BF"/>
          <w:sz w:val="24"/>
          <w:szCs w:val="24"/>
        </w:rPr>
        <w:t>…………………………….2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5</w:t>
      </w:r>
    </w:p>
    <w:p w14:paraId="427BD9DD" w14:textId="77777777" w:rsidR="009475F5" w:rsidRPr="001B0850" w:rsidRDefault="009475F5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bookmarkStart w:id="0" w:name="_GoBack"/>
      <w:bookmarkEnd w:id="0"/>
    </w:p>
    <w:p w14:paraId="2461BF6A" w14:textId="77777777" w:rsidR="002A751B" w:rsidRDefault="002A751B" w:rsidP="002A751B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4F90DF6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71998901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A29E81F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4BAB160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93367A0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41B1DFF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F5A944F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0F857EB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72519534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ED5ECFE" w14:textId="77777777" w:rsidR="00556A2F" w:rsidRPr="001B0850" w:rsidRDefault="00A536CF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RESUMEN</w:t>
      </w:r>
    </w:p>
    <w:p w14:paraId="2FF1A4EA" w14:textId="3C5391FE" w:rsidR="00687826" w:rsidRPr="001B0850" w:rsidRDefault="00687826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La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U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nidad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F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inanciera Institucional a través de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as Unidades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de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ontabilidad</w:t>
      </w:r>
      <w:r w:rsidR="00A536CF" w:rsidRPr="001B0850">
        <w:rPr>
          <w:rFonts w:ascii="Arial" w:hAnsi="Arial" w:cs="Arial"/>
          <w:color w:val="404040" w:themeColor="text1" w:themeTint="BF"/>
          <w:sz w:val="24"/>
          <w:szCs w:val="24"/>
        </w:rPr>
        <w:t>, Presupuesto y Tesorería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, en coordinación con las áreas involucradas en el proceso, ha preparado el siguiente documento denominado “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>Políticas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y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P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rocedimien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tos para la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onciliación de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aldos de los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R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egistros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="00FC42D5" w:rsidRPr="001B0850">
        <w:rPr>
          <w:rFonts w:ascii="Arial" w:hAnsi="Arial" w:cs="Arial"/>
          <w:color w:val="404040" w:themeColor="text1" w:themeTint="BF"/>
          <w:sz w:val="24"/>
          <w:szCs w:val="24"/>
        </w:rPr>
        <w:t>nstitucionales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” con la finalidad de proporcionar a las unidades operativas el manejo de los recursos, políticas, procedimiento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y criterios de acción pertinentes que les permita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F7184E" w:rsidRPr="001B0850">
        <w:rPr>
          <w:rFonts w:ascii="Arial" w:hAnsi="Arial" w:cs="Arial"/>
          <w:color w:val="404040" w:themeColor="text1" w:themeTint="BF"/>
          <w:sz w:val="24"/>
          <w:szCs w:val="24"/>
        </w:rPr>
        <w:t>realizar los respectivos cotejos de la información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en forma sistematizada y oportuna.</w:t>
      </w:r>
    </w:p>
    <w:p w14:paraId="64507A46" w14:textId="2CB315F8" w:rsidR="00687826" w:rsidRPr="001B0850" w:rsidRDefault="009C093B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La presente política </w:t>
      </w:r>
      <w:r w:rsidR="0068782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contiene la 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>descripción</w:t>
      </w:r>
      <w:r w:rsidR="0068782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detallada de los procedimientos presentados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que deberán desarrollar  las unidades involucradas</w:t>
      </w:r>
      <w:r w:rsidR="00687826" w:rsidRPr="001B0850">
        <w:rPr>
          <w:rFonts w:ascii="Arial" w:hAnsi="Arial" w:cs="Arial"/>
          <w:color w:val="404040" w:themeColor="text1" w:themeTint="BF"/>
          <w:sz w:val="24"/>
          <w:szCs w:val="24"/>
        </w:rPr>
        <w:t>, lo que permit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irá</w:t>
      </w:r>
      <w:r w:rsidR="0068782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contar con una guía 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>práctica</w:t>
      </w:r>
      <w:r w:rsidR="0068782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y sencilla de las actividades inherentes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 que se deberán realizar dentro del</w:t>
      </w:r>
      <w:r w:rsidR="0068782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proceso correspondiente.</w:t>
      </w:r>
    </w:p>
    <w:p w14:paraId="7E6FC464" w14:textId="093CC8C9" w:rsidR="00687826" w:rsidRPr="001B0850" w:rsidRDefault="00687826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>sta política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al igual que otros instrumentos administrativos, se caracteriza por ser 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>dinámic</w:t>
      </w:r>
      <w:r w:rsidR="00926F90" w:rsidRPr="001B0850"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, por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lo que 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puede ser sujeto 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de 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>modificación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de conformidad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con 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>las necesidades que surjan en el desarrollo de las actividades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lo cual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vendrá a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mejorar el proceso para el control de las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conciliaciones institucionales</w:t>
      </w:r>
    </w:p>
    <w:p w14:paraId="20CE1EED" w14:textId="77777777" w:rsidR="00926F90" w:rsidRPr="001B0850" w:rsidRDefault="00926F90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1E852179" w14:textId="7BEF825C" w:rsidR="00687826" w:rsidRPr="001B0850" w:rsidRDefault="00DE1BA2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OBJETIVO GENERAL DE</w:t>
      </w:r>
      <w:r w:rsidR="009C093B"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LA </w:t>
      </w: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P</w:t>
      </w:r>
      <w:r w:rsidR="009C093B"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OL</w:t>
      </w:r>
      <w:r w:rsidR="00F7184E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="009C093B"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TICA</w:t>
      </w:r>
    </w:p>
    <w:p w14:paraId="7461DB59" w14:textId="77777777" w:rsidR="00DE1BA2" w:rsidRPr="001B0850" w:rsidRDefault="00DE1BA2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Contar con un instrumento administrativo, que permita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la correcta presentación razonable de los saldos contables institucionales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lo cual se desarrollará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mediante la verificación de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las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disponibilidades de efectivo en </w:t>
      </w:r>
      <w:r w:rsidR="0022678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caja general y cajas chicas,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cuentas bancarias</w:t>
      </w:r>
      <w:r w:rsidR="00B65E60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; además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de los </w:t>
      </w:r>
      <w:r w:rsidR="00B65E60" w:rsidRPr="001B0850">
        <w:rPr>
          <w:rFonts w:ascii="Arial" w:hAnsi="Arial" w:cs="Arial"/>
          <w:color w:val="404040" w:themeColor="text1" w:themeTint="BF"/>
          <w:sz w:val="24"/>
          <w:szCs w:val="24"/>
        </w:rPr>
        <w:t>saldos en anticipos otorgados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="00B65E60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deudores monetarios, inversiones financieras, deudores financieros, inversiones intangibles,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existencias institucionales, </w:t>
      </w:r>
      <w:r w:rsidR="00B65E60" w:rsidRPr="001B0850">
        <w:rPr>
          <w:rFonts w:ascii="Arial" w:hAnsi="Arial" w:cs="Arial"/>
          <w:color w:val="404040" w:themeColor="text1" w:themeTint="BF"/>
          <w:sz w:val="24"/>
          <w:szCs w:val="24"/>
        </w:rPr>
        <w:t>inversiones de larga duración, costos acumulados, depósitos ajenos, acreedores monetarios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>, etc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9C093B" w:rsidRPr="001B0850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para verificar la exactitud de las cifras contables presentadas en los Estados Financieros Institucionales.</w:t>
      </w:r>
    </w:p>
    <w:p w14:paraId="6928CE9B" w14:textId="77777777" w:rsidR="00DE1BA2" w:rsidRPr="001B0850" w:rsidRDefault="00DE1BA2" w:rsidP="001B0850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D8AF217" w14:textId="2E68FE3B" w:rsidR="00DE1BA2" w:rsidRPr="001B0850" w:rsidRDefault="00DE1BA2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ALCANCE DE L</w:t>
      </w:r>
      <w:r w:rsidR="009C093B"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A </w:t>
      </w: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P</w:t>
      </w:r>
      <w:r w:rsidR="009C093B"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OL</w:t>
      </w:r>
      <w:r w:rsidR="00F7184E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="009C093B"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TICA</w:t>
      </w:r>
    </w:p>
    <w:p w14:paraId="367637C5" w14:textId="0CEDEC30" w:rsidR="00DE1BA2" w:rsidRPr="001B0850" w:rsidRDefault="009C093B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La presente </w:t>
      </w:r>
      <w:r w:rsidR="0010253D" w:rsidRPr="001B0850">
        <w:rPr>
          <w:rFonts w:ascii="Arial" w:hAnsi="Arial" w:cs="Arial"/>
          <w:color w:val="404040" w:themeColor="text1" w:themeTint="BF"/>
          <w:sz w:val="24"/>
          <w:szCs w:val="24"/>
        </w:rPr>
        <w:t>política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es de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obligatoria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aplicación para los procedimientos de 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>la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Unidad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es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de Administración, Presupuesto, Tesorería,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Receptoría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y Contabilidad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con el propósito de conciliar los 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saldos de las cuentas contables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y presupuestarias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>con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los auxiliares de </w:t>
      </w:r>
      <w:r w:rsidR="00DE1BA2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los registros de </w:t>
      </w:r>
      <w:r w:rsidR="004A7CCB" w:rsidRPr="001B0850">
        <w:rPr>
          <w:rFonts w:ascii="Arial" w:hAnsi="Arial" w:cs="Arial"/>
          <w:color w:val="404040" w:themeColor="text1" w:themeTint="BF"/>
          <w:sz w:val="24"/>
          <w:szCs w:val="24"/>
        </w:rPr>
        <w:t>todas las áreas involucradas.</w:t>
      </w:r>
    </w:p>
    <w:p w14:paraId="70464B1E" w14:textId="46BF2904" w:rsidR="004A7CCB" w:rsidRPr="001B0850" w:rsidRDefault="004A7CCB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Las disposiciones 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 xml:space="preserve">establecidas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en este documento son de aplicación obligatoria para las áreas antes mencionadas, por lo que deberán ser incluidas en la ejecución de sus trabajos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. 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in embargo, los procedimientos se pueden aplicar y ajustar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de acuerdo a las necesidades de las propias áreas, mientras mantengan las políticas </w:t>
      </w:r>
      <w:r w:rsidR="003E3493" w:rsidRPr="001B0850">
        <w:rPr>
          <w:rFonts w:ascii="Arial" w:hAnsi="Arial" w:cs="Arial"/>
          <w:color w:val="404040" w:themeColor="text1" w:themeTint="BF"/>
          <w:sz w:val="24"/>
          <w:szCs w:val="24"/>
        </w:rPr>
        <w:t>establecidas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por los diferentes rectores.</w:t>
      </w:r>
    </w:p>
    <w:p w14:paraId="53BCB3D6" w14:textId="77777777" w:rsidR="00B65E60" w:rsidRPr="001B0850" w:rsidRDefault="00B65E60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94BEEFD" w14:textId="77777777" w:rsidR="004A7CCB" w:rsidRPr="001B0850" w:rsidRDefault="004A7CC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RESPONSABLES</w:t>
      </w:r>
    </w:p>
    <w:p w14:paraId="411C1602" w14:textId="2E9561F6" w:rsidR="004A7CCB" w:rsidRPr="001B0850" w:rsidRDefault="009A0687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Los responsables de llevar a cabo </w:t>
      </w:r>
      <w:r w:rsidR="004A7CC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los procedimientos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de</w:t>
      </w:r>
      <w:r w:rsidR="004A7CC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conciliaciones</w:t>
      </w:r>
      <w:r w:rsidR="004A7CC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de saldos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serán las unidades de Administración, Presupuesto, Tesorería, Receptoría y Contabilidad</w:t>
      </w:r>
      <w:r w:rsidR="00F7184E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y el responsable de la verificación y supervisión del cumplimiento de los procedimientos será el Jefe de la Unidad Financiera.</w:t>
      </w:r>
    </w:p>
    <w:p w14:paraId="6D852A1C" w14:textId="02A878D7" w:rsidR="004A7CCB" w:rsidRPr="001B0850" w:rsidRDefault="004A7CCB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CE6EBA2" w14:textId="77777777" w:rsidR="004A7CCB" w:rsidRPr="001B0850" w:rsidRDefault="004A7CCB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UNIDAD FINANCIERA INSTITUCIONAL </w:t>
      </w:r>
    </w:p>
    <w:p w14:paraId="61EA696F" w14:textId="4CB41787" w:rsidR="004A7CCB" w:rsidRPr="001B0850" w:rsidRDefault="00F7184E" w:rsidP="001B085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Á</w:t>
      </w:r>
      <w:r w:rsidR="004A7CCB" w:rsidRPr="001B0850">
        <w:rPr>
          <w:rFonts w:ascii="Arial" w:hAnsi="Arial" w:cs="Arial"/>
          <w:color w:val="404040" w:themeColor="text1" w:themeTint="BF"/>
          <w:sz w:val="24"/>
          <w:szCs w:val="24"/>
        </w:rPr>
        <w:t>REA DE PRESUPUESTO</w:t>
      </w:r>
    </w:p>
    <w:p w14:paraId="78DBC161" w14:textId="38916B7F" w:rsidR="004A7CCB" w:rsidRPr="001B0850" w:rsidRDefault="00F7184E" w:rsidP="001B085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Á</w:t>
      </w:r>
      <w:r w:rsidR="004A7CCB" w:rsidRPr="001B0850">
        <w:rPr>
          <w:rFonts w:ascii="Arial" w:hAnsi="Arial" w:cs="Arial"/>
          <w:color w:val="404040" w:themeColor="text1" w:themeTint="BF"/>
          <w:sz w:val="24"/>
          <w:szCs w:val="24"/>
        </w:rPr>
        <w:t>REA DE TESORER</w:t>
      </w:r>
      <w:r>
        <w:rPr>
          <w:rFonts w:ascii="Arial" w:hAnsi="Arial" w:cs="Arial"/>
          <w:color w:val="404040" w:themeColor="text1" w:themeTint="BF"/>
          <w:sz w:val="24"/>
          <w:szCs w:val="24"/>
        </w:rPr>
        <w:t>Í</w:t>
      </w:r>
      <w:r w:rsidR="004A7CCB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A </w:t>
      </w:r>
    </w:p>
    <w:p w14:paraId="2196A252" w14:textId="3DD5B3A4" w:rsidR="004A7CCB" w:rsidRDefault="00F7184E" w:rsidP="001B085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Á</w:t>
      </w:r>
      <w:r w:rsidR="004A7CCB" w:rsidRPr="001B0850">
        <w:rPr>
          <w:rFonts w:ascii="Arial" w:hAnsi="Arial" w:cs="Arial"/>
          <w:color w:val="404040" w:themeColor="text1" w:themeTint="BF"/>
          <w:sz w:val="24"/>
          <w:szCs w:val="24"/>
        </w:rPr>
        <w:t>REA DE CONTABILIDAD</w:t>
      </w:r>
    </w:p>
    <w:p w14:paraId="16DF7116" w14:textId="0B462207" w:rsidR="00E83CF7" w:rsidRPr="001B0850" w:rsidRDefault="00E83CF7" w:rsidP="001B085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ADMINISTRACIÓN</w:t>
      </w:r>
    </w:p>
    <w:p w14:paraId="7732224E" w14:textId="77777777" w:rsidR="00E83CF7" w:rsidRDefault="00E83CF7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95B0AE9" w14:textId="77777777" w:rsidR="00E83CF7" w:rsidRDefault="00E83CF7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14BE8129" w14:textId="77777777" w:rsidR="00E83CF7" w:rsidRDefault="00E83CF7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ADDF5D6" w14:textId="4A595F83" w:rsidR="004A7CCB" w:rsidRPr="001B0850" w:rsidRDefault="003E3493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POL</w:t>
      </w:r>
      <w:r w:rsidR="00F7184E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TICAS GENERALES</w:t>
      </w:r>
    </w:p>
    <w:p w14:paraId="202CE89D" w14:textId="0F2BB394" w:rsidR="003E3493" w:rsidRPr="001B0850" w:rsidRDefault="00214D36" w:rsidP="001B085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Debe mantenerse una constante supervisión de los saldos contables para identificar y eliminar las situaciones de riesgo, tales como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la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carencia o falta de idoneidad de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os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documentos de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respaldo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, interpretación y asociación inadecuada del hecho económico realizado; o registro en una cuenta contable con código diferente; operaciones realizadas que no han sido incluidas contablemente.</w:t>
      </w:r>
    </w:p>
    <w:p w14:paraId="75E488A7" w14:textId="77777777" w:rsidR="00214D36" w:rsidRPr="001B0850" w:rsidRDefault="00214D36" w:rsidP="001B0850">
      <w:pPr>
        <w:pStyle w:val="Prrafodelista"/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B5B62A8" w14:textId="77777777" w:rsidR="00214D36" w:rsidRPr="001B0850" w:rsidRDefault="00214D36" w:rsidP="001B085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Llevar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¿en papel o en forma digital?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un archivo con toda la información que permita verificar periódicamente la elaboración y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el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cálculo de las conciliaciones y ajustes pertinentes que son necesarios, para revelar razonablemente la información contable.</w:t>
      </w:r>
    </w:p>
    <w:p w14:paraId="5BE4A7C3" w14:textId="77777777" w:rsidR="00214D36" w:rsidRPr="001B0850" w:rsidRDefault="00214D36" w:rsidP="001B0850">
      <w:pPr>
        <w:pStyle w:val="Prrafodelista"/>
        <w:spacing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E04D0C8" w14:textId="2A0F6B46" w:rsidR="00214D36" w:rsidRPr="001B0850" w:rsidRDefault="00214D36" w:rsidP="001B085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Para efectos de revisión de la información financiera, por los diferentes entes fiscalizadores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F144C3" w:rsidRPr="001B0850">
        <w:rPr>
          <w:rFonts w:ascii="Arial" w:hAnsi="Arial" w:cs="Arial"/>
          <w:color w:val="404040" w:themeColor="text1" w:themeTint="BF"/>
          <w:sz w:val="24"/>
          <w:szCs w:val="24"/>
        </w:rPr>
        <w:t>el per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í</w:t>
      </w:r>
      <w:r w:rsidR="00F144C3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odo de tiempo para archivar la información </w:t>
      </w:r>
      <w:r w:rsidR="00E90C2C" w:rsidRPr="001B0850">
        <w:rPr>
          <w:rFonts w:ascii="Arial" w:hAnsi="Arial" w:cs="Arial"/>
          <w:color w:val="404040" w:themeColor="text1" w:themeTint="BF"/>
          <w:sz w:val="24"/>
          <w:szCs w:val="24"/>
        </w:rPr>
        <w:t>será</w:t>
      </w:r>
      <w:r w:rsidR="00F144C3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de 5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 (cinco)</w:t>
      </w:r>
      <w:r w:rsidR="00F144C3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años para la</w:t>
      </w:r>
      <w:r w:rsidR="00E90C2C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documentación </w:t>
      </w:r>
      <w:r w:rsidR="00F144C3" w:rsidRPr="001B0850">
        <w:rPr>
          <w:rFonts w:ascii="Arial" w:hAnsi="Arial" w:cs="Arial"/>
          <w:color w:val="404040" w:themeColor="text1" w:themeTint="BF"/>
          <w:sz w:val="24"/>
          <w:szCs w:val="24"/>
        </w:rPr>
        <w:t>y 10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 (diez)</w:t>
      </w:r>
      <w:r w:rsidR="00F144C3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años para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los </w:t>
      </w:r>
      <w:r w:rsidR="00E90C2C" w:rsidRPr="001B0850">
        <w:rPr>
          <w:rFonts w:ascii="Arial" w:hAnsi="Arial" w:cs="Arial"/>
          <w:color w:val="404040" w:themeColor="text1" w:themeTint="BF"/>
          <w:sz w:val="24"/>
          <w:szCs w:val="24"/>
        </w:rPr>
        <w:t>registros contables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F144C3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lo cual es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tá establecido</w:t>
      </w:r>
      <w:r w:rsidR="00F144C3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por </w:t>
      </w:r>
      <w:r w:rsidR="00E90C2C" w:rsidRPr="001B0850">
        <w:rPr>
          <w:rFonts w:ascii="Arial" w:hAnsi="Arial" w:cs="Arial"/>
          <w:color w:val="404040" w:themeColor="text1" w:themeTint="BF"/>
          <w:sz w:val="24"/>
          <w:szCs w:val="24"/>
        </w:rPr>
        <w:t>el art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E90C2C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19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E90C2C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de la ley AFI.</w:t>
      </w:r>
    </w:p>
    <w:p w14:paraId="49CA8CE8" w14:textId="77777777" w:rsidR="00F144C3" w:rsidRPr="001B0850" w:rsidRDefault="00F144C3" w:rsidP="001B0850">
      <w:pPr>
        <w:pStyle w:val="Prrafodelista"/>
        <w:spacing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A8C6AAF" w14:textId="5D5C31D4" w:rsidR="00F144C3" w:rsidRPr="001B0850" w:rsidRDefault="00F144C3" w:rsidP="001B085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El funcionamiento adecuado del presente manual es</w:t>
      </w:r>
      <w:r w:rsidR="001144B9" w:rsidRPr="001B0850">
        <w:rPr>
          <w:rFonts w:ascii="Arial" w:hAnsi="Arial" w:cs="Arial"/>
          <w:color w:val="404040" w:themeColor="text1" w:themeTint="BF"/>
          <w:sz w:val="24"/>
          <w:szCs w:val="24"/>
        </w:rPr>
        <w:t>tará bajo la responsabilidad de la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Je</w:t>
      </w:r>
      <w:r w:rsidR="00E90C2C" w:rsidRPr="001B0850">
        <w:rPr>
          <w:rFonts w:ascii="Arial" w:hAnsi="Arial" w:cs="Arial"/>
          <w:color w:val="404040" w:themeColor="text1" w:themeTint="BF"/>
          <w:sz w:val="24"/>
          <w:szCs w:val="24"/>
        </w:rPr>
        <w:t>f</w:t>
      </w:r>
      <w:r w:rsidR="001144B9" w:rsidRPr="001B0850">
        <w:rPr>
          <w:rFonts w:ascii="Arial" w:hAnsi="Arial" w:cs="Arial"/>
          <w:color w:val="404040" w:themeColor="text1" w:themeTint="BF"/>
          <w:sz w:val="24"/>
          <w:szCs w:val="24"/>
        </w:rPr>
        <w:t>atura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r w:rsidR="00E90C2C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la Unidad </w:t>
      </w:r>
      <w:r w:rsidR="00E90C2C"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Financiera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, como son la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s Unidades de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Administración,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P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resupuesto,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T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esorería y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ontabilidad.</w:t>
      </w:r>
    </w:p>
    <w:p w14:paraId="77E5A392" w14:textId="77777777" w:rsidR="00F144C3" w:rsidRDefault="00F144C3" w:rsidP="001B0850">
      <w:pPr>
        <w:pStyle w:val="Prrafodelista"/>
        <w:spacing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FC11CBD" w14:textId="77777777" w:rsidR="008A2BC5" w:rsidRDefault="008A2BC5" w:rsidP="001B0850">
      <w:pPr>
        <w:pStyle w:val="Prrafodelista"/>
        <w:spacing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E784C82" w14:textId="189E49A4" w:rsidR="009A0687" w:rsidRPr="001B0850" w:rsidRDefault="009A0687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POL</w:t>
      </w:r>
      <w:r w:rsidR="00F15339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TICAS </w:t>
      </w:r>
      <w:r w:rsidR="00F1533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DE </w:t>
      </w: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CONTABILIDAD</w:t>
      </w:r>
    </w:p>
    <w:p w14:paraId="181C0CDE" w14:textId="03A3A4E7" w:rsidR="000B7AA8" w:rsidRPr="001B0850" w:rsidRDefault="000B7AA8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el saldo de </w:t>
      </w:r>
      <w:r w:rsidR="007F0CFF" w:rsidRPr="001B0850">
        <w:rPr>
          <w:rFonts w:ascii="Arial" w:hAnsi="Arial" w:cs="Arial"/>
          <w:color w:val="404040" w:themeColor="text1" w:themeTint="BF"/>
          <w:sz w:val="24"/>
          <w:szCs w:val="24"/>
        </w:rPr>
        <w:t>las cuentas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y subcuentas contables de caja general y cajas chicas institucionales con sus respectivos arqueos de caja al 31 de diciembre de cada año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07265B05" w14:textId="4123AD04" w:rsidR="000B7AA8" w:rsidRPr="001B0850" w:rsidRDefault="000B7AA8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cada una de las cuentas bancarias a nombre de la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nstitución con los saldos reflejados en el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stado de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uenta bancario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57E9566" w14:textId="77777777" w:rsidR="000B7AA8" w:rsidRPr="001B0850" w:rsidRDefault="000B7AA8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los anticipos otorgados según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el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Balance de Comprobación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al 31 de diciembre de cada año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 con los registros de la Unidad de Tesorería.</w:t>
      </w:r>
    </w:p>
    <w:p w14:paraId="443647F1" w14:textId="099F7D1E" w:rsidR="000B7AA8" w:rsidRPr="001B0850" w:rsidRDefault="000B7AA8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Se deberá conciliar los</w:t>
      </w:r>
      <w:r w:rsidR="007F0CFF">
        <w:rPr>
          <w:rFonts w:ascii="Arial" w:hAnsi="Arial" w:cs="Arial"/>
          <w:color w:val="404040" w:themeColor="text1" w:themeTint="BF"/>
          <w:sz w:val="24"/>
          <w:szCs w:val="24"/>
        </w:rPr>
        <w:t xml:space="preserve"> saldos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7F0CFF">
        <w:rPr>
          <w:rFonts w:ascii="Arial" w:hAnsi="Arial" w:cs="Arial"/>
          <w:color w:val="404040" w:themeColor="text1" w:themeTint="BF"/>
          <w:sz w:val="24"/>
          <w:szCs w:val="24"/>
        </w:rPr>
        <w:t xml:space="preserve">de los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deudores monetarios mensualmente.</w:t>
      </w:r>
    </w:p>
    <w:p w14:paraId="7172B2E1" w14:textId="77777777" w:rsidR="000B7AA8" w:rsidRPr="001B0850" w:rsidRDefault="000B7AA8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las inversiones financieras mensualmente con los registros de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la Unidad de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Tesorería.</w:t>
      </w:r>
    </w:p>
    <w:p w14:paraId="584542C5" w14:textId="77777777" w:rsidR="000B7AA8" w:rsidRPr="001B0850" w:rsidRDefault="000B7AA8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Se deberá conciliar los deudores financieros con los registros de la Unidad de Tesorería.</w:t>
      </w:r>
    </w:p>
    <w:p w14:paraId="741F6218" w14:textId="10B15164" w:rsidR="000B7AA8" w:rsidRPr="001B0850" w:rsidRDefault="000B7AA8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las inversiones intangibles con los registros auxiliares que para tal efecto </w:t>
      </w:r>
      <w:r w:rsidR="00D96437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establezca la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U</w:t>
      </w:r>
      <w:r w:rsidR="00D96437" w:rsidRPr="001B0850">
        <w:rPr>
          <w:rFonts w:ascii="Arial" w:hAnsi="Arial" w:cs="Arial"/>
          <w:color w:val="404040" w:themeColor="text1" w:themeTint="BF"/>
          <w:sz w:val="24"/>
          <w:szCs w:val="24"/>
        </w:rPr>
        <w:t>nidad de Administración</w:t>
      </w:r>
    </w:p>
    <w:p w14:paraId="73032D73" w14:textId="77777777" w:rsidR="00D96437" w:rsidRPr="001B0850" w:rsidRDefault="00D96437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las existencias institucionales al término de cada mes </w:t>
      </w:r>
      <w:r w:rsidR="00457D84" w:rsidRPr="001B0850">
        <w:rPr>
          <w:rFonts w:ascii="Arial" w:hAnsi="Arial" w:cs="Arial"/>
          <w:color w:val="404040" w:themeColor="text1" w:themeTint="BF"/>
          <w:sz w:val="24"/>
          <w:szCs w:val="24"/>
        </w:rPr>
        <w:t>y su verificación física al 31 de diciembre de cada año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457D84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con la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 Unidad de</w:t>
      </w:r>
      <w:r w:rsidR="00457D84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Administración.</w:t>
      </w:r>
    </w:p>
    <w:p w14:paraId="5BF382FF" w14:textId="0405F354" w:rsidR="009A0687" w:rsidRPr="001B0850" w:rsidRDefault="009A0687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Se deberá conciliar el registro auxiliar de bienes de larga duración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cuyo costo es mayor a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los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$600.00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(seiscientos) </w:t>
      </w:r>
      <w:r w:rsidR="000B7AA8" w:rsidRPr="001B0850">
        <w:rPr>
          <w:rFonts w:ascii="Arial" w:hAnsi="Arial" w:cs="Arial"/>
          <w:color w:val="404040" w:themeColor="text1" w:themeTint="BF"/>
          <w:sz w:val="24"/>
          <w:szCs w:val="24"/>
        </w:rPr>
        <w:t>dólares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 de los Estados Unidos de América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con los saldos a nivel de cuenta o subcuenta </w:t>
      </w:r>
      <w:r w:rsidR="00457D84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del </w:t>
      </w:r>
      <w:r w:rsidR="00457D84"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grupo Inversiones en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B</w:t>
      </w:r>
      <w:r w:rsidR="00457D84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ienes de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U</w:t>
      </w:r>
      <w:r w:rsidR="00457D84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so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contable al 31 de diciembre de cada año.</w:t>
      </w:r>
    </w:p>
    <w:p w14:paraId="27F551F8" w14:textId="6848D187" w:rsidR="00D96437" w:rsidRPr="001B0850" w:rsidRDefault="00457D84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Al 31 de diciembre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 de cada año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se deberá conciliar los costos acumulados de cada proyecto con sus respectivas aplicaciones al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gasto de la inversión pública.</w:t>
      </w:r>
    </w:p>
    <w:p w14:paraId="09566F10" w14:textId="621154D3" w:rsidR="000B7AA8" w:rsidRPr="001B0850" w:rsidRDefault="00457D84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el saldo a nivel de subgrupo Inversiones en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B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ienes de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U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so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P</w:t>
      </w:r>
      <w:r w:rsidR="00165DBD" w:rsidRPr="001B0850">
        <w:rPr>
          <w:rFonts w:ascii="Arial" w:hAnsi="Arial" w:cs="Arial"/>
          <w:color w:val="404040" w:themeColor="text1" w:themeTint="BF"/>
          <w:sz w:val="24"/>
          <w:szCs w:val="24"/>
        </w:rPr>
        <w:t>úblico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y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D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esarrollo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ocial al 31 de diciembre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, que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sea igual al valor en libros de los bienes adquiridos </w:t>
      </w:r>
      <w:r w:rsidR="00165DBD" w:rsidRPr="001B0850">
        <w:rPr>
          <w:rFonts w:ascii="Arial" w:hAnsi="Arial" w:cs="Arial"/>
          <w:color w:val="404040" w:themeColor="text1" w:themeTint="BF"/>
          <w:sz w:val="24"/>
          <w:szCs w:val="24"/>
        </w:rPr>
        <w:t>con cargos a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 w:rsidR="00165DBD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proyecto y que al finalizar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165DBD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pasar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á</w:t>
      </w:r>
      <w:r w:rsidR="00165DBD" w:rsidRPr="001B0850">
        <w:rPr>
          <w:rFonts w:ascii="Arial" w:hAnsi="Arial" w:cs="Arial"/>
          <w:color w:val="404040" w:themeColor="text1" w:themeTint="BF"/>
          <w:sz w:val="24"/>
          <w:szCs w:val="24"/>
        </w:rPr>
        <w:t>n a formar parte de los bienes institucionales.</w:t>
      </w:r>
    </w:p>
    <w:p w14:paraId="53EF75BA" w14:textId="4DF00DA6" w:rsidR="00165DBD" w:rsidRPr="001B0850" w:rsidRDefault="00165DBD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los depósitos ajenos con los registros de la Unidad de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T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esorería.</w:t>
      </w:r>
    </w:p>
    <w:p w14:paraId="24845443" w14:textId="5C78CB10" w:rsidR="00165DBD" w:rsidRPr="001B0850" w:rsidRDefault="00165DBD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los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creedores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M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onetarios mensualmente con las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uentas por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>P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agar según 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los 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registros de</w:t>
      </w:r>
      <w:r w:rsidR="00F15339">
        <w:rPr>
          <w:rFonts w:ascii="Arial" w:hAnsi="Arial" w:cs="Arial"/>
          <w:color w:val="404040" w:themeColor="text1" w:themeTint="BF"/>
          <w:sz w:val="24"/>
          <w:szCs w:val="24"/>
        </w:rPr>
        <w:t xml:space="preserve"> la Unidad de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Tesorería.</w:t>
      </w:r>
    </w:p>
    <w:p w14:paraId="03A15334" w14:textId="13C236F1" w:rsidR="00165DBD" w:rsidRPr="001B0850" w:rsidRDefault="00165DBD" w:rsidP="001B085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Se deberá conciliar </w:t>
      </w:r>
      <w:r w:rsidR="0010253D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las </w:t>
      </w:r>
      <w:r w:rsidR="003A690A">
        <w:rPr>
          <w:rFonts w:ascii="Arial" w:hAnsi="Arial" w:cs="Arial"/>
          <w:color w:val="404040" w:themeColor="text1" w:themeTint="BF"/>
          <w:sz w:val="24"/>
          <w:szCs w:val="24"/>
        </w:rPr>
        <w:t>R</w:t>
      </w:r>
      <w:r w:rsidR="0010253D" w:rsidRPr="001B0850">
        <w:rPr>
          <w:rFonts w:ascii="Arial" w:hAnsi="Arial" w:cs="Arial"/>
          <w:color w:val="404040" w:themeColor="text1" w:themeTint="BF"/>
          <w:sz w:val="24"/>
          <w:szCs w:val="24"/>
        </w:rPr>
        <w:t>etenciones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de</w:t>
      </w:r>
      <w:r w:rsidR="003A690A"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3A690A"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mpuesto </w:t>
      </w:r>
      <w:r w:rsidR="003A690A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obre </w:t>
      </w:r>
      <w:r w:rsidR="0010253D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la </w:t>
      </w:r>
      <w:r w:rsidR="003A690A">
        <w:rPr>
          <w:rFonts w:ascii="Arial" w:hAnsi="Arial" w:cs="Arial"/>
          <w:color w:val="404040" w:themeColor="text1" w:themeTint="BF"/>
          <w:sz w:val="24"/>
          <w:szCs w:val="24"/>
        </w:rPr>
        <w:t>R</w:t>
      </w:r>
      <w:r w:rsidR="0010253D" w:rsidRPr="001B0850">
        <w:rPr>
          <w:rFonts w:ascii="Arial" w:hAnsi="Arial" w:cs="Arial"/>
          <w:color w:val="404040" w:themeColor="text1" w:themeTint="BF"/>
          <w:sz w:val="24"/>
          <w:szCs w:val="24"/>
        </w:rPr>
        <w:t>enta descontada y pagada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en el per</w:t>
      </w:r>
      <w:r w:rsidR="003A690A">
        <w:rPr>
          <w:rFonts w:ascii="Arial" w:hAnsi="Arial" w:cs="Arial"/>
          <w:color w:val="404040" w:themeColor="text1" w:themeTint="BF"/>
          <w:sz w:val="24"/>
          <w:szCs w:val="24"/>
        </w:rPr>
        <w:t>í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odo fiscal mensual con los registros según libros contables al término de cada mes.</w:t>
      </w:r>
    </w:p>
    <w:p w14:paraId="5F01A298" w14:textId="77777777" w:rsidR="002A751B" w:rsidRDefault="002A751B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7F9ED0A" w14:textId="77777777" w:rsidR="007F0CFF" w:rsidRDefault="007F0CFF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0A07582D" w14:textId="77777777" w:rsidR="007F0CFF" w:rsidRDefault="007F0CFF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CC77D9B" w14:textId="1CC27CD1" w:rsidR="00165DBD" w:rsidRPr="001B0850" w:rsidRDefault="00165DBD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POL</w:t>
      </w:r>
      <w:r w:rsidR="003A690A">
        <w:rPr>
          <w:rFonts w:ascii="Arial" w:hAnsi="Arial" w:cs="Arial"/>
          <w:b/>
          <w:color w:val="404040" w:themeColor="text1" w:themeTint="BF"/>
          <w:sz w:val="24"/>
          <w:szCs w:val="24"/>
        </w:rPr>
        <w:t>Í</w:t>
      </w: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TICAS PRESUPUEST</w:t>
      </w:r>
      <w:r w:rsidR="009E0486"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t>ARIAS</w:t>
      </w:r>
    </w:p>
    <w:p w14:paraId="6C2A7BB9" w14:textId="7C6E6329" w:rsidR="00165DBD" w:rsidRPr="001B0850" w:rsidRDefault="00165DBD" w:rsidP="001B085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Se deberá conciliar </w:t>
      </w:r>
      <w:r w:rsidR="009E048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la 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9E048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jecución 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P</w:t>
      </w:r>
      <w:r w:rsidR="009E048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resupuestaria de 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9E0486" w:rsidRPr="001B0850">
        <w:rPr>
          <w:rFonts w:ascii="Arial" w:hAnsi="Arial" w:cs="Arial"/>
          <w:color w:val="404040" w:themeColor="text1" w:themeTint="BF"/>
          <w:sz w:val="24"/>
          <w:szCs w:val="24"/>
        </w:rPr>
        <w:t>greso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="009E048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generada por el sistema contable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9E048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en el módulo de 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P</w:t>
      </w:r>
      <w:r w:rsidR="009E0486" w:rsidRPr="001B0850">
        <w:rPr>
          <w:rFonts w:ascii="Arial" w:hAnsi="Arial" w:cs="Arial"/>
          <w:color w:val="404040" w:themeColor="text1" w:themeTint="BF"/>
          <w:sz w:val="24"/>
          <w:szCs w:val="24"/>
        </w:rPr>
        <w:t>resupuesto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9E048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con la ejecución en los registros auxiliares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9E0486"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que para tal efecto deberá llevar la Unidad de Presupuesto al término de cada mes.</w:t>
      </w:r>
    </w:p>
    <w:p w14:paraId="34D94EEF" w14:textId="0E0EC9D7" w:rsidR="009E0486" w:rsidRPr="001B0850" w:rsidRDefault="009E0486" w:rsidP="001B085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Se deberá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n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 conciliar los 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ngresos según 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los L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 xml:space="preserve">ibros de banco con los </w:t>
      </w:r>
      <w:r w:rsidR="00153ED0"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1B0850">
        <w:rPr>
          <w:rFonts w:ascii="Arial" w:hAnsi="Arial" w:cs="Arial"/>
          <w:color w:val="404040" w:themeColor="text1" w:themeTint="BF"/>
          <w:sz w:val="24"/>
          <w:szCs w:val="24"/>
        </w:rPr>
        <w:t>ngresos según el sistema contable mensualmente.</w:t>
      </w:r>
    </w:p>
    <w:p w14:paraId="0FB601DE" w14:textId="77777777" w:rsidR="00FC4E98" w:rsidRPr="001B0850" w:rsidRDefault="00FC4E98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472495C" w14:textId="77777777" w:rsidR="003A260A" w:rsidRPr="001B0850" w:rsidRDefault="003A260A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br w:type="page"/>
      </w:r>
    </w:p>
    <w:p w14:paraId="3F75329A" w14:textId="77777777" w:rsidR="00A536CF" w:rsidRPr="001B0850" w:rsidRDefault="00A536CF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PROCEDIMIENTOS CONTABLES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5038"/>
        <w:gridCol w:w="2258"/>
      </w:tblGrid>
      <w:tr w:rsidR="001B0850" w:rsidRPr="001B0850" w14:paraId="354798E4" w14:textId="77777777" w:rsidTr="00261F40">
        <w:trPr>
          <w:trHeight w:val="933"/>
        </w:trPr>
        <w:tc>
          <w:tcPr>
            <w:tcW w:w="9356" w:type="dxa"/>
            <w:gridSpan w:val="3"/>
          </w:tcPr>
          <w:p w14:paraId="0E23122B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7CB563" w14:textId="686202DD" w:rsidR="003527F2" w:rsidRPr="007F0CFF" w:rsidRDefault="003527F2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</w:pPr>
            <w:r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 xml:space="preserve">Descripción del Procedimiento de </w:t>
            </w:r>
            <w:r w:rsidR="00153ED0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>C</w:t>
            </w:r>
            <w:r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>onciliaciones de</w:t>
            </w:r>
            <w:r w:rsidR="00153ED0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 xml:space="preserve"> la</w:t>
            </w:r>
            <w:r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 xml:space="preserve"> </w:t>
            </w:r>
            <w:r w:rsidR="00261F40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>C</w:t>
            </w:r>
            <w:r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>aja</w:t>
            </w:r>
            <w:r w:rsidR="00261F40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 xml:space="preserve"> General</w:t>
            </w:r>
            <w:r w:rsidR="00FC4E98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 xml:space="preserve"> y</w:t>
            </w:r>
            <w:r w:rsidR="00153ED0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 xml:space="preserve"> de</w:t>
            </w:r>
            <w:r w:rsidR="00FC4E98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 xml:space="preserve"> </w:t>
            </w:r>
            <w:r w:rsidR="00261F40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>C</w:t>
            </w:r>
            <w:r w:rsidR="00FC4E98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 xml:space="preserve">aja </w:t>
            </w:r>
            <w:r w:rsidR="00261F40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>C</w:t>
            </w:r>
            <w:r w:rsidR="00FC4E98" w:rsidRPr="007F0CFF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  <w:lang w:val="es-ES"/>
              </w:rPr>
              <w:t>hica</w:t>
            </w:r>
          </w:p>
        </w:tc>
      </w:tr>
      <w:tr w:rsidR="00153ED0" w:rsidRPr="001B0850" w14:paraId="7D87E29F" w14:textId="77777777" w:rsidTr="00E83CF7">
        <w:trPr>
          <w:trHeight w:val="1265"/>
        </w:trPr>
        <w:tc>
          <w:tcPr>
            <w:tcW w:w="0" w:type="auto"/>
          </w:tcPr>
          <w:p w14:paraId="16C13B79" w14:textId="77777777" w:rsidR="003527F2" w:rsidRPr="001B0850" w:rsidRDefault="003527F2" w:rsidP="00E83CF7">
            <w:pPr>
              <w:spacing w:line="360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133FDE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1385CFE3" w14:textId="77777777" w:rsidR="003527F2" w:rsidRPr="001B0850" w:rsidRDefault="003527F2" w:rsidP="00E83CF7">
            <w:pPr>
              <w:spacing w:line="360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84FFB3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7C522D65" w14:textId="77777777" w:rsidR="003527F2" w:rsidRPr="001B0850" w:rsidRDefault="003527F2" w:rsidP="00E83CF7">
            <w:pPr>
              <w:spacing w:line="360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A484CF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53ED0" w:rsidRPr="001B0850" w14:paraId="3A998192" w14:textId="77777777" w:rsidTr="00E83CF7">
        <w:trPr>
          <w:trHeight w:val="70"/>
        </w:trPr>
        <w:tc>
          <w:tcPr>
            <w:tcW w:w="0" w:type="auto"/>
          </w:tcPr>
          <w:p w14:paraId="610DDD7A" w14:textId="1314B640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Tesorería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y/o Jefe UFI.</w:t>
            </w:r>
          </w:p>
          <w:p w14:paraId="6BF68AED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3C9EBB" w14:textId="77777777" w:rsidR="00772DB7" w:rsidRPr="001B0850" w:rsidRDefault="00772D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7C6BDC" w14:textId="77777777" w:rsidR="00153ED0" w:rsidRDefault="00153ED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A256DB" w14:textId="1CA06030" w:rsidR="00FC4E98" w:rsidRPr="001B0850" w:rsidRDefault="00153ED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y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esponsable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la Caja</w:t>
            </w:r>
          </w:p>
          <w:p w14:paraId="2AEAF131" w14:textId="77777777" w:rsidR="00772DB7" w:rsidRPr="001B0850" w:rsidRDefault="00772D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3B25B" w14:textId="77777777" w:rsidR="00772DB7" w:rsidRPr="001B0850" w:rsidRDefault="00772D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E0075" w14:textId="4F96C7FC" w:rsidR="00FC4E98" w:rsidRPr="001B0850" w:rsidRDefault="00153ED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y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esponsable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la Caja</w:t>
            </w:r>
          </w:p>
          <w:p w14:paraId="5268B38C" w14:textId="77777777" w:rsidR="00FC4E98" w:rsidRPr="001B0850" w:rsidRDefault="00FC4E9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15BCF613" w14:textId="03FA8513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31 de diciembre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cada año,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Unidad de Tesorería realizar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arqueo a la 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aja 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eneral de la 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Institución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y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7F0CFF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caja chica legalmente establecida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dicho procedimiento deberá hacer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presencia del 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esponsable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de la Caja</w:t>
            </w:r>
            <w:r w:rsidR="00FC4E9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D39062E" w14:textId="769E07DB" w:rsidR="00FC4E98" w:rsidRPr="001B0850" w:rsidRDefault="00FC4E9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 levantará un acta del recuento efectuado  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que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deberá ser firmad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sellad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la Unidad de 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esorería y el 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esponsable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la Caja.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AECCEE" w14:textId="77777777" w:rsidR="00FC4E98" w:rsidRPr="001B0850" w:rsidRDefault="00FC4E9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F8A578" w14:textId="4E109D62" w:rsidR="00FC4E98" w:rsidRPr="001B0850" w:rsidRDefault="00FC4E98" w:rsidP="00153ED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existir faltante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solicitar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escrito el reintegro de los fondos y se le informará a la Dirección Ejecutiva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 existir sobrante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deberá remesar a la cuenta bancaria institucional y deberá emitirse el recibo de ingreso y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esta cantidad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clasificará como Ingresos </w:t>
            </w:r>
            <w:r w:rsidR="00153E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iversos.</w:t>
            </w:r>
          </w:p>
        </w:tc>
        <w:tc>
          <w:tcPr>
            <w:tcW w:w="2258" w:type="dxa"/>
          </w:tcPr>
          <w:p w14:paraId="10F0D2B9" w14:textId="77777777" w:rsidR="003527F2" w:rsidRPr="001B0850" w:rsidRDefault="00FC4E9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Forma para arqueo</w:t>
            </w:r>
          </w:p>
          <w:p w14:paraId="24483507" w14:textId="77777777" w:rsidR="00772DB7" w:rsidRPr="001B0850" w:rsidRDefault="00772D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F7AEDB" w14:textId="489B93F5" w:rsidR="00772DB7" w:rsidRPr="001B0850" w:rsidRDefault="00FC4E9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Acta</w:t>
            </w:r>
          </w:p>
          <w:p w14:paraId="13FBB69E" w14:textId="77777777" w:rsidR="00FC4E98" w:rsidRPr="001B0850" w:rsidRDefault="00FC4E9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Recibo de ingresos, solicitud de reintegro y remesa</w:t>
            </w:r>
          </w:p>
        </w:tc>
      </w:tr>
    </w:tbl>
    <w:p w14:paraId="2E0CA464" w14:textId="77777777" w:rsidR="003527F2" w:rsidRPr="001B0850" w:rsidRDefault="003527F2" w:rsidP="001B0850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60B6ED0" w14:textId="77777777" w:rsidR="003A260A" w:rsidRPr="001B0850" w:rsidRDefault="003A260A" w:rsidP="001B0850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6FA6FD46" w14:textId="77777777" w:rsidR="003A260A" w:rsidRPr="001B0850" w:rsidRDefault="003A260A" w:rsidP="001B0850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472"/>
        <w:gridCol w:w="2254"/>
      </w:tblGrid>
      <w:tr w:rsidR="003527F2" w:rsidRPr="001B0850" w14:paraId="21445317" w14:textId="77777777" w:rsidTr="00261F40">
        <w:trPr>
          <w:trHeight w:val="585"/>
        </w:trPr>
        <w:tc>
          <w:tcPr>
            <w:tcW w:w="9360" w:type="dxa"/>
            <w:gridSpan w:val="3"/>
          </w:tcPr>
          <w:p w14:paraId="744F4CDB" w14:textId="77777777" w:rsidR="003527F2" w:rsidRPr="001B0850" w:rsidRDefault="003527F2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Descripción del Procedimiento de Conciliaciones Bancarias</w:t>
            </w:r>
          </w:p>
        </w:tc>
      </w:tr>
      <w:tr w:rsidR="003527F2" w:rsidRPr="001B0850" w14:paraId="683782CD" w14:textId="77777777" w:rsidTr="00261F40">
        <w:trPr>
          <w:trHeight w:val="611"/>
        </w:trPr>
        <w:tc>
          <w:tcPr>
            <w:tcW w:w="1634" w:type="dxa"/>
          </w:tcPr>
          <w:p w14:paraId="553451A0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2C50C6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5472" w:type="dxa"/>
          </w:tcPr>
          <w:p w14:paraId="66239A1D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DC30BC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4" w:type="dxa"/>
          </w:tcPr>
          <w:p w14:paraId="60469335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8A3C49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3527F2" w:rsidRPr="001B0850" w14:paraId="761538F0" w14:textId="77777777" w:rsidTr="00261F40">
        <w:trPr>
          <w:trHeight w:val="5079"/>
        </w:trPr>
        <w:tc>
          <w:tcPr>
            <w:tcW w:w="1634" w:type="dxa"/>
          </w:tcPr>
          <w:p w14:paraId="34A1DAD9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05591A5" w14:textId="6E728819" w:rsidR="003527F2" w:rsidRPr="001B0850" w:rsidRDefault="00153ED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Unidades de </w:t>
            </w:r>
            <w:r w:rsidR="003527F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T</w:t>
            </w:r>
            <w:r w:rsidR="003527F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esorería</w:t>
            </w:r>
          </w:p>
          <w:p w14:paraId="2DC1467A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B9807F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838198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0F8EEA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EA9A05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Contabilidad </w:t>
            </w:r>
          </w:p>
          <w:p w14:paraId="7323AB1F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68C776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B8D5CD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EF14CE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FDFBED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B68BCF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1E86CC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263106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33A930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EE99DC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917DD6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9570AE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10994F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D613DC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C4C68B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  <w:p w14:paraId="5301CAB7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5472" w:type="dxa"/>
          </w:tcPr>
          <w:p w14:paraId="06CAB104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8F59476" w14:textId="2940DFB0" w:rsidR="003527F2" w:rsidRPr="001B0850" w:rsidRDefault="003527F2" w:rsidP="001B0850">
            <w:pPr>
              <w:pStyle w:val="Sangradetextonormal"/>
              <w:spacing w:after="0" w:line="360" w:lineRule="auto"/>
              <w:ind w:left="220" w:right="180" w:hanging="22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1. La </w:t>
            </w:r>
            <w:r w:rsidR="00153ED0">
              <w:rPr>
                <w:rFonts w:ascii="Arial" w:hAnsi="Arial" w:cs="Arial"/>
                <w:bCs/>
                <w:color w:val="404040" w:themeColor="text1" w:themeTint="BF"/>
              </w:rPr>
              <w:t>U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nidad de </w:t>
            </w:r>
            <w:r w:rsidR="00153ED0">
              <w:rPr>
                <w:rFonts w:ascii="Arial" w:hAnsi="Arial" w:cs="Arial"/>
                <w:bCs/>
                <w:color w:val="404040" w:themeColor="text1" w:themeTint="BF"/>
              </w:rPr>
              <w:t>C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ontabilidad recibe y recepcióna los estados de cuenta bancarios </w:t>
            </w:r>
          </w:p>
          <w:p w14:paraId="704D3A92" w14:textId="1F93D85D" w:rsidR="003527F2" w:rsidRPr="001B0850" w:rsidRDefault="001144B9" w:rsidP="001B0850">
            <w:pPr>
              <w:pStyle w:val="Sangradetextonormal"/>
              <w:spacing w:after="0" w:line="360" w:lineRule="auto"/>
              <w:ind w:left="220" w:right="180" w:hanging="22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2. 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Dentro de los diez días subsiguientes a la finalización de cada mes, la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U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nidad de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C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>ontabilidad conciliar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los saldos de las cuentas bancarias de la OPAMSS, a fin de garantizar la concordancia entre los saldos manejados por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 la Unidad de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T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esorería, los bancos respectivos y los de  la Unidad de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C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ontabilidad. </w:t>
            </w:r>
          </w:p>
          <w:p w14:paraId="7B58B595" w14:textId="77777777" w:rsidR="00A95998" w:rsidRDefault="003527F2" w:rsidP="001B0850">
            <w:pPr>
              <w:pStyle w:val="Sangradetextonormal"/>
              <w:spacing w:after="0" w:line="360" w:lineRule="auto"/>
              <w:ind w:left="220" w:right="180" w:hanging="22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3.  Para la conciliación de los saldos, la persona encargada deberá tomar en cuenta:</w:t>
            </w:r>
          </w:p>
          <w:p w14:paraId="5173CC92" w14:textId="05681E24" w:rsidR="00A95998" w:rsidRDefault="00A95998" w:rsidP="007F0CFF">
            <w:pPr>
              <w:pStyle w:val="Sangradetextonormal"/>
              <w:numPr>
                <w:ilvl w:val="0"/>
                <w:numId w:val="10"/>
              </w:numPr>
              <w:spacing w:after="0" w:line="360" w:lineRule="auto"/>
              <w:ind w:right="18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L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os estados de cuentas bancarios del mes a conciliar, 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t xml:space="preserve">en los 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>que se haya efectuado el cierre contable del mes  y</w:t>
            </w:r>
          </w:p>
          <w:p w14:paraId="5DCCECB9" w14:textId="0658F38B" w:rsidR="003527F2" w:rsidRPr="001B0850" w:rsidRDefault="00A95998" w:rsidP="007F0CFF">
            <w:pPr>
              <w:pStyle w:val="Sangradetextonormal"/>
              <w:numPr>
                <w:ilvl w:val="0"/>
                <w:numId w:val="10"/>
              </w:numPr>
              <w:spacing w:after="0" w:line="360" w:lineRule="auto"/>
              <w:ind w:right="18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Q</w:t>
            </w:r>
            <w:r w:rsidR="003527F2"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ue los saldos diarios de las chequeras y libros auxiliares de bancos estén actualizados.      </w:t>
            </w:r>
          </w:p>
          <w:p w14:paraId="19A24E73" w14:textId="65267270" w:rsidR="003527F2" w:rsidRPr="001B0850" w:rsidRDefault="003527F2" w:rsidP="001B0850">
            <w:pPr>
              <w:pStyle w:val="Sangradetextonormal"/>
              <w:spacing w:after="0" w:line="360" w:lineRule="auto"/>
              <w:ind w:left="220" w:right="180" w:hanging="22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4. Para preparar las conciliaciones de cada una de las cuentas, la persona encargada cargar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los estados de cuenta según parámetros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 o criterios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establecidos por la DGCG, y anotar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la información general sobre la cuenta y los datos 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lastRenderedPageBreak/>
              <w:t xml:space="preserve">y valores que indica cada columna y sus apartados.                </w:t>
            </w:r>
          </w:p>
          <w:p w14:paraId="02A85212" w14:textId="0F011692" w:rsidR="003527F2" w:rsidRPr="001B0850" w:rsidRDefault="003527F2" w:rsidP="001B0850">
            <w:pPr>
              <w:pStyle w:val="Sangradetextonormal"/>
              <w:spacing w:after="0" w:line="360" w:lineRule="auto"/>
              <w:ind w:left="220" w:right="180" w:hanging="220"/>
              <w:jc w:val="both"/>
              <w:rPr>
                <w:rFonts w:ascii="Arial Narrow" w:hAnsi="Arial Narrow" w:cs="Arial"/>
                <w:bCs/>
                <w:color w:val="404040" w:themeColor="text1" w:themeTint="BF"/>
                <w:sz w:val="20"/>
                <w:szCs w:val="20"/>
              </w:rPr>
            </w:pP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5. La conciliación inicia con el saldo del estado de cuentas, al cual se le agregan las remesas y otros abonos no aplicados para obtener un total  disponible, al que se le resta la suma de los cheques no cobrados y los cargos no aplicados. Como resultado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,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se obtendrá un saldo que debe coincidir con el saldo del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b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anco y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el 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saldo contable</w:t>
            </w:r>
            <w:r w:rsidRPr="001B0850">
              <w:rPr>
                <w:rFonts w:ascii="Arial Narrow" w:hAnsi="Arial Narrow" w:cs="Arial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a esa fecha.</w:t>
            </w:r>
          </w:p>
          <w:p w14:paraId="0E612A2C" w14:textId="187B7B39" w:rsidR="003527F2" w:rsidRPr="001B0850" w:rsidRDefault="003527F2" w:rsidP="001B0850">
            <w:pPr>
              <w:pStyle w:val="Sangradetextonormal"/>
              <w:numPr>
                <w:ilvl w:val="0"/>
                <w:numId w:val="9"/>
              </w:numPr>
              <w:spacing w:after="0" w:line="360" w:lineRule="auto"/>
              <w:ind w:right="18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De existir diferencias entre los saldos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,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deberá investigar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a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d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ó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nde se encuentra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n dichas diferencias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y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cuál es 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su origen: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S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i es en los estados de cuentas remitidos por los bancos, en los saldos diarios de las chequeras o en los registros contables.</w:t>
            </w:r>
          </w:p>
          <w:p w14:paraId="409BA537" w14:textId="40CA955C" w:rsidR="003527F2" w:rsidRPr="001B0850" w:rsidRDefault="003527F2" w:rsidP="001B0850">
            <w:pPr>
              <w:pStyle w:val="Sangradetextonormal"/>
              <w:numPr>
                <w:ilvl w:val="0"/>
                <w:numId w:val="9"/>
              </w:numPr>
              <w:tabs>
                <w:tab w:val="left" w:pos="360"/>
                <w:tab w:val="left" w:pos="3960"/>
              </w:tabs>
              <w:spacing w:after="0" w:line="360" w:lineRule="auto"/>
              <w:ind w:right="6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Si la diferencia se debe a aplicaciones indebidas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,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realizadas por el banco y reflejadas en el estado de cuentas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,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la Unidad de Contabilidad será la encargada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 de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notificar a la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 Unidad de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T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esorería para que solicite al banco la investigación y corrección del saldo de la cuenta y obtener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 una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notificación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 (por escrito)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de lo efectuado.</w:t>
            </w:r>
          </w:p>
          <w:p w14:paraId="2E1E078C" w14:textId="1498612E" w:rsidR="003527F2" w:rsidRPr="001B0850" w:rsidRDefault="003527F2" w:rsidP="001B0850">
            <w:pPr>
              <w:pStyle w:val="Sangradetextonormal"/>
              <w:numPr>
                <w:ilvl w:val="0"/>
                <w:numId w:val="9"/>
              </w:numPr>
              <w:tabs>
                <w:tab w:val="left" w:pos="360"/>
                <w:tab w:val="left" w:pos="3960"/>
              </w:tabs>
              <w:spacing w:after="0" w:line="360" w:lineRule="auto"/>
              <w:ind w:right="6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lastRenderedPageBreak/>
              <w:t xml:space="preserve">Si la diferencia se debe a errores en la determinación de los saldos diarios  o por operaciones no registradas,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la Unidad de 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Contabilidad  comunicar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a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a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 la de T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esorería para que efect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>úe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las correcciones </w:t>
            </w:r>
            <w:r w:rsidR="00A95998">
              <w:rPr>
                <w:rFonts w:ascii="Arial" w:hAnsi="Arial" w:cs="Arial"/>
                <w:bCs/>
                <w:color w:val="404040" w:themeColor="text1" w:themeTint="BF"/>
              </w:rPr>
              <w:t xml:space="preserve">con el propósito de </w:t>
            </w:r>
            <w:r w:rsidRPr="007F0CFF">
              <w:rPr>
                <w:rFonts w:ascii="Arial" w:hAnsi="Arial" w:cs="Arial"/>
                <w:bCs/>
                <w:strike/>
                <w:color w:val="404040" w:themeColor="text1" w:themeTint="BF"/>
              </w:rPr>
              <w:t>para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regularizar los saldos.                 </w:t>
            </w:r>
          </w:p>
          <w:p w14:paraId="51145429" w14:textId="76FB800E" w:rsidR="003527F2" w:rsidRPr="001B0850" w:rsidRDefault="003527F2" w:rsidP="001B0850">
            <w:pPr>
              <w:pStyle w:val="Sangradetextonormal"/>
              <w:numPr>
                <w:ilvl w:val="0"/>
                <w:numId w:val="9"/>
              </w:numPr>
              <w:tabs>
                <w:tab w:val="left" w:pos="360"/>
                <w:tab w:val="left" w:pos="3960"/>
              </w:tabs>
              <w:spacing w:after="0" w:line="360" w:lineRule="auto"/>
              <w:ind w:right="6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Si la diferencia se debe a errores en los registros contables, a causa de una aplicación indebida </w:t>
            </w:r>
            <w:r w:rsidR="00740185">
              <w:rPr>
                <w:rFonts w:ascii="Arial" w:hAnsi="Arial" w:cs="Arial"/>
                <w:bCs/>
                <w:color w:val="404040" w:themeColor="text1" w:themeTint="BF"/>
              </w:rPr>
              <w:t>o a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 operaciones no registradas porque no se contaba con los comprobantes respectivos, la </w:t>
            </w:r>
            <w:r w:rsidR="00740185">
              <w:rPr>
                <w:rFonts w:ascii="Arial" w:hAnsi="Arial" w:cs="Arial"/>
                <w:bCs/>
                <w:color w:val="404040" w:themeColor="text1" w:themeTint="BF"/>
              </w:rPr>
              <w:t>U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nidad de </w:t>
            </w:r>
            <w:r w:rsidR="00740185">
              <w:rPr>
                <w:rFonts w:ascii="Arial" w:hAnsi="Arial" w:cs="Arial"/>
                <w:bCs/>
                <w:color w:val="404040" w:themeColor="text1" w:themeTint="BF"/>
              </w:rPr>
              <w:t>C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>ontabilidad debe</w:t>
            </w:r>
            <w:r w:rsidR="00740185">
              <w:rPr>
                <w:rFonts w:ascii="Arial" w:hAnsi="Arial" w:cs="Arial"/>
                <w:bCs/>
                <w:color w:val="404040" w:themeColor="text1" w:themeTint="BF"/>
              </w:rPr>
              <w:t xml:space="preserve"> </w:t>
            </w:r>
            <w:r w:rsidRPr="001B0850">
              <w:rPr>
                <w:rFonts w:ascii="Arial" w:hAnsi="Arial" w:cs="Arial"/>
                <w:bCs/>
                <w:color w:val="404040" w:themeColor="text1" w:themeTint="BF"/>
              </w:rPr>
              <w:t xml:space="preserve">preparar y registrar los ajustes para corregir los saldos.   </w:t>
            </w:r>
          </w:p>
          <w:p w14:paraId="13ED7B9E" w14:textId="296C9924" w:rsidR="003527F2" w:rsidRPr="001B0850" w:rsidRDefault="003527F2" w:rsidP="001B0850">
            <w:pPr>
              <w:pStyle w:val="Sangradetextonormal"/>
              <w:numPr>
                <w:ilvl w:val="0"/>
                <w:numId w:val="9"/>
              </w:numPr>
              <w:tabs>
                <w:tab w:val="left" w:pos="360"/>
                <w:tab w:val="left" w:pos="3960"/>
              </w:tabs>
              <w:spacing w:after="0" w:line="360" w:lineRule="auto"/>
              <w:ind w:right="6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B0850">
              <w:rPr>
                <w:rFonts w:ascii="Arial" w:hAnsi="Arial" w:cs="Arial"/>
                <w:color w:val="404040" w:themeColor="text1" w:themeTint="BF"/>
              </w:rPr>
              <w:t xml:space="preserve">Las notas explicativas de las diferencias detectadas al conciliar los saldos, deben quedar indicadas en las conciliaciones elaboradas a efecto de darle seguimiento a su corrección. </w:t>
            </w:r>
          </w:p>
          <w:p w14:paraId="18AC2442" w14:textId="57F4DBA7" w:rsidR="003527F2" w:rsidRPr="001B0850" w:rsidRDefault="003527F2" w:rsidP="00740185">
            <w:pPr>
              <w:pStyle w:val="Sangradetextonormal"/>
              <w:numPr>
                <w:ilvl w:val="0"/>
                <w:numId w:val="9"/>
              </w:numPr>
              <w:tabs>
                <w:tab w:val="left" w:pos="360"/>
                <w:tab w:val="left" w:pos="3960"/>
              </w:tabs>
              <w:spacing w:after="0" w:line="360" w:lineRule="auto"/>
              <w:ind w:right="60"/>
              <w:jc w:val="both"/>
              <w:rPr>
                <w:rFonts w:ascii="Arial Narrow" w:hAnsi="Arial Narrow" w:cs="Arial"/>
                <w:bCs/>
                <w:color w:val="404040" w:themeColor="text1" w:themeTint="BF"/>
                <w:sz w:val="20"/>
                <w:szCs w:val="20"/>
              </w:rPr>
            </w:pPr>
            <w:r w:rsidRPr="001B0850">
              <w:rPr>
                <w:rFonts w:ascii="Arial" w:hAnsi="Arial" w:cs="Arial"/>
                <w:color w:val="404040" w:themeColor="text1" w:themeTint="BF"/>
              </w:rPr>
              <w:t>Finalizadas las conciliaciones e investigadas las diferencias, la persona encargada</w:t>
            </w:r>
            <w:r w:rsidR="00740185">
              <w:rPr>
                <w:rFonts w:ascii="Arial" w:hAnsi="Arial" w:cs="Arial"/>
                <w:color w:val="404040" w:themeColor="text1" w:themeTint="BF"/>
              </w:rPr>
              <w:t xml:space="preserve"> de la conciliación</w:t>
            </w:r>
            <w:r w:rsidRPr="001B0850">
              <w:rPr>
                <w:rFonts w:ascii="Arial" w:hAnsi="Arial" w:cs="Arial"/>
                <w:color w:val="404040" w:themeColor="text1" w:themeTint="BF"/>
              </w:rPr>
              <w:t xml:space="preserve"> las pasar</w:t>
            </w:r>
            <w:r w:rsidR="00740185">
              <w:rPr>
                <w:rFonts w:ascii="Arial" w:hAnsi="Arial" w:cs="Arial"/>
                <w:color w:val="404040" w:themeColor="text1" w:themeTint="BF"/>
              </w:rPr>
              <w:t>á</w:t>
            </w:r>
            <w:r w:rsidRPr="001B0850">
              <w:rPr>
                <w:rFonts w:ascii="Arial" w:hAnsi="Arial" w:cs="Arial"/>
                <w:color w:val="404040" w:themeColor="text1" w:themeTint="BF"/>
              </w:rPr>
              <w:t xml:space="preserve"> a revisión y aprobación del </w:t>
            </w:r>
            <w:r w:rsidR="00740185">
              <w:rPr>
                <w:rFonts w:ascii="Arial" w:hAnsi="Arial" w:cs="Arial"/>
                <w:color w:val="404040" w:themeColor="text1" w:themeTint="BF"/>
              </w:rPr>
              <w:t>J</w:t>
            </w:r>
            <w:r w:rsidRPr="001B0850">
              <w:rPr>
                <w:rFonts w:ascii="Arial" w:hAnsi="Arial" w:cs="Arial"/>
                <w:color w:val="404040" w:themeColor="text1" w:themeTint="BF"/>
              </w:rPr>
              <w:t xml:space="preserve">efe de la </w:t>
            </w:r>
            <w:r w:rsidR="00740185">
              <w:rPr>
                <w:rFonts w:ascii="Arial" w:hAnsi="Arial" w:cs="Arial"/>
                <w:color w:val="404040" w:themeColor="text1" w:themeTint="BF"/>
              </w:rPr>
              <w:t>U</w:t>
            </w:r>
            <w:r w:rsidRPr="001B0850">
              <w:rPr>
                <w:rFonts w:ascii="Arial" w:hAnsi="Arial" w:cs="Arial"/>
                <w:color w:val="404040" w:themeColor="text1" w:themeTint="BF"/>
              </w:rPr>
              <w:t>nidad, y si</w:t>
            </w:r>
            <w:r w:rsidR="0074018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1B0850">
              <w:rPr>
                <w:rFonts w:ascii="Arial" w:hAnsi="Arial" w:cs="Arial"/>
                <w:color w:val="404040" w:themeColor="text1" w:themeTint="BF"/>
              </w:rPr>
              <w:t>existen correcciones</w:t>
            </w:r>
            <w:r w:rsidR="00740185">
              <w:rPr>
                <w:rFonts w:ascii="Arial" w:hAnsi="Arial" w:cs="Arial"/>
                <w:color w:val="404040" w:themeColor="text1" w:themeTint="BF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</w:rPr>
              <w:t xml:space="preserve"> les da</w:t>
            </w:r>
            <w:r w:rsidR="00740185">
              <w:rPr>
                <w:rFonts w:ascii="Arial" w:hAnsi="Arial" w:cs="Arial"/>
                <w:color w:val="404040" w:themeColor="text1" w:themeTint="BF"/>
              </w:rPr>
              <w:t>rá</w:t>
            </w:r>
            <w:r w:rsidRPr="001B0850">
              <w:rPr>
                <w:rFonts w:ascii="Arial" w:hAnsi="Arial" w:cs="Arial"/>
                <w:color w:val="404040" w:themeColor="text1" w:themeTint="BF"/>
              </w:rPr>
              <w:t xml:space="preserve"> seguimiento hasta que </w:t>
            </w:r>
            <w:r w:rsidR="00740185">
              <w:rPr>
                <w:rFonts w:ascii="Arial" w:hAnsi="Arial" w:cs="Arial"/>
                <w:color w:val="404040" w:themeColor="text1" w:themeTint="BF"/>
              </w:rPr>
              <w:t xml:space="preserve">efectivamente </w:t>
            </w:r>
            <w:r w:rsidRPr="001B0850">
              <w:rPr>
                <w:rFonts w:ascii="Arial" w:hAnsi="Arial" w:cs="Arial"/>
                <w:color w:val="404040" w:themeColor="text1" w:themeTint="BF"/>
              </w:rPr>
              <w:t>se efectúen.</w:t>
            </w:r>
            <w:r w:rsidRPr="001B0850">
              <w:rPr>
                <w:rFonts w:ascii="Arial Narrow" w:hAnsi="Arial Narrow" w:cs="Arial"/>
                <w:color w:val="404040" w:themeColor="text1" w:themeTint="BF"/>
                <w:sz w:val="20"/>
                <w:szCs w:val="20"/>
              </w:rPr>
              <w:t xml:space="preserve">      </w:t>
            </w:r>
          </w:p>
        </w:tc>
        <w:tc>
          <w:tcPr>
            <w:tcW w:w="2254" w:type="dxa"/>
          </w:tcPr>
          <w:p w14:paraId="1EF7B2DF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F95E603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Estado de Cuenta, Libro auxiliar; Archivo libro de bancos de tesorería.</w:t>
            </w:r>
          </w:p>
          <w:p w14:paraId="54A5C220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27363DEF" w14:textId="77777777" w:rsidR="00A536CF" w:rsidRDefault="00A536CF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2A6BCA9" w14:textId="77777777" w:rsidR="00E83CF7" w:rsidRDefault="00E83CF7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1A087D8" w14:textId="77777777" w:rsidR="00E83CF7" w:rsidRDefault="00E83CF7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6884B40" w14:textId="77777777" w:rsidR="00E83CF7" w:rsidRDefault="00E83CF7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5BBB1AA" w14:textId="77777777" w:rsidR="00E83CF7" w:rsidRDefault="00E83CF7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C9B914F" w14:textId="77777777" w:rsidR="00E83CF7" w:rsidRPr="001B0850" w:rsidRDefault="00E83CF7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5311"/>
        <w:gridCol w:w="2258"/>
      </w:tblGrid>
      <w:tr w:rsidR="001B0850" w:rsidRPr="001B0850" w14:paraId="03C6BD18" w14:textId="77777777" w:rsidTr="00261F40">
        <w:trPr>
          <w:trHeight w:val="933"/>
        </w:trPr>
        <w:tc>
          <w:tcPr>
            <w:tcW w:w="9356" w:type="dxa"/>
            <w:gridSpan w:val="3"/>
          </w:tcPr>
          <w:p w14:paraId="66F2BF48" w14:textId="77777777" w:rsidR="007246B6" w:rsidRPr="001B0850" w:rsidRDefault="007246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9A1159C" w14:textId="679B67F0" w:rsidR="007246B6" w:rsidRPr="001B0850" w:rsidRDefault="007246B6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74018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onciliaciones de</w:t>
            </w:r>
            <w:r w:rsidR="00497BC4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 Anticipos d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e </w:t>
            </w:r>
            <w:r w:rsidR="00497BC4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F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ondos</w:t>
            </w:r>
          </w:p>
        </w:tc>
      </w:tr>
      <w:tr w:rsidR="001B0850" w:rsidRPr="001B0850" w14:paraId="3F4234BE" w14:textId="77777777" w:rsidTr="001D3097">
        <w:trPr>
          <w:trHeight w:val="943"/>
        </w:trPr>
        <w:tc>
          <w:tcPr>
            <w:tcW w:w="0" w:type="auto"/>
          </w:tcPr>
          <w:p w14:paraId="7A50F6C4" w14:textId="77777777" w:rsidR="007246B6" w:rsidRPr="001B0850" w:rsidRDefault="007246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17AE20" w14:textId="77777777" w:rsidR="007246B6" w:rsidRPr="001B0850" w:rsidRDefault="007246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1A7FAAEA" w14:textId="77777777" w:rsidR="007246B6" w:rsidRPr="001B0850" w:rsidRDefault="007246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CC89B5" w14:textId="77777777" w:rsidR="007246B6" w:rsidRPr="001B0850" w:rsidRDefault="007246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77CBAF28" w14:textId="77777777" w:rsidR="007246B6" w:rsidRPr="001B0850" w:rsidRDefault="007246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0B7988" w14:textId="77777777" w:rsidR="007246B6" w:rsidRPr="001B0850" w:rsidRDefault="007246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5A6D600B" w14:textId="77777777" w:rsidTr="009F062D">
        <w:trPr>
          <w:trHeight w:val="1040"/>
        </w:trPr>
        <w:tc>
          <w:tcPr>
            <w:tcW w:w="0" w:type="auto"/>
            <w:tcBorders>
              <w:bottom w:val="single" w:sz="4" w:space="0" w:color="auto"/>
            </w:tcBorders>
          </w:tcPr>
          <w:p w14:paraId="69EE2ACC" w14:textId="77777777" w:rsidR="007246B6" w:rsidRPr="001B0850" w:rsidRDefault="007246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Solicitante</w:t>
            </w:r>
          </w:p>
          <w:p w14:paraId="70ECC2C7" w14:textId="77777777" w:rsidR="007246B6" w:rsidRPr="001B0850" w:rsidRDefault="007246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F930FF" w14:textId="77777777" w:rsidR="007246B6" w:rsidRPr="001B0850" w:rsidRDefault="007246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D98546" w14:textId="77777777" w:rsidR="00772DB7" w:rsidRPr="001B0850" w:rsidRDefault="00772D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A91B7" w14:textId="77777777" w:rsidR="00772DB7" w:rsidRDefault="00772D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0E672D" w14:textId="77777777" w:rsidR="00740185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991CE3" w14:textId="77777777" w:rsidR="00740185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F60DE7" w14:textId="77777777" w:rsidR="00740185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801DCC" w14:textId="0A0414DF" w:rsidR="00740185" w:rsidRPr="001B0850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Unidad de</w:t>
            </w:r>
          </w:p>
          <w:p w14:paraId="3E14F7AA" w14:textId="77777777" w:rsidR="007246B6" w:rsidRPr="001B0850" w:rsidRDefault="007246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Tesorería</w:t>
            </w:r>
          </w:p>
          <w:p w14:paraId="456E1AF6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D1FEB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05BE0D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Tesorería</w:t>
            </w:r>
          </w:p>
          <w:p w14:paraId="5458987E" w14:textId="77777777" w:rsidR="00853995" w:rsidRDefault="0085399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EFC17B" w14:textId="77777777" w:rsidR="00740185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4BAA23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Tesorería</w:t>
            </w:r>
          </w:p>
          <w:p w14:paraId="32CAD77C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B97090" w14:textId="77777777" w:rsidR="00853995" w:rsidRDefault="0085399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006DA" w14:textId="77777777" w:rsidR="008A2BC5" w:rsidRPr="001B0850" w:rsidRDefault="008A2BC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B39810" w14:textId="77777777" w:rsidR="00077A69" w:rsidRPr="001B0850" w:rsidRDefault="00077A69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Tesorería</w:t>
            </w:r>
          </w:p>
          <w:p w14:paraId="0EDD6081" w14:textId="77777777" w:rsidR="00077A69" w:rsidRPr="001B0850" w:rsidRDefault="00077A69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2D5261" w14:textId="77777777" w:rsidR="00740185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CBDB4D" w14:textId="377002EF" w:rsidR="00853995" w:rsidRPr="001B0850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Unidad de</w:t>
            </w:r>
          </w:p>
          <w:p w14:paraId="70A8F9C7" w14:textId="77777777" w:rsidR="00077A69" w:rsidRPr="001B0850" w:rsidRDefault="0085399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="00077A69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</w:t>
            </w:r>
          </w:p>
          <w:p w14:paraId="1D833B36" w14:textId="77777777" w:rsidR="007246B6" w:rsidRPr="001B0850" w:rsidRDefault="007246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D78AB1" w14:textId="4FEF4CF6" w:rsidR="00740185" w:rsidRDefault="007246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anticipos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fondos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deben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ser autorizados por la Dirección Ejecutiva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lo cual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será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necesario la emisión de un memorándum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donde se detalle:</w:t>
            </w:r>
          </w:p>
          <w:p w14:paraId="061E2BBB" w14:textId="2A684CFD" w:rsidR="00740185" w:rsidRPr="007F0CFF" w:rsidRDefault="00740185" w:rsidP="007F0CFF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="007246B6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 concepto del anticipo</w:t>
            </w:r>
          </w:p>
          <w:p w14:paraId="00285262" w14:textId="7E5E54A8" w:rsidR="00740185" w:rsidRPr="007F0CFF" w:rsidRDefault="00740185" w:rsidP="007F0CFF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="007246B6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razón del anticipo</w:t>
            </w:r>
          </w:p>
          <w:p w14:paraId="1997D99C" w14:textId="03E2AD91" w:rsidR="00740185" w:rsidRPr="007F0CFF" w:rsidRDefault="00740185" w:rsidP="007F0CFF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="007246B6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 monto del anticipo</w:t>
            </w:r>
          </w:p>
          <w:p w14:paraId="3FCE25C0" w14:textId="0BF4BC58" w:rsidR="00740185" w:rsidRPr="007F0CFF" w:rsidRDefault="00740185" w:rsidP="007F0CFF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o</w:t>
            </w:r>
            <w:r w:rsidR="007246B6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rigen de los fondos</w:t>
            </w:r>
          </w:p>
          <w:p w14:paraId="1AD62249" w14:textId="77777777" w:rsidR="00740185" w:rsidRPr="007F0CFF" w:rsidRDefault="00740185" w:rsidP="007F0CFF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</w:t>
            </w:r>
            <w:r w:rsidR="007246B6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asignación presupuestaria y</w:t>
            </w:r>
          </w:p>
          <w:p w14:paraId="4E833A18" w14:textId="226CEB9B" w:rsidR="007246B6" w:rsidRPr="007F0CFF" w:rsidRDefault="00740185" w:rsidP="007F0CFF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="007246B6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fecha máxima en la </w:t>
            </w: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que </w:t>
            </w:r>
            <w:r w:rsidR="007246B6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debe ser liquidado o devuelto el anticipo.</w:t>
            </w:r>
          </w:p>
          <w:p w14:paraId="1B587C65" w14:textId="77777777" w:rsidR="007246B6" w:rsidRPr="001B0850" w:rsidRDefault="007246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Recibe la solicitud y verifica que cumpla con: el concepto del anticipo, la razón del anticipo, el monto del anticipo, origen de los fondos y asignación presupuestaria y la fecha máxima en la deberá ser liquidado o devuelto el anticipo.</w:t>
            </w:r>
          </w:p>
          <w:p w14:paraId="2CA8E1B8" w14:textId="20435BF6" w:rsidR="007246B6" w:rsidRPr="001B0850" w:rsidRDefault="00334CB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Solicita el visto bueno del Jefe de la Unidad Financiera y emite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cheque.</w:t>
            </w:r>
          </w:p>
          <w:p w14:paraId="65E81E11" w14:textId="77777777" w:rsidR="00853995" w:rsidRPr="001B0850" w:rsidRDefault="0085399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55EC0B" w14:textId="47974B23" w:rsidR="00740185" w:rsidRDefault="00334CB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Registra el anticipo en el auxiliar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cual debe contener como </w:t>
            </w:r>
            <w:r w:rsidR="001D3097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mínimo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siguiente:</w:t>
            </w:r>
          </w:p>
          <w:p w14:paraId="14D6644B" w14:textId="122A4F8A" w:rsidR="00334CB0" w:rsidRPr="001B0850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</w:t>
            </w:r>
            <w:r w:rsidR="00334CB0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ombre del que recibe, concepto, fondos, fecha de entrega, fecha </w:t>
            </w:r>
            <w:r w:rsidR="001D3097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límite</w:t>
            </w:r>
            <w:r w:rsidR="00334CB0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liquidación.</w:t>
            </w:r>
          </w:p>
          <w:p w14:paraId="7FD25D38" w14:textId="77777777" w:rsidR="00853995" w:rsidRPr="001B0850" w:rsidRDefault="0085399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F3497" w14:textId="7C3A2218" w:rsidR="00077A69" w:rsidRPr="001B0850" w:rsidRDefault="00077A69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31 de diciembre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ese año,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Unidad de T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esorería deberá entregar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auxiliar de los anticipos de fondos  pendientes de liquidar a la Unidad de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ontabilidad.</w:t>
            </w:r>
          </w:p>
          <w:p w14:paraId="2DA15973" w14:textId="14A1547B" w:rsidR="00077A69" w:rsidRPr="001B0850" w:rsidRDefault="00077A69" w:rsidP="00740185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Conciliará los valores según el auxiliar  de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esorería y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saldos según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ara aquellos anticipos no liquidados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debe efectuar el</w:t>
            </w:r>
            <w:r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devengado del compromiso de dichos anticipos y será clasificado como provisión contable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21F16D64" w14:textId="77777777" w:rsidR="007246B6" w:rsidRPr="001B0850" w:rsidRDefault="007246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Memorándum, asignación Presupuestaria</w:t>
            </w:r>
          </w:p>
          <w:p w14:paraId="45FE5C49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A2736E2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D715830" w14:textId="77777777" w:rsidR="00772DB7" w:rsidRPr="001B0850" w:rsidRDefault="00772D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10C57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Memorándum, asignación Presupuestaria</w:t>
            </w:r>
          </w:p>
          <w:p w14:paraId="20535CD2" w14:textId="77777777" w:rsidR="001D3097" w:rsidRDefault="001D309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91C9764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Memorándum, asignación Presupuestaria y cheque.</w:t>
            </w:r>
          </w:p>
          <w:p w14:paraId="18E8AC86" w14:textId="77777777" w:rsidR="008A2BC5" w:rsidRDefault="008A2BC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2F5850" w14:textId="77777777" w:rsidR="00334CB0" w:rsidRPr="001B0850" w:rsidRDefault="00334CB0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Auxiliar.</w:t>
            </w:r>
          </w:p>
          <w:p w14:paraId="005BC16B" w14:textId="77777777" w:rsidR="00077A69" w:rsidRPr="001B0850" w:rsidRDefault="00077A69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B17DCDE" w14:textId="77777777" w:rsidR="00853995" w:rsidRPr="001B0850" w:rsidRDefault="0085399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D8116ED" w14:textId="77777777" w:rsidR="00853995" w:rsidRPr="001B0850" w:rsidRDefault="0085399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C596801" w14:textId="77777777" w:rsidR="00077A69" w:rsidRPr="001B0850" w:rsidRDefault="00077A69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</w:t>
            </w:r>
          </w:p>
          <w:p w14:paraId="2CF7A30A" w14:textId="77777777" w:rsidR="00077A69" w:rsidRPr="001B0850" w:rsidRDefault="00077A69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33684B6" w14:textId="77777777" w:rsidR="00077A69" w:rsidRPr="001B0850" w:rsidRDefault="00077A69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D8DF7EF" w14:textId="77777777" w:rsidR="00077A69" w:rsidRPr="001B0850" w:rsidRDefault="00077A69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 de tesorería y libros de contabilidad</w:t>
            </w:r>
          </w:p>
        </w:tc>
      </w:tr>
      <w:tr w:rsidR="00E83CF7" w:rsidRPr="001B0850" w14:paraId="0FE31A98" w14:textId="77777777" w:rsidTr="009F062D">
        <w:trPr>
          <w:trHeight w:val="933"/>
        </w:trPr>
        <w:tc>
          <w:tcPr>
            <w:tcW w:w="9356" w:type="dxa"/>
            <w:gridSpan w:val="3"/>
            <w:tcBorders>
              <w:left w:val="nil"/>
              <w:right w:val="nil"/>
            </w:tcBorders>
          </w:tcPr>
          <w:p w14:paraId="1DCB009C" w14:textId="77777777" w:rsidR="00E83CF7" w:rsidRDefault="00E83CF7" w:rsidP="001B0850">
            <w:pPr>
              <w:spacing w:line="36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  <w:tr w:rsidR="001B0850" w:rsidRPr="001B0850" w14:paraId="78E53146" w14:textId="77777777" w:rsidTr="00261F40">
        <w:trPr>
          <w:trHeight w:val="933"/>
        </w:trPr>
        <w:tc>
          <w:tcPr>
            <w:tcW w:w="9356" w:type="dxa"/>
            <w:gridSpan w:val="3"/>
          </w:tcPr>
          <w:p w14:paraId="5D7F88B6" w14:textId="77777777" w:rsidR="008A2BC5" w:rsidRDefault="008A2BC5" w:rsidP="001B0850">
            <w:pPr>
              <w:spacing w:line="36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AC9BE4" w14:textId="0C32A497" w:rsidR="001D3097" w:rsidRPr="001B0850" w:rsidRDefault="001D3097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74018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onciliaciones de </w:t>
            </w:r>
            <w:r w:rsidR="00497BC4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727046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eudores </w:t>
            </w:r>
            <w:r w:rsidR="00497BC4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="00727046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onetarios</w:t>
            </w:r>
          </w:p>
        </w:tc>
      </w:tr>
      <w:tr w:rsidR="001B0850" w:rsidRPr="001B0850" w14:paraId="7127B01D" w14:textId="77777777" w:rsidTr="00261F40">
        <w:trPr>
          <w:trHeight w:val="943"/>
        </w:trPr>
        <w:tc>
          <w:tcPr>
            <w:tcW w:w="0" w:type="auto"/>
          </w:tcPr>
          <w:p w14:paraId="0BA03429" w14:textId="77777777" w:rsidR="001D3097" w:rsidRPr="001B0850" w:rsidRDefault="001D30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FDACF0" w14:textId="77777777" w:rsidR="001D3097" w:rsidRPr="001B0850" w:rsidRDefault="001D30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6DE034D2" w14:textId="77777777" w:rsidR="001D3097" w:rsidRPr="001B0850" w:rsidRDefault="001D30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5760FD" w14:textId="77777777" w:rsidR="001D3097" w:rsidRPr="001B0850" w:rsidRDefault="001D30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2C3097C3" w14:textId="77777777" w:rsidR="001D3097" w:rsidRPr="001B0850" w:rsidRDefault="001D30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3AE31D" w14:textId="77777777" w:rsidR="001D3097" w:rsidRPr="001B0850" w:rsidRDefault="001D30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368D7226" w14:textId="77777777" w:rsidTr="00261F40">
        <w:trPr>
          <w:trHeight w:val="1040"/>
        </w:trPr>
        <w:tc>
          <w:tcPr>
            <w:tcW w:w="0" w:type="auto"/>
          </w:tcPr>
          <w:p w14:paraId="1A9C4DE9" w14:textId="0B853F7F" w:rsidR="00727046" w:rsidRPr="001B0850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72704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</w:t>
            </w:r>
          </w:p>
          <w:p w14:paraId="7965A368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66ED6F" w14:textId="57183797" w:rsidR="00D655D7" w:rsidRPr="001B0850" w:rsidRDefault="00D655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AF8834" w14:textId="77777777" w:rsidR="00727046" w:rsidRPr="001B0850" w:rsidRDefault="007E1CB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</w:t>
            </w:r>
          </w:p>
          <w:p w14:paraId="1308F44E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9911DC4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72DB5AB" w14:textId="77777777" w:rsidR="00740185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2FC258" w14:textId="0DE0E749" w:rsidR="007E1CB5" w:rsidRPr="001B0850" w:rsidRDefault="0074018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Unidad de C</w:t>
            </w:r>
            <w:r w:rsidR="007E1CB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</w:t>
            </w:r>
          </w:p>
          <w:p w14:paraId="563F7126" w14:textId="77777777" w:rsidR="001D3097" w:rsidRPr="001B0850" w:rsidRDefault="001D309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14:paraId="5AE4AE12" w14:textId="42C067ED" w:rsidR="00727046" w:rsidRPr="001B0850" w:rsidRDefault="0072704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Llevará un auxiliar de cuentas por cobrar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que </w:t>
            </w:r>
            <w:r w:rsidR="00DF7BE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será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respaldo de los saldos de los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eudores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onetarios</w:t>
            </w:r>
            <w:r w:rsidR="007E1CB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7E1CB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eudores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</w:t>
            </w:r>
            <w:r w:rsidR="007E1CB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inancieros.</w:t>
            </w:r>
          </w:p>
          <w:p w14:paraId="11F6DEA1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6C78427" w14:textId="46276E7F" w:rsidR="007E1CB5" w:rsidRPr="001B0850" w:rsidRDefault="0072704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término de cada mes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nidad de </w:t>
            </w:r>
            <w:r w:rsidR="007E1CB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Tesorería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7E1CB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entregará a la Unidad de Contabilidad el registro auxiliar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 los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eudores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onetarios</w:t>
            </w:r>
            <w:r w:rsidR="007E1CB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forma física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(papel) </w:t>
            </w:r>
            <w:r w:rsidR="007E1CB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digital.</w:t>
            </w:r>
          </w:p>
          <w:p w14:paraId="6F25B8D0" w14:textId="77777777" w:rsidR="001D3097" w:rsidRPr="001B0850" w:rsidRDefault="0072704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152FEBF1" w14:textId="4AC36FDD" w:rsidR="007E1CB5" w:rsidRPr="001B0850" w:rsidRDefault="007E1CB5" w:rsidP="00740185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nidad de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 conciliar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saldo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los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eudores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onetarios y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eudores </w:t>
            </w:r>
            <w:r w:rsidR="00740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inancieros con el auxiliar proporcionado por Tesorería.</w:t>
            </w:r>
          </w:p>
        </w:tc>
        <w:tc>
          <w:tcPr>
            <w:tcW w:w="2258" w:type="dxa"/>
          </w:tcPr>
          <w:p w14:paraId="6A7B3113" w14:textId="77777777" w:rsidR="001D3097" w:rsidRPr="001B0850" w:rsidRDefault="007E1CB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</w:t>
            </w:r>
          </w:p>
          <w:p w14:paraId="13168C68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1537D6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0C0693" w14:textId="77777777" w:rsidR="00D655D7" w:rsidRPr="001B0850" w:rsidRDefault="00D655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51C95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</w:t>
            </w:r>
          </w:p>
          <w:p w14:paraId="4A06382D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BA5EB17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738BBE7" w14:textId="77777777" w:rsidR="007E1CB5" w:rsidRPr="001B0850" w:rsidRDefault="007E1CB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 y libros contables</w:t>
            </w:r>
          </w:p>
        </w:tc>
      </w:tr>
    </w:tbl>
    <w:p w14:paraId="6B60DE7D" w14:textId="77777777" w:rsidR="001D3097" w:rsidRPr="001B0850" w:rsidRDefault="001D3097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4"/>
        <w:gridCol w:w="5234"/>
        <w:gridCol w:w="2258"/>
      </w:tblGrid>
      <w:tr w:rsidR="001B0850" w:rsidRPr="001B0850" w14:paraId="66E0011D" w14:textId="77777777" w:rsidTr="00772DB7">
        <w:trPr>
          <w:trHeight w:val="933"/>
        </w:trPr>
        <w:tc>
          <w:tcPr>
            <w:tcW w:w="9356" w:type="dxa"/>
            <w:gridSpan w:val="3"/>
          </w:tcPr>
          <w:p w14:paraId="7E445492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E6D6C49" w14:textId="46A75910" w:rsidR="00DF7BE2" w:rsidRPr="001B0850" w:rsidRDefault="00DF7BE2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257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onciliaciones de Inversiones Financieras</w:t>
            </w:r>
          </w:p>
        </w:tc>
      </w:tr>
      <w:tr w:rsidR="001B0850" w:rsidRPr="001B0850" w14:paraId="4FFDCE56" w14:textId="77777777" w:rsidTr="00772DB7">
        <w:trPr>
          <w:trHeight w:val="943"/>
        </w:trPr>
        <w:tc>
          <w:tcPr>
            <w:tcW w:w="0" w:type="auto"/>
          </w:tcPr>
          <w:p w14:paraId="3A979226" w14:textId="77777777" w:rsidR="00DF7BE2" w:rsidRPr="001B0850" w:rsidRDefault="00DF7BE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CE82C3" w14:textId="77777777" w:rsidR="00DF7BE2" w:rsidRPr="001B0850" w:rsidRDefault="00DF7BE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047B4D35" w14:textId="77777777" w:rsidR="00DF7BE2" w:rsidRPr="001B0850" w:rsidRDefault="00DF7BE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4D9FFB" w14:textId="77777777" w:rsidR="00DF7BE2" w:rsidRPr="001B0850" w:rsidRDefault="00DF7BE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01FF1CBB" w14:textId="77777777" w:rsidR="00DF7BE2" w:rsidRPr="001B0850" w:rsidRDefault="00DF7BE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FDDC6B" w14:textId="77777777" w:rsidR="00DF7BE2" w:rsidRPr="001B0850" w:rsidRDefault="00DF7BE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3702FC50" w14:textId="77777777" w:rsidTr="00772DB7">
        <w:trPr>
          <w:trHeight w:val="1040"/>
        </w:trPr>
        <w:tc>
          <w:tcPr>
            <w:tcW w:w="0" w:type="auto"/>
          </w:tcPr>
          <w:p w14:paraId="56E1A570" w14:textId="321D0365" w:rsidR="00DF7BE2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DF7BE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</w:t>
            </w:r>
          </w:p>
          <w:p w14:paraId="29949E9E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95E093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D544B1" w14:textId="77777777" w:rsidR="00D655D7" w:rsidRPr="001B0850" w:rsidRDefault="00D655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B8F340" w14:textId="77777777" w:rsidR="00D655D7" w:rsidRPr="001B0850" w:rsidRDefault="00D655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B2D5" w14:textId="77777777" w:rsidR="00257737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F54FC0" w14:textId="77777777" w:rsidR="00257737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589387" w14:textId="6CE45CE5" w:rsidR="00D655D7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Unidad de</w:t>
            </w:r>
          </w:p>
          <w:p w14:paraId="60205B23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</w:t>
            </w:r>
          </w:p>
          <w:p w14:paraId="5455374A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6E919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C7DDF0" w14:textId="77777777" w:rsidR="00257737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994E68" w14:textId="1D10843F" w:rsidR="00DF7BE2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Unidad de C</w:t>
            </w:r>
            <w:r w:rsidR="00DF7BE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</w:t>
            </w:r>
          </w:p>
          <w:p w14:paraId="7961BBF4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14:paraId="2D29644E" w14:textId="1DAE18AA" w:rsidR="00257737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Llevará un auxiliar de las inversiones financieras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 cual deberá contener como mínimo:</w:t>
            </w:r>
          </w:p>
          <w:p w14:paraId="37562A70" w14:textId="77777777" w:rsidR="00257737" w:rsidRPr="007F0CFF" w:rsidRDefault="00257737" w:rsidP="007F0CFF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</w:t>
            </w:r>
            <w:r w:rsidR="00DF7BE2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razón social de la institución financiera</w:t>
            </w:r>
          </w:p>
          <w:p w14:paraId="6AA3622E" w14:textId="3AF4F8F1" w:rsidR="00257737" w:rsidRPr="007F0CFF" w:rsidRDefault="00257737" w:rsidP="007F0CFF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</w:t>
            </w:r>
            <w:r w:rsidR="00DF7BE2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fecha de apertura</w:t>
            </w:r>
          </w:p>
          <w:p w14:paraId="68384221" w14:textId="6B749E3A" w:rsidR="00257737" w:rsidRPr="007F0CFF" w:rsidRDefault="00257737" w:rsidP="007F0CFF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</w:t>
            </w:r>
            <w:r w:rsidR="00DF7BE2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</w:t>
            </w: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ú</w:t>
            </w:r>
            <w:r w:rsidR="00DF7BE2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mero de inversión</w:t>
            </w:r>
          </w:p>
          <w:p w14:paraId="446C9BA5" w14:textId="73E6FB19" w:rsidR="00257737" w:rsidRPr="007F0CFF" w:rsidRDefault="00257737" w:rsidP="007F0CFF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</w:t>
            </w:r>
            <w:r w:rsidR="00DF7BE2"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plazo, monto, tasa de interés y fecha de vencimiento</w:t>
            </w:r>
          </w:p>
          <w:p w14:paraId="3574671E" w14:textId="7F3BDACD" w:rsidR="00DF7BE2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DF7BE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icho auxiliar será el respaldo de los saldos de las Inversiones financieras a nivel contable.</w:t>
            </w:r>
          </w:p>
          <w:p w14:paraId="4DA4BDE4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415C56B" w14:textId="5067CE5C" w:rsidR="00DF7BE2" w:rsidRPr="001B0850" w:rsidRDefault="00CC4FDB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Al término de cada mes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U</w:t>
            </w:r>
            <w:r w:rsidR="00DF7BE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nidad de Tesorería entregará a la Unidad de Contabilidad el registro auxiliar de las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="00DF7BE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nversiones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</w:t>
            </w:r>
            <w:r w:rsidR="00DF7BE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inancieras de forma física o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digital</w:t>
            </w:r>
            <w:r w:rsidR="00DF7BE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24381CD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42D7467A" w14:textId="2B845E7C" w:rsidR="00DF7BE2" w:rsidRPr="001B0850" w:rsidRDefault="00DF7BE2" w:rsidP="00257737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nidad de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 conciliar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saldos de las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nversiones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inancieras con el auxiliar proporcionado por Tesorería.</w:t>
            </w:r>
          </w:p>
        </w:tc>
        <w:tc>
          <w:tcPr>
            <w:tcW w:w="2258" w:type="dxa"/>
          </w:tcPr>
          <w:p w14:paraId="57B78837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Auxiliar</w:t>
            </w:r>
          </w:p>
          <w:p w14:paraId="36F19447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D229A7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94DEE8" w14:textId="77777777" w:rsidR="00D655D7" w:rsidRPr="001B0850" w:rsidRDefault="00D655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85235" w14:textId="77777777" w:rsidR="00D655D7" w:rsidRPr="001B0850" w:rsidRDefault="00D655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B6929F" w14:textId="77777777" w:rsidR="008A2BC5" w:rsidRDefault="008A2BC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23AFA8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</w:t>
            </w:r>
          </w:p>
          <w:p w14:paraId="4916AE53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2A8E62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A4EC1E" w14:textId="77777777" w:rsidR="00DF7BE2" w:rsidRPr="001B0850" w:rsidRDefault="00DF7BE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 y libros contables</w:t>
            </w:r>
          </w:p>
        </w:tc>
      </w:tr>
    </w:tbl>
    <w:p w14:paraId="0896527F" w14:textId="77777777" w:rsidR="00DF7BE2" w:rsidRPr="001B0850" w:rsidRDefault="00DF7BE2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5331"/>
        <w:gridCol w:w="2258"/>
      </w:tblGrid>
      <w:tr w:rsidR="001B0850" w:rsidRPr="001B0850" w14:paraId="047E05B6" w14:textId="77777777" w:rsidTr="00261F40">
        <w:trPr>
          <w:trHeight w:val="933"/>
        </w:trPr>
        <w:tc>
          <w:tcPr>
            <w:tcW w:w="9356" w:type="dxa"/>
            <w:gridSpan w:val="3"/>
          </w:tcPr>
          <w:p w14:paraId="09E785EA" w14:textId="77777777" w:rsidR="00045DB6" w:rsidRPr="001B0850" w:rsidRDefault="00045D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092931" w14:textId="10298F7F" w:rsidR="00045DB6" w:rsidRPr="001B0850" w:rsidRDefault="00045DB6" w:rsidP="007F0CFF">
            <w:pPr>
              <w:spacing w:line="360" w:lineRule="auto"/>
              <w:jc w:val="center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257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onciliaciones de </w:t>
            </w:r>
            <w:r w:rsidR="007C0692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Inversiones Intangibles</w:t>
            </w:r>
          </w:p>
        </w:tc>
      </w:tr>
      <w:tr w:rsidR="001B0850" w:rsidRPr="001B0850" w14:paraId="7A0ED39A" w14:textId="77777777" w:rsidTr="00261F40">
        <w:trPr>
          <w:trHeight w:val="943"/>
        </w:trPr>
        <w:tc>
          <w:tcPr>
            <w:tcW w:w="0" w:type="auto"/>
          </w:tcPr>
          <w:p w14:paraId="71ADC07A" w14:textId="77777777" w:rsidR="00045DB6" w:rsidRPr="001B0850" w:rsidRDefault="00045D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BDEC5A" w14:textId="77777777" w:rsidR="00045DB6" w:rsidRPr="001B0850" w:rsidRDefault="00045D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5E20FF0D" w14:textId="77777777" w:rsidR="00045DB6" w:rsidRPr="001B0850" w:rsidRDefault="00045D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E58511" w14:textId="77777777" w:rsidR="00045DB6" w:rsidRPr="001B0850" w:rsidRDefault="00045D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2A2EB3DF" w14:textId="77777777" w:rsidR="00045DB6" w:rsidRPr="001B0850" w:rsidRDefault="00045D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B72B8E" w14:textId="77777777" w:rsidR="00045DB6" w:rsidRPr="001B0850" w:rsidRDefault="00045D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608B5BA8" w14:textId="77777777" w:rsidTr="00261F40">
        <w:trPr>
          <w:trHeight w:val="1040"/>
        </w:trPr>
        <w:tc>
          <w:tcPr>
            <w:tcW w:w="0" w:type="auto"/>
          </w:tcPr>
          <w:p w14:paraId="25D8C62A" w14:textId="55904566" w:rsidR="00045DB6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7C069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  <w:p w14:paraId="0836FF9F" w14:textId="77777777" w:rsidR="007C0692" w:rsidRPr="001B0850" w:rsidRDefault="007C069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0F91961" w14:textId="77777777" w:rsidR="00466B12" w:rsidRPr="001B0850" w:rsidRDefault="00466B1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F4F74EF" w14:textId="77777777" w:rsidR="00D655D7" w:rsidRPr="001B0850" w:rsidRDefault="00D655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45AE5F" w14:textId="77777777" w:rsidR="00D655D7" w:rsidRPr="001B0850" w:rsidRDefault="00D655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3F392C" w14:textId="77777777" w:rsidR="00D655D7" w:rsidRDefault="00D655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C606C9" w14:textId="57FF2BCD" w:rsidR="00257737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Unidad de</w:t>
            </w:r>
          </w:p>
          <w:p w14:paraId="0FA20D88" w14:textId="0D65421D" w:rsidR="00466B12" w:rsidRPr="001B0850" w:rsidRDefault="00466B1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</w:tc>
        <w:tc>
          <w:tcPr>
            <w:tcW w:w="0" w:type="auto"/>
          </w:tcPr>
          <w:p w14:paraId="7D227BB5" w14:textId="4981A35F" w:rsidR="00045DB6" w:rsidRPr="001B0850" w:rsidRDefault="00CC4FDB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La Unidad de </w:t>
            </w:r>
            <w:r w:rsidR="007C069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</w:t>
            </w:r>
            <w:r w:rsidR="00C9423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 </w:t>
            </w:r>
            <w:r w:rsidR="007C069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llevar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="007C069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 registro auxiliar</w:t>
            </w:r>
            <w:r w:rsidR="00C9423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los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9423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erechos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="00C9423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ntangibles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="00C9423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cual deberá contener como mínimo lo siguiente: </w:t>
            </w:r>
            <w:r w:rsidR="005411BE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descripción, </w:t>
            </w:r>
            <w:r w:rsidR="00C9423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fecha de adquisición, fecha de vencimiento si </w:t>
            </w:r>
            <w:r w:rsidR="00C9423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aplica, costo de adquisición, amortización anual, amortización acumulada</w:t>
            </w:r>
            <w:r w:rsidR="00466B1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="00C9423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466B1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valor en libros</w:t>
            </w:r>
            <w:r w:rsidR="00466B12"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>.</w:t>
            </w:r>
          </w:p>
          <w:p w14:paraId="2EF0D447" w14:textId="28F3F74B" w:rsidR="00466B12" w:rsidRPr="001B0850" w:rsidRDefault="00466B12" w:rsidP="00257737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31 de diciembre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Unidad de Contabilidad actualizará el auxiliar de las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nversiones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ntangibles y lo conciliará con los saldos contables  </w:t>
            </w:r>
          </w:p>
        </w:tc>
        <w:tc>
          <w:tcPr>
            <w:tcW w:w="2258" w:type="dxa"/>
          </w:tcPr>
          <w:p w14:paraId="680C75A4" w14:textId="77777777" w:rsidR="00045DB6" w:rsidRPr="001B0850" w:rsidRDefault="00466B1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Auxiliar</w:t>
            </w:r>
          </w:p>
          <w:p w14:paraId="410A0A37" w14:textId="77777777" w:rsidR="00466B12" w:rsidRPr="001B0850" w:rsidRDefault="00466B1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936C090" w14:textId="77777777" w:rsidR="00466B12" w:rsidRPr="001B0850" w:rsidRDefault="00466B1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4863353" w14:textId="77777777" w:rsidR="00466B12" w:rsidRPr="001B0850" w:rsidRDefault="00466B1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B6BB6EB" w14:textId="77777777" w:rsidR="00D655D7" w:rsidRPr="001B0850" w:rsidRDefault="00D655D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E551EF3" w14:textId="77777777" w:rsidR="00D655D7" w:rsidRPr="001B0850" w:rsidRDefault="00D655D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291385B" w14:textId="77777777" w:rsidR="00466B12" w:rsidRPr="001B0850" w:rsidRDefault="00466B1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</w:t>
            </w:r>
          </w:p>
          <w:p w14:paraId="182BBA00" w14:textId="77777777" w:rsidR="00466B12" w:rsidRPr="001B0850" w:rsidRDefault="00466B1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5D481BB7" w14:textId="77777777" w:rsidR="007246B6" w:rsidRPr="001B0850" w:rsidRDefault="007246B6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1"/>
        <w:gridCol w:w="5097"/>
        <w:gridCol w:w="2258"/>
      </w:tblGrid>
      <w:tr w:rsidR="001B0850" w:rsidRPr="001B0850" w14:paraId="75B950C5" w14:textId="77777777" w:rsidTr="003527F2">
        <w:trPr>
          <w:trHeight w:val="933"/>
        </w:trPr>
        <w:tc>
          <w:tcPr>
            <w:tcW w:w="9356" w:type="dxa"/>
            <w:gridSpan w:val="3"/>
          </w:tcPr>
          <w:p w14:paraId="325C1399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689F70" w14:textId="3262CE91" w:rsidR="003527F2" w:rsidRPr="001B0850" w:rsidRDefault="003527F2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257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onciliaciones de </w:t>
            </w:r>
            <w:r w:rsidR="00B67897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xistencias</w:t>
            </w:r>
            <w:r w:rsidR="00B67897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 Institucionales</w:t>
            </w:r>
          </w:p>
        </w:tc>
      </w:tr>
      <w:tr w:rsidR="00257737" w:rsidRPr="001B0850" w14:paraId="19B0BBBB" w14:textId="77777777" w:rsidTr="003527F2">
        <w:trPr>
          <w:trHeight w:val="1046"/>
        </w:trPr>
        <w:tc>
          <w:tcPr>
            <w:tcW w:w="0" w:type="auto"/>
          </w:tcPr>
          <w:p w14:paraId="615C8189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25B3B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6AD2C6F0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26E398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75F6022D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BE6EE2" w14:textId="77777777" w:rsidR="003527F2" w:rsidRPr="001B0850" w:rsidRDefault="003527F2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257737" w:rsidRPr="001B0850" w14:paraId="6CB06A05" w14:textId="77777777" w:rsidTr="003527F2">
        <w:trPr>
          <w:trHeight w:val="1040"/>
        </w:trPr>
        <w:tc>
          <w:tcPr>
            <w:tcW w:w="0" w:type="auto"/>
          </w:tcPr>
          <w:p w14:paraId="2C1EB081" w14:textId="45215659" w:rsidR="003527F2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3527F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Proveeduría</w:t>
            </w:r>
          </w:p>
          <w:p w14:paraId="306607DA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47F882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15638D" w14:textId="77777777" w:rsidR="003527F2" w:rsidRPr="001B0850" w:rsidRDefault="003F1D9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Proveeduría</w:t>
            </w:r>
          </w:p>
          <w:p w14:paraId="6098E745" w14:textId="77777777" w:rsidR="00DC4633" w:rsidRPr="001B0850" w:rsidRDefault="00DC4633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ED341B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F4DB2D" w14:textId="6ABFEB20" w:rsidR="00BC61DA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3527F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Contabilidad </w:t>
            </w:r>
          </w:p>
          <w:p w14:paraId="1E8958B7" w14:textId="77777777" w:rsidR="00BC61DA" w:rsidRPr="001B0850" w:rsidRDefault="00BC61DA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1D38A1" w14:textId="77777777" w:rsidR="00195AB7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A122B49" w14:textId="714D3AC3" w:rsidR="008A2BC5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Unidad de</w:t>
            </w:r>
          </w:p>
          <w:p w14:paraId="26139591" w14:textId="77777777" w:rsidR="003527F2" w:rsidRPr="001B0850" w:rsidRDefault="00DC4633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  <w:p w14:paraId="585DB3DD" w14:textId="77777777" w:rsidR="00DC4633" w:rsidRPr="001B0850" w:rsidRDefault="00DC4633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0E02B8" w14:textId="3DB1A133" w:rsidR="003527F2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Unidades de </w:t>
            </w:r>
            <w:r w:rsidR="00BC61DA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="003527F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</w:t>
            </w:r>
            <w:r w:rsidR="00BC61DA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Proveeduría</w:t>
            </w:r>
          </w:p>
          <w:p w14:paraId="398B197F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5DF002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36CD5285" w14:textId="48024D49" w:rsidR="003F1D95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La Unidad de </w:t>
            </w:r>
            <w:r w:rsidR="003F1D9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Proveeduría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="003F1D9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dependiente de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Unidad de A</w:t>
            </w:r>
            <w:r w:rsidR="003F1D9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dministración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="003F1D9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llevará un control electrónico de las entradas y salidas del almacén Institucional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DE39154" w14:textId="1B5BCC81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Proveeduría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C4633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 final de cada mes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</w:t>
            </w:r>
            <w:r w:rsidR="00DC4633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“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corte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”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 imprim</w:t>
            </w:r>
            <w:r w:rsidR="00DC4633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irá los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informes de las ex</w:t>
            </w:r>
            <w:r w:rsidR="00DC4633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istencias institucionales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y</w:t>
            </w:r>
            <w:r w:rsidR="00DC4633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enviará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Unidad de 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 por las salidas mensuales</w:t>
            </w:r>
            <w:r w:rsidR="00DC4633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="00DC4633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almacén </w:t>
            </w:r>
          </w:p>
          <w:p w14:paraId="1E4B3BA1" w14:textId="5D364EF1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 el registro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salidas mensuales de las existencias en el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istema de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ontabilidad con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T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ipo de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ovimiento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“D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os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”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473B498F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81C405" w14:textId="77777777" w:rsidR="00DC4633" w:rsidRPr="001B0850" w:rsidRDefault="00DC4633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Conciliará los registros auxiliares proporcionados por Proveeduría con los saldos contables</w:t>
            </w:r>
          </w:p>
          <w:p w14:paraId="3549E230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E771444" w14:textId="480D0FF2" w:rsidR="003527F2" w:rsidRPr="001B0850" w:rsidRDefault="00DC4633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</w:t>
            </w:r>
            <w:r w:rsidR="003527F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31 de diciembre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3527F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rá el recuento físico de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existencias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presencia del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="00BC61DA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esponsable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Proveeduría, se levantar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 una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acta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que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será </w:t>
            </w:r>
            <w:r w:rsidR="003527F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firma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ambas partes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;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="003527F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si 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hubiere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diferencia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procederá de conformidad a la normativa legal vigente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95163D2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2258" w:type="dxa"/>
          </w:tcPr>
          <w:p w14:paraId="726F5783" w14:textId="05B5010D" w:rsidR="003527F2" w:rsidRPr="001B0850" w:rsidRDefault="003527F2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Facturas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="005411BE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655D7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Acta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="00D655D7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donación</w:t>
            </w:r>
            <w:r w:rsidR="00257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etc.</w:t>
            </w:r>
          </w:p>
          <w:p w14:paraId="347D2FD5" w14:textId="77777777" w:rsidR="003527F2" w:rsidRPr="001B0850" w:rsidRDefault="003527F2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1A0BFF1" w14:textId="77777777" w:rsidR="00BC61DA" w:rsidRPr="001B0850" w:rsidRDefault="005411BE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Informe de existencia </w:t>
            </w:r>
          </w:p>
          <w:p w14:paraId="4EF057EB" w14:textId="77777777" w:rsidR="00BC61DA" w:rsidRPr="001B0850" w:rsidRDefault="00BC61DA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569A444" w14:textId="77777777" w:rsidR="00BC61DA" w:rsidRPr="001B0850" w:rsidRDefault="00BC61DA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0CFB2FF" w14:textId="77777777" w:rsidR="00BC61DA" w:rsidRPr="001B0850" w:rsidRDefault="00BC61DA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Informe de existencias e inventario físico.</w:t>
            </w:r>
          </w:p>
          <w:p w14:paraId="6B12C8DC" w14:textId="77777777" w:rsidR="00CC4FDB" w:rsidRPr="001B0850" w:rsidRDefault="00CC4FDB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D451DC" w14:textId="77777777" w:rsidR="00257737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B0933C" w14:textId="77777777" w:rsidR="00CC4FDB" w:rsidRPr="001B0850" w:rsidRDefault="00CC4FDB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Reporte de Proveeduría</w:t>
            </w:r>
          </w:p>
          <w:p w14:paraId="730D539D" w14:textId="77777777" w:rsidR="00CC4FDB" w:rsidRPr="001B0850" w:rsidRDefault="00CC4FDB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4DA0AC" w14:textId="77777777" w:rsidR="00CC4FDB" w:rsidRPr="001B0850" w:rsidRDefault="00CC4FDB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19E363" w14:textId="77777777" w:rsidR="00CC4FDB" w:rsidRPr="001B0850" w:rsidRDefault="00CC4FDB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Inventario Físico</w:t>
            </w:r>
          </w:p>
          <w:p w14:paraId="4E35454D" w14:textId="77777777" w:rsidR="00CC4FDB" w:rsidRPr="001B0850" w:rsidRDefault="00CC4FDB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6E033DB" w14:textId="77777777" w:rsidR="005411BE" w:rsidRPr="001B0850" w:rsidRDefault="005411BE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5130"/>
        <w:gridCol w:w="2258"/>
      </w:tblGrid>
      <w:tr w:rsidR="001B0850" w:rsidRPr="001B0850" w14:paraId="7F770B27" w14:textId="77777777" w:rsidTr="00772DB7">
        <w:trPr>
          <w:trHeight w:val="933"/>
        </w:trPr>
        <w:tc>
          <w:tcPr>
            <w:tcW w:w="9356" w:type="dxa"/>
            <w:gridSpan w:val="3"/>
          </w:tcPr>
          <w:p w14:paraId="22324415" w14:textId="77777777" w:rsidR="005411BE" w:rsidRPr="001B0850" w:rsidRDefault="005411BE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D6AA634" w14:textId="04017249" w:rsidR="005411BE" w:rsidRPr="001B0850" w:rsidRDefault="005411BE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257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onciliaciones de Bienes de Larga Duración</w:t>
            </w:r>
          </w:p>
        </w:tc>
      </w:tr>
      <w:tr w:rsidR="003A4737" w:rsidRPr="001B0850" w14:paraId="2D8B03D1" w14:textId="77777777" w:rsidTr="00772DB7">
        <w:trPr>
          <w:trHeight w:val="943"/>
        </w:trPr>
        <w:tc>
          <w:tcPr>
            <w:tcW w:w="0" w:type="auto"/>
          </w:tcPr>
          <w:p w14:paraId="14F3D786" w14:textId="77777777" w:rsidR="005411BE" w:rsidRPr="001B0850" w:rsidRDefault="005411BE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9FE8FF" w14:textId="77777777" w:rsidR="005411BE" w:rsidRPr="001B0850" w:rsidRDefault="005411BE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36BA7D1E" w14:textId="77777777" w:rsidR="005411BE" w:rsidRPr="001B0850" w:rsidRDefault="005411BE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EB2C1" w14:textId="77777777" w:rsidR="005411BE" w:rsidRPr="001B0850" w:rsidRDefault="005411BE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6AFC5B32" w14:textId="77777777" w:rsidR="005411BE" w:rsidRPr="001B0850" w:rsidRDefault="005411BE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437922" w14:textId="77777777" w:rsidR="005411BE" w:rsidRPr="001B0850" w:rsidRDefault="005411BE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3A4737" w:rsidRPr="001B0850" w14:paraId="0C79F3B1" w14:textId="77777777" w:rsidTr="00772DB7">
        <w:trPr>
          <w:trHeight w:val="1040"/>
        </w:trPr>
        <w:tc>
          <w:tcPr>
            <w:tcW w:w="0" w:type="auto"/>
          </w:tcPr>
          <w:p w14:paraId="491E2325" w14:textId="468A12F1" w:rsidR="005411BE" w:rsidRPr="001B0850" w:rsidRDefault="00257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Jefe de la Unidad de </w:t>
            </w:r>
            <w:r w:rsidR="008A2B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="005411BE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dministra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ción</w:t>
            </w:r>
          </w:p>
          <w:p w14:paraId="24372174" w14:textId="77777777" w:rsidR="005411BE" w:rsidRPr="001B0850" w:rsidRDefault="005411BE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20B1EE7" w14:textId="77777777" w:rsidR="005411BE" w:rsidRPr="001B0850" w:rsidRDefault="005411BE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FAD73DD" w14:textId="77777777" w:rsidR="005411BE" w:rsidRPr="001B0850" w:rsidRDefault="005411BE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C42A726" w14:textId="77777777" w:rsidR="00DB5D9C" w:rsidRPr="001B0850" w:rsidRDefault="00DB5D9C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41329AF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E32DFFD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63E79A0" w14:textId="77777777" w:rsidR="003A4737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AB01BE" w14:textId="35D04C28" w:rsidR="005411BE" w:rsidRPr="001B0850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5411BE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  <w:p w14:paraId="636EC391" w14:textId="77777777" w:rsidR="005411BE" w:rsidRPr="001B0850" w:rsidRDefault="005411BE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14:paraId="2B5180F2" w14:textId="7EF719DE" w:rsidR="005411BE" w:rsidRPr="001B0850" w:rsidRDefault="005411BE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El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Jefe de la Unidad de 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dministra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ción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deberá llevar un registro auxiliar de los bienes de larga duración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cual deberá contener como mínimo lo siguiente: descripción, número de inventario, fecha de adquisición, años de vida útil, costo de adquisición, valor residual, depreciación anual, depreciación acumulada y  valor en libros</w:t>
            </w:r>
            <w:r w:rsidR="00DB5D9C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entre otros. Para tal efecto se podrá utilizar </w:t>
            </w:r>
            <w:r w:rsidR="0055218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sistema informático</w:t>
            </w:r>
            <w:r w:rsidR="00DB5D9C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CC93A3" w14:textId="77777777" w:rsidR="005411BE" w:rsidRPr="001B0850" w:rsidRDefault="005411BE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 xml:space="preserve">  </w:t>
            </w:r>
          </w:p>
          <w:p w14:paraId="7348B83E" w14:textId="6F822057" w:rsidR="005411BE" w:rsidRPr="001B0850" w:rsidRDefault="005411BE" w:rsidP="003A4737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31 de diciembre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Unidad de Contabilidad actualizará el auxiliar de las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nversiones</w:t>
            </w:r>
            <w:r w:rsidR="00DB5D9C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="00DB5D9C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arga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DB5D9C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uración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y lo conciliará con los saldos </w:t>
            </w:r>
            <w:r w:rsidR="00DB5D9C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del auxiliar de la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Unidad de A</w:t>
            </w:r>
            <w:r w:rsidR="00DB5D9C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dministración.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258" w:type="dxa"/>
          </w:tcPr>
          <w:p w14:paraId="47D10F3F" w14:textId="77777777" w:rsidR="00DB5D9C" w:rsidRPr="001B0850" w:rsidRDefault="005411BE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Auxiliar de bienes de </w:t>
            </w:r>
            <w:r w:rsidR="00DB5D9C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larga </w:t>
            </w:r>
            <w:r w:rsidR="0055218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duración</w:t>
            </w:r>
            <w:r w:rsidR="00DB5D9C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A42ACF1" w14:textId="77777777" w:rsidR="00DB5D9C" w:rsidRPr="001B0850" w:rsidRDefault="00DB5D9C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AF17736" w14:textId="77777777" w:rsidR="00DB5D9C" w:rsidRPr="001B0850" w:rsidRDefault="00DB5D9C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C772E68" w14:textId="77777777" w:rsidR="00DB5D9C" w:rsidRPr="001B0850" w:rsidRDefault="00DB5D9C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33C12D0" w14:textId="77777777" w:rsidR="00EB228F" w:rsidRPr="001B0850" w:rsidRDefault="00EB228F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2AA96E5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56BA729" w14:textId="77777777" w:rsidR="008A2BC5" w:rsidRDefault="008A2BC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D0DD8E" w14:textId="77777777" w:rsidR="003A4737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F88CD0" w14:textId="77777777" w:rsidR="005411BE" w:rsidRPr="001B0850" w:rsidRDefault="005411BE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</w:t>
            </w:r>
          </w:p>
          <w:p w14:paraId="333ED4E4" w14:textId="77777777" w:rsidR="005411BE" w:rsidRPr="001B0850" w:rsidRDefault="005411BE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3D867E01" w14:textId="77777777" w:rsidR="00195AB7" w:rsidRPr="001B0850" w:rsidRDefault="00195AB7" w:rsidP="001B085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5343"/>
        <w:gridCol w:w="2258"/>
      </w:tblGrid>
      <w:tr w:rsidR="001B0850" w:rsidRPr="001B0850" w14:paraId="1C669FFD" w14:textId="77777777" w:rsidTr="00772DB7">
        <w:trPr>
          <w:trHeight w:val="933"/>
        </w:trPr>
        <w:tc>
          <w:tcPr>
            <w:tcW w:w="9356" w:type="dxa"/>
            <w:gridSpan w:val="3"/>
          </w:tcPr>
          <w:p w14:paraId="6B9CC8BF" w14:textId="77777777" w:rsidR="00BC61DA" w:rsidRPr="001B0850" w:rsidRDefault="00BC61DA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452931" w14:textId="4D49D866" w:rsidR="003A4737" w:rsidRDefault="00BC61DA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3A4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onciliaciones de </w:t>
            </w:r>
            <w:r w:rsidR="003A4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="007D45E8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aldos de</w:t>
            </w:r>
          </w:p>
          <w:p w14:paraId="78CE462A" w14:textId="24FF9367" w:rsidR="00BC61DA" w:rsidRPr="001B0850" w:rsidRDefault="00B67897" w:rsidP="007F0CFF">
            <w:pPr>
              <w:spacing w:line="360" w:lineRule="auto"/>
              <w:jc w:val="center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="007D45E8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royecto</w:t>
            </w:r>
            <w:r w:rsidR="003A4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="007D45E8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 de 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="007D45E8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nversión</w:t>
            </w:r>
          </w:p>
        </w:tc>
      </w:tr>
      <w:tr w:rsidR="001B0850" w:rsidRPr="001B0850" w14:paraId="4CDBE489" w14:textId="77777777" w:rsidTr="00772DB7">
        <w:trPr>
          <w:trHeight w:val="1046"/>
        </w:trPr>
        <w:tc>
          <w:tcPr>
            <w:tcW w:w="0" w:type="auto"/>
          </w:tcPr>
          <w:p w14:paraId="28146196" w14:textId="77777777" w:rsidR="00BC61DA" w:rsidRPr="001B0850" w:rsidRDefault="00BC61DA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F08592" w14:textId="77777777" w:rsidR="00BC61DA" w:rsidRPr="001B0850" w:rsidRDefault="00BC61DA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1640EFDC" w14:textId="77777777" w:rsidR="00BC61DA" w:rsidRPr="001B0850" w:rsidRDefault="00BC61DA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3E78C7" w14:textId="77777777" w:rsidR="00BC61DA" w:rsidRPr="001B0850" w:rsidRDefault="00BC61DA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7BAC4A6C" w14:textId="77777777" w:rsidR="00BC61DA" w:rsidRPr="001B0850" w:rsidRDefault="00BC61DA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B0132A" w14:textId="77777777" w:rsidR="00BC61DA" w:rsidRPr="001B0850" w:rsidRDefault="00BC61DA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5FE138AD" w14:textId="77777777" w:rsidTr="00772DB7">
        <w:trPr>
          <w:trHeight w:val="1040"/>
        </w:trPr>
        <w:tc>
          <w:tcPr>
            <w:tcW w:w="0" w:type="auto"/>
          </w:tcPr>
          <w:p w14:paraId="2ADB310A" w14:textId="6705C26B" w:rsidR="00BC61DA" w:rsidRPr="001B0850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7D45E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  <w:p w14:paraId="35F51B3C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7229508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4BC0B48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D09858C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  <w:p w14:paraId="51553522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CE43B0F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ABA82E4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03C59DF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65068D8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5D32673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076C68C" w14:textId="77777777" w:rsidR="008A2BC5" w:rsidRDefault="008A2BC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ABA840" w14:textId="40641FBF" w:rsidR="007D45E8" w:rsidRPr="001B0850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7D45E8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  <w:p w14:paraId="4F626C5A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DE38F04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DF24984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2FB4E95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E0266E4" w14:textId="77777777" w:rsidR="00CC4FDB" w:rsidRPr="001B0850" w:rsidRDefault="00CC4FDB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EC7964" w14:textId="77777777" w:rsidR="003A4737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3244F2" w14:textId="06BFF187" w:rsidR="005D7AB6" w:rsidRPr="001B0850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  <w:p w14:paraId="4C8BDC18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C8758F1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F6BCF52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14:paraId="45FD585A" w14:textId="6300603B" w:rsidR="00BC61DA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Al cierre de cada mes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Unidad de 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 deberá adoptar un método que le permita comprobar que se hayan efectuado todas las aplicaciones al gasto de la inversión pública de las erogaciones de los proyectos de inversión.</w:t>
            </w:r>
          </w:p>
          <w:p w14:paraId="23334D30" w14:textId="3635E591" w:rsidR="00CC4FDB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31 de diciembre de cada año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Unidad de Contabilidad deberá comprobar que los costos acumulados de la inversión de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Proyecto de uso público sea igual a las aplicaciones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 gasto de la inversión pública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ara ello será necesario que en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 mes preliminar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efectúen los traslados de los saldos acumulados en las cuentas de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ienes de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arga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uración de los proyectos de aquellos bienes que no serán trasladados a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ienes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nstitucionales cuando finalice el proyecto. </w:t>
            </w:r>
          </w:p>
          <w:p w14:paraId="0224F1C6" w14:textId="0135EFEE" w:rsidR="007D45E8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conciliar los costos acumulados del proyecto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Unidad de 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ontabilidad deberá efectuar las sumas del saldo al cierre preliminar de cada año de la cuenta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osto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cumulado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los proyectos </w:t>
            </w:r>
            <w:r w:rsidR="003A4737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más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saldo de todos los gastos acumulados en las cuentas destinadas 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la adquisición de bienes y servicios efectuadas en el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año, en 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proyecto.</w:t>
            </w:r>
          </w:p>
          <w:p w14:paraId="0CA18809" w14:textId="77777777" w:rsidR="003A4737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5BE968" w14:textId="107C940B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efectuar la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“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mayorizaci</w:t>
            </w:r>
            <w:r w:rsidR="00195AB7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ó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”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del mes preliminar,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Unidad de 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ontabilidad deberá comprobar que el saldo a nivel de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ubgrupo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ontable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nversiones en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royectos de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so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úblico sea igual al saldo del valor en libros de los bienes adquiridos con cargos a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proyecto y que al finalizar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proyecto,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pasar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 a ser parte de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bienes institucional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1628A2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2258" w:type="dxa"/>
          </w:tcPr>
          <w:p w14:paraId="78217DE7" w14:textId="77777777" w:rsidR="00BC61DA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Auxiliares contables de proyecto</w:t>
            </w:r>
          </w:p>
          <w:p w14:paraId="37E809D2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BCD7D5A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4ECB25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Auxiliares contables de proyecto</w:t>
            </w:r>
          </w:p>
          <w:p w14:paraId="6AD44865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CEA3191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F7C70A6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3FA7C94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B89FF61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Auxiliares contables de proyecto</w:t>
            </w:r>
          </w:p>
          <w:p w14:paraId="4816D5E6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F18B218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1751EE1" w14:textId="77777777" w:rsidR="00195AB7" w:rsidRPr="001B0850" w:rsidRDefault="00195AB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52E879C" w14:textId="77777777" w:rsidR="00CC4FDB" w:rsidRPr="001B0850" w:rsidRDefault="00CC4FDB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155EC3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Balance de comprobación de cierre preliminar y registro auxiliar de bienes de los proyectos</w:t>
            </w:r>
          </w:p>
        </w:tc>
      </w:tr>
    </w:tbl>
    <w:p w14:paraId="5E483CE2" w14:textId="77777777" w:rsidR="00131FE4" w:rsidRPr="001B0850" w:rsidRDefault="00131FE4" w:rsidP="001B0850">
      <w:pPr>
        <w:spacing w:line="360" w:lineRule="auto"/>
        <w:jc w:val="both"/>
        <w:rPr>
          <w:b/>
          <w:color w:val="404040" w:themeColor="text1" w:themeTint="BF"/>
          <w:sz w:val="24"/>
          <w:szCs w:val="24"/>
          <w:lang w:val="es-ES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6"/>
        <w:gridCol w:w="5252"/>
        <w:gridCol w:w="2258"/>
      </w:tblGrid>
      <w:tr w:rsidR="001B0850" w:rsidRPr="001B0850" w14:paraId="41C196C1" w14:textId="77777777" w:rsidTr="00772DB7">
        <w:trPr>
          <w:trHeight w:val="933"/>
        </w:trPr>
        <w:tc>
          <w:tcPr>
            <w:tcW w:w="9356" w:type="dxa"/>
            <w:gridSpan w:val="3"/>
          </w:tcPr>
          <w:p w14:paraId="1454837E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9454701" w14:textId="16481E60" w:rsidR="005D7AB6" w:rsidRPr="001B0850" w:rsidRDefault="005D7AB6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3A4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onciliaciones de </w:t>
            </w:r>
            <w:r w:rsidR="00B67897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epósitos </w:t>
            </w:r>
            <w:r w:rsidR="00B67897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jenos</w:t>
            </w:r>
          </w:p>
        </w:tc>
      </w:tr>
      <w:tr w:rsidR="001B0850" w:rsidRPr="001B0850" w14:paraId="29F47864" w14:textId="77777777" w:rsidTr="00772DB7">
        <w:trPr>
          <w:trHeight w:val="943"/>
        </w:trPr>
        <w:tc>
          <w:tcPr>
            <w:tcW w:w="0" w:type="auto"/>
          </w:tcPr>
          <w:p w14:paraId="3AC13617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44F13D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6CE785AD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0039DC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68B851B6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239414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5723C3EF" w14:textId="77777777" w:rsidTr="00772DB7">
        <w:trPr>
          <w:trHeight w:val="1040"/>
        </w:trPr>
        <w:tc>
          <w:tcPr>
            <w:tcW w:w="0" w:type="auto"/>
          </w:tcPr>
          <w:p w14:paraId="22BB65DB" w14:textId="247A8F62" w:rsidR="005D7AB6" w:rsidRPr="001B0850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</w:t>
            </w:r>
          </w:p>
          <w:p w14:paraId="0A3F3EA8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7535A12" w14:textId="77777777" w:rsidR="00131FE4" w:rsidRPr="001B0850" w:rsidRDefault="00131FE4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3B3305F" w14:textId="4F933853" w:rsidR="00131FE4" w:rsidRPr="007F0CFF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</w:p>
          <w:p w14:paraId="5C535918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</w:t>
            </w:r>
          </w:p>
          <w:p w14:paraId="048DCA7C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E9DA594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057114D" w14:textId="1F0B6F78" w:rsidR="005D7AB6" w:rsidRPr="001B0850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Unidad de </w:t>
            </w:r>
            <w:r w:rsidR="00131FE4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</w:t>
            </w:r>
          </w:p>
          <w:p w14:paraId="073F92D7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14:paraId="2CF0E9BE" w14:textId="17C9FC92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Llevará un auxiliar de los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epósitos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jenos que será el respaldo de los saldos en los estados financieros.</w:t>
            </w:r>
          </w:p>
          <w:p w14:paraId="3143FB3C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80A0524" w14:textId="71A63AEA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término de cada año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nidad de Tesorería entregará a la Unidad de Contabilidad el registro auxiliar de los de los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epósitos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jenos e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forma física o </w:t>
            </w:r>
            <w:r w:rsidRPr="007F0CFF">
              <w:rPr>
                <w:rFonts w:ascii="Arial" w:hAnsi="Arial" w:cs="Arial"/>
                <w:strike/>
                <w:color w:val="404040" w:themeColor="text1" w:themeTint="BF"/>
                <w:sz w:val="24"/>
                <w:szCs w:val="24"/>
                <w:lang w:val="es-ES"/>
              </w:rPr>
              <w:t>magnética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 digital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73EF79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21B6D40B" w14:textId="5F152676" w:rsidR="005D7AB6" w:rsidRPr="001B0850" w:rsidRDefault="005D7AB6" w:rsidP="003A4737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La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nidad de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 conciliar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saldos de los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epósitos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jenos con el auxiliar proporcionado por Tesorería.</w:t>
            </w:r>
          </w:p>
        </w:tc>
        <w:tc>
          <w:tcPr>
            <w:tcW w:w="2258" w:type="dxa"/>
          </w:tcPr>
          <w:p w14:paraId="7DF170BA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Auxiliar</w:t>
            </w:r>
          </w:p>
          <w:p w14:paraId="327E7B65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95093DB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344FAF1" w14:textId="77777777" w:rsidR="00131FE4" w:rsidRPr="001B0850" w:rsidRDefault="00131FE4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85BED34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</w:t>
            </w:r>
          </w:p>
          <w:p w14:paraId="29A7D52F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6AA3821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B380B79" w14:textId="77777777" w:rsidR="00131FE4" w:rsidRPr="001B0850" w:rsidRDefault="00131FE4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1D17B7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Auxiliar y libros contables</w:t>
            </w:r>
          </w:p>
        </w:tc>
      </w:tr>
    </w:tbl>
    <w:p w14:paraId="12209CB7" w14:textId="77777777" w:rsidR="005D7AB6" w:rsidRPr="001B0850" w:rsidRDefault="005D7AB6" w:rsidP="001B0850">
      <w:pPr>
        <w:spacing w:line="360" w:lineRule="auto"/>
        <w:jc w:val="both"/>
        <w:rPr>
          <w:b/>
          <w:color w:val="404040" w:themeColor="text1" w:themeTint="BF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5246"/>
        <w:gridCol w:w="2258"/>
      </w:tblGrid>
      <w:tr w:rsidR="001B0850" w:rsidRPr="001B0850" w14:paraId="13D7AD1F" w14:textId="77777777" w:rsidTr="00772DB7">
        <w:trPr>
          <w:trHeight w:val="933"/>
        </w:trPr>
        <w:tc>
          <w:tcPr>
            <w:tcW w:w="9356" w:type="dxa"/>
            <w:gridSpan w:val="3"/>
          </w:tcPr>
          <w:p w14:paraId="0828D9BF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2362FE2" w14:textId="4971688A" w:rsidR="005D7AB6" w:rsidRPr="001B0850" w:rsidRDefault="005D7AB6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3A4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onciliaciones de </w:t>
            </w:r>
            <w:r w:rsidR="00B67897"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Acreedores Monetarios</w:t>
            </w:r>
          </w:p>
        </w:tc>
      </w:tr>
      <w:tr w:rsidR="001B0850" w:rsidRPr="001B0850" w14:paraId="71655AC7" w14:textId="77777777" w:rsidTr="00772DB7">
        <w:trPr>
          <w:trHeight w:val="943"/>
        </w:trPr>
        <w:tc>
          <w:tcPr>
            <w:tcW w:w="0" w:type="auto"/>
          </w:tcPr>
          <w:p w14:paraId="541944B2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6D309C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3FEEC99B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B91F97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46FDCD5B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BBEC4F" w14:textId="77777777" w:rsidR="005D7AB6" w:rsidRPr="001B0850" w:rsidRDefault="005D7AB6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214BD28E" w14:textId="77777777" w:rsidTr="00772DB7">
        <w:trPr>
          <w:trHeight w:val="1040"/>
        </w:trPr>
        <w:tc>
          <w:tcPr>
            <w:tcW w:w="0" w:type="auto"/>
          </w:tcPr>
          <w:p w14:paraId="58587A74" w14:textId="321AE295" w:rsidR="005D7AB6" w:rsidRPr="001B0850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</w:t>
            </w:r>
          </w:p>
          <w:p w14:paraId="555E9F36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A0ECA1D" w14:textId="77777777" w:rsidR="00131FE4" w:rsidRPr="001B0850" w:rsidRDefault="00131FE4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46C78CE" w14:textId="6A72A361" w:rsidR="00131FE4" w:rsidRPr="007F0CFF" w:rsidRDefault="003A473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Unidad de</w:t>
            </w:r>
          </w:p>
          <w:p w14:paraId="20632824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Tesorería </w:t>
            </w:r>
          </w:p>
          <w:p w14:paraId="1707B47D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DA3D6DC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1767949" w14:textId="77777777" w:rsidR="00AA61D7" w:rsidRPr="001B0850" w:rsidRDefault="00AA61D7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074CC9" w14:textId="3AB82257" w:rsidR="005D7AB6" w:rsidRPr="001B0850" w:rsidRDefault="00853C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AA61D7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</w:t>
            </w:r>
          </w:p>
        </w:tc>
        <w:tc>
          <w:tcPr>
            <w:tcW w:w="0" w:type="auto"/>
          </w:tcPr>
          <w:p w14:paraId="32196594" w14:textId="6C56B3F6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Llevará un auxiliar de los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creedores 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onetarios que será el respaldo de los saldos en los estados financieros.</w:t>
            </w:r>
          </w:p>
          <w:p w14:paraId="135ABF34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B65D89A" w14:textId="77455AC5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término de cada </w:t>
            </w:r>
            <w:r w:rsidR="003F1ED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mes</w:t>
            </w:r>
            <w:r w:rsidR="003A47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nidad de Tesorería entregará a la Unidad de Contabilidad el registro auxiliar de los de los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="003F1ED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creedores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="003F1ED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onetarios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forma física o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 digital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3353F4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25288079" w14:textId="7938206F" w:rsidR="005D7AB6" w:rsidRPr="001B0850" w:rsidRDefault="00CC4FDB" w:rsidP="00853C0D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U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nidad de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 conciliar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saldos de los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="003F1ED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creedores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="003F1ED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onetarios 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el auxiliar proporcionado por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Unidad de </w:t>
            </w:r>
            <w:r w:rsidR="005D7AB6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Tesorería.</w:t>
            </w:r>
          </w:p>
        </w:tc>
        <w:tc>
          <w:tcPr>
            <w:tcW w:w="2258" w:type="dxa"/>
          </w:tcPr>
          <w:p w14:paraId="1DD56AB7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Auxiliar</w:t>
            </w:r>
          </w:p>
          <w:p w14:paraId="1F6BB045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1560CFB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D3C985A" w14:textId="77777777" w:rsidR="00131FE4" w:rsidRPr="001B0850" w:rsidRDefault="00131FE4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8ADA41D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</w:t>
            </w:r>
          </w:p>
          <w:p w14:paraId="387DD5A9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E7A883D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DC96FD0" w14:textId="77777777" w:rsidR="00131FE4" w:rsidRPr="001B0850" w:rsidRDefault="00131FE4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3D36EBB" w14:textId="77777777" w:rsidR="005D7AB6" w:rsidRPr="001B0850" w:rsidRDefault="005D7AB6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 y libros contables</w:t>
            </w:r>
          </w:p>
        </w:tc>
      </w:tr>
    </w:tbl>
    <w:p w14:paraId="74D94429" w14:textId="77777777" w:rsidR="005D7AB6" w:rsidRPr="001B0850" w:rsidRDefault="005D7AB6" w:rsidP="001B0850">
      <w:pPr>
        <w:spacing w:line="360" w:lineRule="auto"/>
        <w:jc w:val="both"/>
        <w:rPr>
          <w:b/>
          <w:color w:val="404040" w:themeColor="text1" w:themeTint="BF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5335"/>
        <w:gridCol w:w="2258"/>
      </w:tblGrid>
      <w:tr w:rsidR="001B0850" w:rsidRPr="001B0850" w14:paraId="61021238" w14:textId="77777777" w:rsidTr="00772DB7">
        <w:trPr>
          <w:trHeight w:val="933"/>
        </w:trPr>
        <w:tc>
          <w:tcPr>
            <w:tcW w:w="9356" w:type="dxa"/>
            <w:gridSpan w:val="3"/>
          </w:tcPr>
          <w:p w14:paraId="4E18CA09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621A045" w14:textId="794138A2" w:rsidR="00853C0D" w:rsidRDefault="007D45E8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853C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onciliaciones de</w:t>
            </w:r>
          </w:p>
          <w:p w14:paraId="280B9FE6" w14:textId="23639D4D" w:rsidR="007D45E8" w:rsidRPr="001B0850" w:rsidRDefault="00B67897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Retenciones del </w:t>
            </w:r>
            <w:r w:rsidR="00853C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mpuesto </w:t>
            </w:r>
            <w:r w:rsidR="00853C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obre la </w:t>
            </w:r>
            <w:r w:rsidR="00853C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enta</w:t>
            </w:r>
          </w:p>
        </w:tc>
      </w:tr>
      <w:tr w:rsidR="001B0850" w:rsidRPr="001B0850" w14:paraId="52206DEC" w14:textId="77777777" w:rsidTr="00772DB7">
        <w:trPr>
          <w:trHeight w:val="1046"/>
        </w:trPr>
        <w:tc>
          <w:tcPr>
            <w:tcW w:w="0" w:type="auto"/>
          </w:tcPr>
          <w:p w14:paraId="2781DC1E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E62259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06C073B2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233275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01536E3A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B851A0" w14:textId="77777777" w:rsidR="007D45E8" w:rsidRPr="001B0850" w:rsidRDefault="007D45E8" w:rsidP="001B0850">
            <w:pPr>
              <w:spacing w:line="36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715A0E2C" w14:textId="77777777" w:rsidTr="00772DB7">
        <w:trPr>
          <w:trHeight w:val="1040"/>
        </w:trPr>
        <w:tc>
          <w:tcPr>
            <w:tcW w:w="0" w:type="auto"/>
          </w:tcPr>
          <w:p w14:paraId="4125D36C" w14:textId="3C3E13F3" w:rsidR="007D45E8" w:rsidRPr="001B0850" w:rsidRDefault="00853C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B67897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Contabilidad</w:t>
            </w:r>
          </w:p>
        </w:tc>
        <w:tc>
          <w:tcPr>
            <w:tcW w:w="0" w:type="auto"/>
          </w:tcPr>
          <w:p w14:paraId="632CA428" w14:textId="58A01C8F" w:rsidR="007D45E8" w:rsidRPr="001B0850" w:rsidRDefault="00B67897" w:rsidP="00853C0D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</w:t>
            </w:r>
            <w:r w:rsidR="00447AA7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término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cada mes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comprobará que los montos contenidos en la cuenta de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etenciones de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mpuesto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obre la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enta de carácter eventual y la renta por servicio de carácter permanente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sean iguales a las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eclaraciones mensuales reportadas y pagadas por la Unidad de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esorería.</w:t>
            </w:r>
          </w:p>
        </w:tc>
        <w:tc>
          <w:tcPr>
            <w:tcW w:w="2258" w:type="dxa"/>
          </w:tcPr>
          <w:p w14:paraId="42A28F23" w14:textId="77777777" w:rsidR="007D45E8" w:rsidRPr="001B0850" w:rsidRDefault="00B6789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Auxiliar contable, declaración de impuesto retenido de forma mensual</w:t>
            </w:r>
            <w:r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>.</w:t>
            </w:r>
          </w:p>
        </w:tc>
      </w:tr>
    </w:tbl>
    <w:p w14:paraId="26DEB3BC" w14:textId="77777777" w:rsidR="00687826" w:rsidRPr="001B0850" w:rsidRDefault="00687826" w:rsidP="001B0850">
      <w:pPr>
        <w:spacing w:line="360" w:lineRule="auto"/>
        <w:jc w:val="both"/>
        <w:rPr>
          <w:b/>
          <w:color w:val="404040" w:themeColor="text1" w:themeTint="BF"/>
          <w:sz w:val="24"/>
          <w:szCs w:val="24"/>
        </w:rPr>
      </w:pPr>
    </w:p>
    <w:p w14:paraId="48A1EF9D" w14:textId="77777777" w:rsidR="00B67897" w:rsidRPr="001B0850" w:rsidRDefault="00FC42D5" w:rsidP="001B0850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br w:type="page"/>
      </w:r>
      <w:r w:rsidR="00B67897" w:rsidRPr="001B0850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>PROCEDIMIENTOS PRESUPUESTARIOS.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5350"/>
        <w:gridCol w:w="2258"/>
      </w:tblGrid>
      <w:tr w:rsidR="001B0850" w:rsidRPr="001B0850" w14:paraId="40006565" w14:textId="77777777" w:rsidTr="00772DB7">
        <w:trPr>
          <w:trHeight w:val="933"/>
        </w:trPr>
        <w:tc>
          <w:tcPr>
            <w:tcW w:w="9356" w:type="dxa"/>
            <w:gridSpan w:val="3"/>
          </w:tcPr>
          <w:p w14:paraId="07723C58" w14:textId="77777777" w:rsidR="00B67897" w:rsidRPr="001B0850" w:rsidRDefault="00B67897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FA4ECB0" w14:textId="117486AC" w:rsidR="00853C0D" w:rsidRDefault="00B67897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853C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onciliaciones de</w:t>
            </w:r>
          </w:p>
          <w:p w14:paraId="4481BB6F" w14:textId="3E5F3D77" w:rsidR="00B67897" w:rsidRPr="001B0850" w:rsidRDefault="00E479CD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Ejecución Presupuestaria de Egresos</w:t>
            </w:r>
          </w:p>
        </w:tc>
      </w:tr>
      <w:tr w:rsidR="001B0850" w:rsidRPr="001B0850" w14:paraId="5E6EF3C9" w14:textId="77777777" w:rsidTr="00772DB7">
        <w:trPr>
          <w:trHeight w:val="1046"/>
        </w:trPr>
        <w:tc>
          <w:tcPr>
            <w:tcW w:w="0" w:type="auto"/>
          </w:tcPr>
          <w:p w14:paraId="6A3EA5E3" w14:textId="77777777" w:rsidR="00B67897" w:rsidRPr="001B0850" w:rsidRDefault="00B678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6ED946" w14:textId="77777777" w:rsidR="00B67897" w:rsidRPr="001B0850" w:rsidRDefault="00B678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379203CF" w14:textId="77777777" w:rsidR="00B67897" w:rsidRPr="001B0850" w:rsidRDefault="00B678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A8EA93" w14:textId="77777777" w:rsidR="00B67897" w:rsidRPr="001B0850" w:rsidRDefault="00B678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263BEE8F" w14:textId="77777777" w:rsidR="00B67897" w:rsidRPr="001B0850" w:rsidRDefault="00B678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B9FD1" w14:textId="77777777" w:rsidR="00B67897" w:rsidRPr="001B0850" w:rsidRDefault="00B67897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2FB61DAA" w14:textId="77777777" w:rsidTr="00772DB7">
        <w:trPr>
          <w:trHeight w:val="1040"/>
        </w:trPr>
        <w:tc>
          <w:tcPr>
            <w:tcW w:w="0" w:type="auto"/>
          </w:tcPr>
          <w:p w14:paraId="618B3E35" w14:textId="06C5458F" w:rsidR="00B67897" w:rsidRPr="001B0850" w:rsidRDefault="00853C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E479C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Presupuesto </w:t>
            </w:r>
          </w:p>
          <w:p w14:paraId="35DE6F71" w14:textId="77777777" w:rsidR="00E479CD" w:rsidRPr="001B0850" w:rsidRDefault="00E479C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1660304" w14:textId="77777777" w:rsidR="00E479CD" w:rsidRPr="001B0850" w:rsidRDefault="00E479C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18E7670" w14:textId="77777777" w:rsidR="00E479CD" w:rsidRPr="001B0850" w:rsidRDefault="00E479C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1627331" w14:textId="77777777" w:rsidR="00E479CD" w:rsidRPr="001B0850" w:rsidRDefault="00E479C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8E9E3BB" w14:textId="77777777" w:rsidR="00E479CD" w:rsidRPr="001B0850" w:rsidRDefault="00E479C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FD28155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9B87239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0402AE1B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5DDFA87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FE0FA23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4E8FC89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2CFC39" w14:textId="77777777" w:rsidR="008A2BC5" w:rsidRDefault="008A2BC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24AA0E" w14:textId="77777777" w:rsidR="00853C0D" w:rsidRDefault="00853C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D4D221" w14:textId="13C1F7CF" w:rsidR="00E479CD" w:rsidRPr="001B0850" w:rsidRDefault="00853C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E479C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Presupuesto</w:t>
            </w:r>
          </w:p>
          <w:p w14:paraId="088DF10B" w14:textId="77777777" w:rsidR="00E479CD" w:rsidRPr="001B0850" w:rsidRDefault="00E479C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864D730" w14:textId="77777777" w:rsidR="00E479CD" w:rsidRPr="001B0850" w:rsidRDefault="00E479C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FA01C02" w14:textId="77777777" w:rsidR="00E479CD" w:rsidRPr="001B0850" w:rsidRDefault="00E479C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C5F752F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1F5A9A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E38735" w14:textId="373FEDA3" w:rsidR="00E479CD" w:rsidRPr="001B0850" w:rsidRDefault="00853C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E479C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Presupuesto </w:t>
            </w:r>
          </w:p>
        </w:tc>
        <w:tc>
          <w:tcPr>
            <w:tcW w:w="0" w:type="auto"/>
          </w:tcPr>
          <w:p w14:paraId="29C6DE1D" w14:textId="460BD685" w:rsidR="00B67897" w:rsidRPr="001B0850" w:rsidRDefault="00E479C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Por cada gasto que afecte la ejecución de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resupuesto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debe elaborar un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omprobante de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greso, el cual deberá contener: periodo fiscal, lugar y fecha, nombre de la Institución o fondo, código institucional, n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ú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mero de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proyecto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si aplica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suministrante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 proveedor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valor en letras, objeto </w:t>
            </w:r>
            <w:r w:rsidR="00853C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específico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gasto, descripción del objeto </w:t>
            </w:r>
            <w:r w:rsidR="00853C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específico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código de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structura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resupuestaria, valor, descripción del gasto, firma y sello del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efe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la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UFI, firma y sello de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 Encargado de la Unidad de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Presupuesto,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irma y sello de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 Encargado de la Unidad de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Contabilidad y firma y sello de quien recibe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pago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tipo de comprobante, tipo de movimiento, agrupación operacional, área de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gestión, fuente de financiamiento, fecha de devengado, fuente de recurso, cuenta bancaria,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nombre del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banco, número y serie de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cheque y valor líquido a pagar.</w:t>
            </w:r>
          </w:p>
          <w:p w14:paraId="389CA378" w14:textId="77777777" w:rsidR="00853C0D" w:rsidRDefault="00853C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43BAB4" w14:textId="1B2754D6" w:rsidR="00E479CD" w:rsidRPr="001B0850" w:rsidRDefault="00E479C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 el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omprobante de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greso, se llevar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 control extracontable por correlativo y cronológicamente ordenado con los datos que garanticen la generación de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informe que permita comparar la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jecución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resupuestaria según el módulo de presupuesto y el control extracontable, por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ínea de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rabajo y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bjeto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specifico del gasto</w:t>
            </w:r>
          </w:p>
          <w:p w14:paraId="3A5E5FC3" w14:textId="77777777" w:rsidR="00E479CD" w:rsidRPr="001B0850" w:rsidRDefault="00E479C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518C838C" w14:textId="2FE28D42" w:rsidR="00E479CD" w:rsidRPr="001B0850" w:rsidRDefault="00E479CD" w:rsidP="00853C0D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término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cada mes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CC4FDB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Unidad de 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resupuesto debe conciliar la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jecución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resupuestaria por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ínea de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rabajo 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y código de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bjeto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specifico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resupuestario según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sistema contable y el control extracontable, lo que garantizará la correcta clasificación contable y presupuestaria del egreso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S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 existier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 diferencias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esponsable de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Unidad de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resupuesto efectuar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cualquier ajuste 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o reclasificación si fuese necesario y notificará a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Unidad de C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ontabilidad para efectos del registro de las correcciones pertinentes</w:t>
            </w:r>
            <w:r w:rsidR="008A340D"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 xml:space="preserve">, </w:t>
            </w:r>
          </w:p>
        </w:tc>
        <w:tc>
          <w:tcPr>
            <w:tcW w:w="2258" w:type="dxa"/>
          </w:tcPr>
          <w:p w14:paraId="169F652F" w14:textId="77777777" w:rsidR="00B67897" w:rsidRPr="001B0850" w:rsidRDefault="00E479C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Comprobante de Egreso</w:t>
            </w:r>
          </w:p>
          <w:p w14:paraId="7BF96EF2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B2246EE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D07EC9B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40CCF7A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A8034A4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3704FB2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6AE2A84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2A1F567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A50362D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223B3A4F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5538B9FF" w14:textId="77777777" w:rsidR="008A2BC5" w:rsidRDefault="008A2BC5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900BE2" w14:textId="77777777" w:rsidR="00853C0D" w:rsidRDefault="00853C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4488B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Comprobante de Egreso y control extracontable</w:t>
            </w:r>
          </w:p>
          <w:p w14:paraId="62A005B0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0072142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C939F2B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64E0551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2EE651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Control Extracontable e informe de saldos actual de presupuesto en el módulo de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presupuesto del sistema.</w:t>
            </w:r>
          </w:p>
          <w:p w14:paraId="54468EDC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1E37B2B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EF8F403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789CBEEC" w14:textId="77777777" w:rsidR="00B67897" w:rsidRDefault="00B67897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450A374D" w14:textId="77777777" w:rsidR="009F062D" w:rsidRDefault="009F062D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3F85AB1" w14:textId="77777777" w:rsidR="009F062D" w:rsidRDefault="009F062D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59BC0A59" w14:textId="77777777" w:rsidR="009F062D" w:rsidRDefault="009F062D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1DE5CE34" w14:textId="77777777" w:rsidR="009F062D" w:rsidRDefault="009F062D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14245A83" w14:textId="77777777" w:rsidR="009F062D" w:rsidRPr="001B0850" w:rsidRDefault="009F062D" w:rsidP="001B0850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5338"/>
        <w:gridCol w:w="2258"/>
      </w:tblGrid>
      <w:tr w:rsidR="001B0850" w:rsidRPr="001B0850" w14:paraId="21A9C209" w14:textId="77777777" w:rsidTr="00772DB7">
        <w:trPr>
          <w:trHeight w:val="933"/>
        </w:trPr>
        <w:tc>
          <w:tcPr>
            <w:tcW w:w="9356" w:type="dxa"/>
            <w:gridSpan w:val="3"/>
          </w:tcPr>
          <w:p w14:paraId="30555E78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14D05862" w14:textId="2151F744" w:rsidR="00853C0D" w:rsidRDefault="008A340D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Descripción del Procedimiento de </w:t>
            </w:r>
            <w:r w:rsidR="00853C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onciliaciones de</w:t>
            </w:r>
          </w:p>
          <w:p w14:paraId="5615E973" w14:textId="6087C0D2" w:rsidR="008A340D" w:rsidRPr="001B0850" w:rsidRDefault="008A340D" w:rsidP="007F0CFF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Ejecución Presupuestaria de Ingresos</w:t>
            </w:r>
          </w:p>
        </w:tc>
      </w:tr>
      <w:tr w:rsidR="001B0850" w:rsidRPr="001B0850" w14:paraId="21831DC2" w14:textId="77777777" w:rsidTr="00772DB7">
        <w:trPr>
          <w:trHeight w:val="1046"/>
        </w:trPr>
        <w:tc>
          <w:tcPr>
            <w:tcW w:w="0" w:type="auto"/>
          </w:tcPr>
          <w:p w14:paraId="0885A445" w14:textId="77777777" w:rsidR="008A340D" w:rsidRPr="001B0850" w:rsidRDefault="008A340D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FBAC1C" w14:textId="77777777" w:rsidR="008A340D" w:rsidRPr="001B0850" w:rsidRDefault="008A340D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0" w:type="auto"/>
          </w:tcPr>
          <w:p w14:paraId="170654C3" w14:textId="77777777" w:rsidR="008A340D" w:rsidRPr="001B0850" w:rsidRDefault="008A340D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EE8538" w14:textId="77777777" w:rsidR="008A340D" w:rsidRPr="001B0850" w:rsidRDefault="008A340D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58" w:type="dxa"/>
          </w:tcPr>
          <w:p w14:paraId="2179A105" w14:textId="77777777" w:rsidR="008A340D" w:rsidRPr="001B0850" w:rsidRDefault="008A340D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22F0F7" w14:textId="77777777" w:rsidR="008A340D" w:rsidRPr="001B0850" w:rsidRDefault="008A340D" w:rsidP="001B0850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Documentación de Referencia</w:t>
            </w:r>
          </w:p>
        </w:tc>
      </w:tr>
      <w:tr w:rsidR="001B0850" w:rsidRPr="001B0850" w14:paraId="45247600" w14:textId="77777777" w:rsidTr="00772DB7">
        <w:trPr>
          <w:trHeight w:val="1040"/>
        </w:trPr>
        <w:tc>
          <w:tcPr>
            <w:tcW w:w="0" w:type="auto"/>
          </w:tcPr>
          <w:p w14:paraId="3E194FC7" w14:textId="7D8B38A2" w:rsidR="008A340D" w:rsidRPr="001B0850" w:rsidRDefault="00853C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Presupuesto </w:t>
            </w:r>
          </w:p>
          <w:p w14:paraId="6C1656E3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30103B40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BDD898" w14:textId="77777777" w:rsidR="00200DA1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021D04" w14:textId="53A736E6" w:rsidR="008A340D" w:rsidRPr="001B0850" w:rsidRDefault="00853C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0C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8A340D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Presupuesto</w:t>
            </w:r>
          </w:p>
          <w:p w14:paraId="0B1FFF85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59A4C5C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6B70445B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14:paraId="4CFB3638" w14:textId="50F1F28A" w:rsidR="008A340D" w:rsidRPr="001B0850" w:rsidRDefault="008A34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Ingresará cada mandamiento pagado diario, recibido de parte del banco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el </w:t>
            </w:r>
            <w:r w:rsidR="00FC42D5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módulo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</w:t>
            </w:r>
            <w:r w:rsidR="00853C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resupuesto del sistema contable.</w:t>
            </w:r>
          </w:p>
          <w:p w14:paraId="5C5BD031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494EDD70" w14:textId="77777777" w:rsidR="00200DA1" w:rsidRPr="001B0850" w:rsidRDefault="00200DA1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191F244" w14:textId="04B1F92B" w:rsidR="008A340D" w:rsidRPr="001B0850" w:rsidRDefault="008A34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Al término de cada mes</w:t>
            </w:r>
            <w:r w:rsidR="001D7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1D7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</w:t>
            </w:r>
            <w:r w:rsidR="001D7BC2" w:rsidRPr="001E72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Unidad de </w:t>
            </w:r>
            <w:r w:rsidR="001D7BC2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Presupuesto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conciliará los ingresos registrados en el sistema contable diariamente o por registro</w:t>
            </w:r>
            <w:r w:rsidR="001D7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los abonos según </w:t>
            </w:r>
            <w:r w:rsidR="001D7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libros de banco auxiliar</w:t>
            </w:r>
            <w:r w:rsidR="001D7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manejados por la Unidad de </w:t>
            </w:r>
            <w:r w:rsidR="001D7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esorería, lo cual permitirá comprobar que todos los ingresos registrados en el sistema hayan sido registrados en el libro de banco auxiliar y viceversa.</w:t>
            </w:r>
          </w:p>
          <w:p w14:paraId="07082014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  <w:r w:rsidRPr="001B0850"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5DC35F07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  <w:tc>
          <w:tcPr>
            <w:tcW w:w="2258" w:type="dxa"/>
          </w:tcPr>
          <w:p w14:paraId="2B217F7D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Mandamiento de Ingreso y Recibos de Ingreso pagados diariamente.</w:t>
            </w:r>
          </w:p>
          <w:p w14:paraId="3F24A01F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B1FAA90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Registros ingresados al sistema contable y </w:t>
            </w:r>
            <w:r w:rsidR="00200DA1"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libros auxiliares</w:t>
            </w: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banco de tesorería.</w:t>
            </w:r>
          </w:p>
          <w:p w14:paraId="08DF4656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  <w:p w14:paraId="7899F3A2" w14:textId="77777777" w:rsidR="008A340D" w:rsidRPr="001B0850" w:rsidRDefault="008A340D" w:rsidP="001B0850">
            <w:pPr>
              <w:spacing w:line="360" w:lineRule="auto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22CFCA6C" w14:textId="77777777" w:rsidR="00687826" w:rsidRPr="001B0850" w:rsidRDefault="00687826" w:rsidP="001B0850">
      <w:pPr>
        <w:spacing w:line="360" w:lineRule="auto"/>
        <w:jc w:val="both"/>
        <w:rPr>
          <w:b/>
          <w:color w:val="404040" w:themeColor="text1" w:themeTint="BF"/>
          <w:sz w:val="24"/>
          <w:szCs w:val="24"/>
        </w:rPr>
      </w:pPr>
    </w:p>
    <w:p w14:paraId="189564B5" w14:textId="77777777" w:rsidR="003A260A" w:rsidRDefault="003A260A" w:rsidP="001B0850">
      <w:pPr>
        <w:spacing w:line="360" w:lineRule="auto"/>
        <w:rPr>
          <w:b/>
          <w:color w:val="404040" w:themeColor="text1" w:themeTint="BF"/>
          <w:sz w:val="24"/>
          <w:szCs w:val="24"/>
        </w:rPr>
      </w:pPr>
    </w:p>
    <w:p w14:paraId="36453491" w14:textId="77777777" w:rsidR="008A2BC5" w:rsidRDefault="008A2BC5" w:rsidP="001B0850">
      <w:pPr>
        <w:spacing w:line="360" w:lineRule="auto"/>
        <w:rPr>
          <w:b/>
          <w:color w:val="404040" w:themeColor="text1" w:themeTint="BF"/>
          <w:sz w:val="24"/>
          <w:szCs w:val="24"/>
        </w:rPr>
      </w:pPr>
    </w:p>
    <w:p w14:paraId="17FE7D17" w14:textId="77777777" w:rsidR="008A2BC5" w:rsidRDefault="008A2BC5" w:rsidP="001B0850">
      <w:pPr>
        <w:spacing w:line="360" w:lineRule="auto"/>
        <w:rPr>
          <w:b/>
          <w:color w:val="404040" w:themeColor="text1" w:themeTint="BF"/>
          <w:sz w:val="24"/>
          <w:szCs w:val="24"/>
        </w:rPr>
      </w:pPr>
    </w:p>
    <w:p w14:paraId="191189BD" w14:textId="77777777" w:rsidR="008A2BC5" w:rsidRDefault="008A2BC5" w:rsidP="001B0850">
      <w:pPr>
        <w:spacing w:line="360" w:lineRule="auto"/>
        <w:rPr>
          <w:b/>
          <w:color w:val="404040" w:themeColor="text1" w:themeTint="BF"/>
          <w:sz w:val="24"/>
          <w:szCs w:val="24"/>
        </w:rPr>
      </w:pPr>
    </w:p>
    <w:p w14:paraId="50DDDBD8" w14:textId="77777777" w:rsidR="008A2BC5" w:rsidRDefault="008A2BC5" w:rsidP="001B0850">
      <w:pPr>
        <w:spacing w:line="360" w:lineRule="auto"/>
        <w:rPr>
          <w:b/>
          <w:color w:val="404040" w:themeColor="text1" w:themeTint="BF"/>
          <w:sz w:val="24"/>
          <w:szCs w:val="24"/>
        </w:rPr>
      </w:pPr>
    </w:p>
    <w:p w14:paraId="6A47D28B" w14:textId="77777777" w:rsidR="008A2BC5" w:rsidRDefault="008A2BC5" w:rsidP="001B0850">
      <w:pPr>
        <w:spacing w:line="360" w:lineRule="auto"/>
        <w:rPr>
          <w:b/>
          <w:color w:val="404040" w:themeColor="text1" w:themeTint="BF"/>
          <w:sz w:val="24"/>
          <w:szCs w:val="24"/>
        </w:rPr>
      </w:pPr>
    </w:p>
    <w:p w14:paraId="60651FF8" w14:textId="25BF3760" w:rsidR="003A260A" w:rsidRPr="003A260A" w:rsidRDefault="003A260A" w:rsidP="001B0850">
      <w:pPr>
        <w:spacing w:before="120"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A260A">
        <w:rPr>
          <w:rFonts w:ascii="Arial" w:hAnsi="Arial" w:cs="Arial"/>
          <w:b/>
          <w:color w:val="404040" w:themeColor="text1" w:themeTint="BF"/>
          <w:sz w:val="24"/>
          <w:szCs w:val="24"/>
        </w:rPr>
        <w:t>Cuadro de autorización</w:t>
      </w:r>
      <w:r w:rsidR="001D7BC2">
        <w:rPr>
          <w:rFonts w:ascii="Arial" w:hAnsi="Arial" w:cs="Arial"/>
          <w:b/>
          <w:color w:val="404040" w:themeColor="text1" w:themeTint="BF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9"/>
        <w:gridCol w:w="2241"/>
        <w:gridCol w:w="2231"/>
        <w:gridCol w:w="2247"/>
      </w:tblGrid>
      <w:tr w:rsidR="001B0850" w:rsidRPr="003A260A" w14:paraId="7CF94620" w14:textId="77777777" w:rsidTr="008A2BC5">
        <w:trPr>
          <w:trHeight w:val="1135"/>
        </w:trPr>
        <w:tc>
          <w:tcPr>
            <w:tcW w:w="2259" w:type="dxa"/>
            <w:vMerge w:val="restart"/>
          </w:tcPr>
          <w:p w14:paraId="1EAF796B" w14:textId="77777777" w:rsidR="001D7BC2" w:rsidRDefault="001D7BC2" w:rsidP="001B0850">
            <w:pPr>
              <w:spacing w:before="120" w:line="36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4CD1C6DA" w14:textId="77777777" w:rsidR="001D7BC2" w:rsidRDefault="001D7BC2" w:rsidP="001B0850">
            <w:pPr>
              <w:spacing w:before="120" w:line="36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22886881" w14:textId="77777777" w:rsidR="003A260A" w:rsidRPr="003A260A" w:rsidRDefault="001708C1" w:rsidP="001B0850">
            <w:pPr>
              <w:spacing w:before="120" w:line="36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1B0850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26/01/2016</w:t>
            </w:r>
          </w:p>
        </w:tc>
        <w:tc>
          <w:tcPr>
            <w:tcW w:w="2241" w:type="dxa"/>
          </w:tcPr>
          <w:p w14:paraId="296F435F" w14:textId="77777777" w:rsidR="003A260A" w:rsidRDefault="003A260A" w:rsidP="001B0850">
            <w:pPr>
              <w:spacing w:before="120" w:line="36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3A260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Elaborado:</w:t>
            </w:r>
          </w:p>
          <w:p w14:paraId="2C78505B" w14:textId="77777777" w:rsidR="001D7BC2" w:rsidRDefault="001D7BC2" w:rsidP="001B0850">
            <w:pPr>
              <w:spacing w:before="120" w:line="36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661DD68E" w14:textId="77777777" w:rsidR="001D7BC2" w:rsidRPr="003A260A" w:rsidRDefault="001D7BC2" w:rsidP="001B0850">
            <w:pPr>
              <w:spacing w:before="120" w:line="36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1BD008C" w14:textId="77777777" w:rsidR="003A260A" w:rsidRPr="003A260A" w:rsidRDefault="003A260A" w:rsidP="001B0850">
            <w:pPr>
              <w:spacing w:before="120" w:line="36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3A260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Revisado:</w:t>
            </w:r>
          </w:p>
        </w:tc>
        <w:tc>
          <w:tcPr>
            <w:tcW w:w="2247" w:type="dxa"/>
          </w:tcPr>
          <w:p w14:paraId="6ACAB11B" w14:textId="77777777" w:rsidR="003A260A" w:rsidRPr="003A260A" w:rsidRDefault="003A260A" w:rsidP="001B0850">
            <w:pPr>
              <w:spacing w:before="120" w:line="36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3A260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Autorizado:</w:t>
            </w:r>
          </w:p>
        </w:tc>
      </w:tr>
      <w:tr w:rsidR="001B0850" w:rsidRPr="003A260A" w14:paraId="7D369D22" w14:textId="77777777" w:rsidTr="008A2BC5">
        <w:trPr>
          <w:trHeight w:val="68"/>
        </w:trPr>
        <w:tc>
          <w:tcPr>
            <w:tcW w:w="2259" w:type="dxa"/>
            <w:vMerge/>
          </w:tcPr>
          <w:p w14:paraId="02043A6E" w14:textId="77777777" w:rsidR="003A260A" w:rsidRPr="003A260A" w:rsidRDefault="003A260A" w:rsidP="001B0850">
            <w:pPr>
              <w:spacing w:before="120" w:line="360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7424ABA" w14:textId="77777777" w:rsidR="003A260A" w:rsidRPr="001B0850" w:rsidRDefault="003A260A" w:rsidP="001B0850">
            <w:pPr>
              <w:spacing w:before="120" w:line="360" w:lineRule="auto"/>
              <w:jc w:val="center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1B0850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>Pablo Flores</w:t>
            </w:r>
          </w:p>
          <w:p w14:paraId="4539A753" w14:textId="77777777" w:rsidR="003A260A" w:rsidRPr="003A260A" w:rsidRDefault="003A260A" w:rsidP="001B0850">
            <w:pPr>
              <w:spacing w:before="120" w:line="360" w:lineRule="auto"/>
              <w:jc w:val="center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1B0850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>Contador</w:t>
            </w:r>
          </w:p>
        </w:tc>
        <w:tc>
          <w:tcPr>
            <w:tcW w:w="2231" w:type="dxa"/>
          </w:tcPr>
          <w:p w14:paraId="4FD4FF55" w14:textId="77777777" w:rsidR="003A260A" w:rsidRPr="001B0850" w:rsidRDefault="008A2BC5" w:rsidP="001B0850">
            <w:pPr>
              <w:spacing w:before="120" w:line="360" w:lineRule="auto"/>
              <w:jc w:val="center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1B0850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>Ing. José</w:t>
            </w:r>
            <w:r w:rsidR="003A260A" w:rsidRPr="001B0850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 xml:space="preserve"> Miguel Platero</w:t>
            </w:r>
          </w:p>
          <w:p w14:paraId="39543419" w14:textId="77777777" w:rsidR="003A260A" w:rsidRPr="003A260A" w:rsidRDefault="003A260A" w:rsidP="001B0850">
            <w:pPr>
              <w:spacing w:before="120" w:line="360" w:lineRule="auto"/>
              <w:jc w:val="center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1B0850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>Jefe UFIA</w:t>
            </w:r>
          </w:p>
        </w:tc>
        <w:tc>
          <w:tcPr>
            <w:tcW w:w="2247" w:type="dxa"/>
          </w:tcPr>
          <w:p w14:paraId="6E5F8336" w14:textId="77777777" w:rsidR="001708C1" w:rsidRPr="001B0850" w:rsidRDefault="008A2BC5" w:rsidP="001B0850">
            <w:pPr>
              <w:spacing w:before="120" w:line="360" w:lineRule="auto"/>
              <w:jc w:val="center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1B0850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>Arq. Yolanda</w:t>
            </w:r>
            <w:r w:rsidR="001708C1" w:rsidRPr="001B0850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 xml:space="preserve"> Bichara</w:t>
            </w:r>
          </w:p>
          <w:p w14:paraId="6139B08B" w14:textId="77777777" w:rsidR="003A260A" w:rsidRPr="003A260A" w:rsidRDefault="003A260A" w:rsidP="001B0850">
            <w:pPr>
              <w:spacing w:before="120" w:line="360" w:lineRule="auto"/>
              <w:jc w:val="center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3A260A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 xml:space="preserve">Directora Ejecutiva </w:t>
            </w:r>
          </w:p>
        </w:tc>
      </w:tr>
    </w:tbl>
    <w:p w14:paraId="33371CFC" w14:textId="77777777" w:rsidR="00C20D06" w:rsidRPr="001B0850" w:rsidRDefault="00C20D06" w:rsidP="001B0850">
      <w:pPr>
        <w:spacing w:line="360" w:lineRule="auto"/>
        <w:jc w:val="both"/>
        <w:rPr>
          <w:b/>
          <w:color w:val="404040" w:themeColor="text1" w:themeTint="BF"/>
          <w:sz w:val="24"/>
          <w:szCs w:val="24"/>
        </w:rPr>
      </w:pPr>
    </w:p>
    <w:sectPr w:rsidR="00C20D06" w:rsidRPr="001B0850" w:rsidSect="001B0850"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1AA82" w14:textId="77777777" w:rsidR="001327A2" w:rsidRDefault="001327A2" w:rsidP="002A751B">
      <w:pPr>
        <w:spacing w:after="0" w:line="240" w:lineRule="auto"/>
      </w:pPr>
      <w:r>
        <w:separator/>
      </w:r>
    </w:p>
  </w:endnote>
  <w:endnote w:type="continuationSeparator" w:id="0">
    <w:p w14:paraId="7F67F803" w14:textId="77777777" w:rsidR="001327A2" w:rsidRDefault="001327A2" w:rsidP="002A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297909"/>
      <w:docPartObj>
        <w:docPartGallery w:val="Page Numbers (Bottom of Page)"/>
        <w:docPartUnique/>
      </w:docPartObj>
    </w:sdtPr>
    <w:sdtEndPr/>
    <w:sdtContent>
      <w:p w14:paraId="704221BE" w14:textId="77777777" w:rsidR="00740185" w:rsidRDefault="007401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62D" w:rsidRPr="009F062D">
          <w:rPr>
            <w:noProof/>
            <w:lang w:val="es-ES"/>
          </w:rPr>
          <w:t>3</w:t>
        </w:r>
        <w:r>
          <w:fldChar w:fldCharType="end"/>
        </w:r>
      </w:p>
    </w:sdtContent>
  </w:sdt>
  <w:p w14:paraId="34156764" w14:textId="77777777" w:rsidR="00740185" w:rsidRDefault="007401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BB4BE" w14:textId="77777777" w:rsidR="001327A2" w:rsidRDefault="001327A2" w:rsidP="002A751B">
      <w:pPr>
        <w:spacing w:after="0" w:line="240" w:lineRule="auto"/>
      </w:pPr>
      <w:r>
        <w:separator/>
      </w:r>
    </w:p>
  </w:footnote>
  <w:footnote w:type="continuationSeparator" w:id="0">
    <w:p w14:paraId="6D86D3D9" w14:textId="77777777" w:rsidR="001327A2" w:rsidRDefault="001327A2" w:rsidP="002A7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7F22"/>
    <w:multiLevelType w:val="hybridMultilevel"/>
    <w:tmpl w:val="FCE4842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6D7A"/>
    <w:multiLevelType w:val="hybridMultilevel"/>
    <w:tmpl w:val="6DF005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C81"/>
    <w:multiLevelType w:val="hybridMultilevel"/>
    <w:tmpl w:val="5A7CB5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C1F"/>
    <w:multiLevelType w:val="hybridMultilevel"/>
    <w:tmpl w:val="6B38D1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31D82"/>
    <w:multiLevelType w:val="hybridMultilevel"/>
    <w:tmpl w:val="61E64E6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F251E1"/>
    <w:multiLevelType w:val="hybridMultilevel"/>
    <w:tmpl w:val="E250B00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0F3A9B"/>
    <w:multiLevelType w:val="hybridMultilevel"/>
    <w:tmpl w:val="353800F8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20104A"/>
    <w:multiLevelType w:val="hybridMultilevel"/>
    <w:tmpl w:val="639837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23CA7"/>
    <w:multiLevelType w:val="hybridMultilevel"/>
    <w:tmpl w:val="574438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4F6"/>
    <w:multiLevelType w:val="hybridMultilevel"/>
    <w:tmpl w:val="AE629BFC"/>
    <w:lvl w:ilvl="0" w:tplc="440A000F">
      <w:start w:val="1"/>
      <w:numFmt w:val="decimal"/>
      <w:lvlText w:val="%1."/>
      <w:lvlJc w:val="left"/>
      <w:pPr>
        <w:ind w:left="580" w:hanging="360"/>
      </w:pPr>
    </w:lvl>
    <w:lvl w:ilvl="1" w:tplc="440A0019" w:tentative="1">
      <w:start w:val="1"/>
      <w:numFmt w:val="lowerLetter"/>
      <w:lvlText w:val="%2."/>
      <w:lvlJc w:val="left"/>
      <w:pPr>
        <w:ind w:left="1300" w:hanging="360"/>
      </w:pPr>
    </w:lvl>
    <w:lvl w:ilvl="2" w:tplc="440A001B" w:tentative="1">
      <w:start w:val="1"/>
      <w:numFmt w:val="lowerRoman"/>
      <w:lvlText w:val="%3."/>
      <w:lvlJc w:val="right"/>
      <w:pPr>
        <w:ind w:left="2020" w:hanging="180"/>
      </w:pPr>
    </w:lvl>
    <w:lvl w:ilvl="3" w:tplc="440A000F" w:tentative="1">
      <w:start w:val="1"/>
      <w:numFmt w:val="decimal"/>
      <w:lvlText w:val="%4."/>
      <w:lvlJc w:val="left"/>
      <w:pPr>
        <w:ind w:left="2740" w:hanging="360"/>
      </w:pPr>
    </w:lvl>
    <w:lvl w:ilvl="4" w:tplc="440A0019" w:tentative="1">
      <w:start w:val="1"/>
      <w:numFmt w:val="lowerLetter"/>
      <w:lvlText w:val="%5."/>
      <w:lvlJc w:val="left"/>
      <w:pPr>
        <w:ind w:left="3460" w:hanging="360"/>
      </w:pPr>
    </w:lvl>
    <w:lvl w:ilvl="5" w:tplc="440A001B" w:tentative="1">
      <w:start w:val="1"/>
      <w:numFmt w:val="lowerRoman"/>
      <w:lvlText w:val="%6."/>
      <w:lvlJc w:val="right"/>
      <w:pPr>
        <w:ind w:left="4180" w:hanging="180"/>
      </w:pPr>
    </w:lvl>
    <w:lvl w:ilvl="6" w:tplc="440A000F" w:tentative="1">
      <w:start w:val="1"/>
      <w:numFmt w:val="decimal"/>
      <w:lvlText w:val="%7."/>
      <w:lvlJc w:val="left"/>
      <w:pPr>
        <w:ind w:left="4900" w:hanging="360"/>
      </w:pPr>
    </w:lvl>
    <w:lvl w:ilvl="7" w:tplc="440A0019" w:tentative="1">
      <w:start w:val="1"/>
      <w:numFmt w:val="lowerLetter"/>
      <w:lvlText w:val="%8."/>
      <w:lvlJc w:val="left"/>
      <w:pPr>
        <w:ind w:left="5620" w:hanging="360"/>
      </w:pPr>
    </w:lvl>
    <w:lvl w:ilvl="8" w:tplc="44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6F987029"/>
    <w:multiLevelType w:val="hybridMultilevel"/>
    <w:tmpl w:val="6B40DC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08EE"/>
    <w:multiLevelType w:val="hybridMultilevel"/>
    <w:tmpl w:val="B0D203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26"/>
    <w:rsid w:val="00045DB6"/>
    <w:rsid w:val="0005408E"/>
    <w:rsid w:val="00057622"/>
    <w:rsid w:val="000627F8"/>
    <w:rsid w:val="00077A69"/>
    <w:rsid w:val="000B7AA8"/>
    <w:rsid w:val="0010253D"/>
    <w:rsid w:val="001144B9"/>
    <w:rsid w:val="00131FE4"/>
    <w:rsid w:val="001327A2"/>
    <w:rsid w:val="00153ED0"/>
    <w:rsid w:val="00165DBD"/>
    <w:rsid w:val="001708C1"/>
    <w:rsid w:val="00195AB7"/>
    <w:rsid w:val="001B0850"/>
    <w:rsid w:val="001B0BB1"/>
    <w:rsid w:val="001D3097"/>
    <w:rsid w:val="001D7BC2"/>
    <w:rsid w:val="00200DA1"/>
    <w:rsid w:val="00214D36"/>
    <w:rsid w:val="00216D51"/>
    <w:rsid w:val="00226786"/>
    <w:rsid w:val="00257737"/>
    <w:rsid w:val="00261F40"/>
    <w:rsid w:val="002A751B"/>
    <w:rsid w:val="002E1261"/>
    <w:rsid w:val="00334CB0"/>
    <w:rsid w:val="003527F2"/>
    <w:rsid w:val="003A260A"/>
    <w:rsid w:val="003A4737"/>
    <w:rsid w:val="003A690A"/>
    <w:rsid w:val="003E3493"/>
    <w:rsid w:val="003F1D95"/>
    <w:rsid w:val="003F1ED6"/>
    <w:rsid w:val="00447AA7"/>
    <w:rsid w:val="00457D84"/>
    <w:rsid w:val="00466B12"/>
    <w:rsid w:val="00497BC4"/>
    <w:rsid w:val="004A7CCB"/>
    <w:rsid w:val="005411BE"/>
    <w:rsid w:val="0055218B"/>
    <w:rsid w:val="00556A2F"/>
    <w:rsid w:val="00593BAC"/>
    <w:rsid w:val="005D7AB6"/>
    <w:rsid w:val="00687826"/>
    <w:rsid w:val="007246B6"/>
    <w:rsid w:val="00727046"/>
    <w:rsid w:val="00740185"/>
    <w:rsid w:val="00772DB7"/>
    <w:rsid w:val="007C0692"/>
    <w:rsid w:val="007D45E8"/>
    <w:rsid w:val="007E1CB5"/>
    <w:rsid w:val="007F0CFF"/>
    <w:rsid w:val="00853995"/>
    <w:rsid w:val="00853C0D"/>
    <w:rsid w:val="008A2BC5"/>
    <w:rsid w:val="008A340D"/>
    <w:rsid w:val="00926F90"/>
    <w:rsid w:val="009475F5"/>
    <w:rsid w:val="009A0687"/>
    <w:rsid w:val="009C093B"/>
    <w:rsid w:val="009E0486"/>
    <w:rsid w:val="009F062D"/>
    <w:rsid w:val="00A27387"/>
    <w:rsid w:val="00A536CF"/>
    <w:rsid w:val="00A95998"/>
    <w:rsid w:val="00AA61D7"/>
    <w:rsid w:val="00B65E60"/>
    <w:rsid w:val="00B67897"/>
    <w:rsid w:val="00BA6652"/>
    <w:rsid w:val="00BC61DA"/>
    <w:rsid w:val="00C20D06"/>
    <w:rsid w:val="00C45AA2"/>
    <w:rsid w:val="00C80430"/>
    <w:rsid w:val="00C9423D"/>
    <w:rsid w:val="00CC4FDB"/>
    <w:rsid w:val="00CD50B5"/>
    <w:rsid w:val="00D14C23"/>
    <w:rsid w:val="00D16499"/>
    <w:rsid w:val="00D655D7"/>
    <w:rsid w:val="00D96437"/>
    <w:rsid w:val="00DB5D9C"/>
    <w:rsid w:val="00DC4633"/>
    <w:rsid w:val="00DE1BA2"/>
    <w:rsid w:val="00DF7BE2"/>
    <w:rsid w:val="00E479CD"/>
    <w:rsid w:val="00E83CF7"/>
    <w:rsid w:val="00E90C2C"/>
    <w:rsid w:val="00EB228F"/>
    <w:rsid w:val="00F06AA4"/>
    <w:rsid w:val="00F144C3"/>
    <w:rsid w:val="00F15339"/>
    <w:rsid w:val="00F61C79"/>
    <w:rsid w:val="00F7184E"/>
    <w:rsid w:val="00F75FA2"/>
    <w:rsid w:val="00FC42D5"/>
    <w:rsid w:val="00FC4E98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E730"/>
  <w15:docId w15:val="{030BCBAB-2B4E-4B57-89A4-4370CF1D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7CCB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3527F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527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E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A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7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51B"/>
  </w:style>
  <w:style w:type="paragraph" w:styleId="Piedepgina">
    <w:name w:val="footer"/>
    <w:basedOn w:val="Normal"/>
    <w:link w:val="PiedepginaCar"/>
    <w:uiPriority w:val="99"/>
    <w:unhideWhenUsed/>
    <w:rsid w:val="002A7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51B"/>
  </w:style>
  <w:style w:type="character" w:styleId="Refdecomentario">
    <w:name w:val="annotation reference"/>
    <w:basedOn w:val="Fuentedeprrafopredeter"/>
    <w:uiPriority w:val="99"/>
    <w:semiHidden/>
    <w:unhideWhenUsed/>
    <w:rsid w:val="00F718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8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8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8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E5CE6-B8FE-44B9-B468-E07FFA77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3741</Words>
  <Characters>20576</Characters>
  <Application>Microsoft Office Word</Application>
  <DocSecurity>4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Flores</dc:creator>
  <cp:lastModifiedBy>Pedro Josué Cañenguez</cp:lastModifiedBy>
  <cp:revision>2</cp:revision>
  <cp:lastPrinted>2016-01-27T16:31:00Z</cp:lastPrinted>
  <dcterms:created xsi:type="dcterms:W3CDTF">2016-01-27T16:32:00Z</dcterms:created>
  <dcterms:modified xsi:type="dcterms:W3CDTF">2016-01-27T16:32:00Z</dcterms:modified>
</cp:coreProperties>
</file>