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272C2E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920DA0" w:rsidRPr="003A03CE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7954AB" w:rsidRDefault="00C741E0" w:rsidP="00AC2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sz w:val="20"/>
          <w:szCs w:val="18"/>
        </w:rPr>
        <w:t>San Salvador, a las</w:t>
      </w:r>
      <w:r w:rsidR="00D21EBD">
        <w:rPr>
          <w:rFonts w:ascii="Century Gothic" w:hAnsi="Century Gothic" w:cs="Arial"/>
          <w:sz w:val="20"/>
          <w:szCs w:val="18"/>
        </w:rPr>
        <w:t xml:space="preserve"> </w:t>
      </w:r>
      <w:r w:rsidR="007954AB">
        <w:rPr>
          <w:rFonts w:ascii="Century Gothic" w:hAnsi="Century Gothic" w:cs="Arial"/>
          <w:sz w:val="20"/>
          <w:szCs w:val="18"/>
        </w:rPr>
        <w:t>nueve</w:t>
      </w:r>
      <w:r w:rsidR="007C4082">
        <w:rPr>
          <w:rFonts w:ascii="Century Gothic" w:hAnsi="Century Gothic" w:cs="Arial"/>
          <w:sz w:val="20"/>
          <w:szCs w:val="18"/>
        </w:rPr>
        <w:t xml:space="preserve"> </w:t>
      </w:r>
      <w:r w:rsidR="007C4082" w:rsidRPr="00AC25AD">
        <w:rPr>
          <w:rFonts w:ascii="Century Gothic" w:hAnsi="Century Gothic" w:cs="Arial"/>
          <w:sz w:val="20"/>
          <w:szCs w:val="18"/>
        </w:rPr>
        <w:t>horas</w:t>
      </w:r>
      <w:r w:rsidR="00BF47BF" w:rsidRPr="00AC25AD">
        <w:rPr>
          <w:rFonts w:ascii="Century Gothic" w:hAnsi="Century Gothic" w:cs="Arial"/>
          <w:sz w:val="20"/>
          <w:szCs w:val="18"/>
        </w:rPr>
        <w:t xml:space="preserve"> </w:t>
      </w:r>
      <w:r w:rsidR="008C1431" w:rsidRPr="00AC25AD">
        <w:rPr>
          <w:rFonts w:ascii="Century Gothic" w:hAnsi="Century Gothic" w:cs="Arial"/>
          <w:sz w:val="20"/>
          <w:szCs w:val="18"/>
        </w:rPr>
        <w:t xml:space="preserve">con treinta </w:t>
      </w:r>
      <w:r w:rsidR="007954AB">
        <w:rPr>
          <w:rFonts w:ascii="Century Gothic" w:hAnsi="Century Gothic" w:cs="Arial"/>
          <w:sz w:val="20"/>
          <w:szCs w:val="18"/>
        </w:rPr>
        <w:t>y siete minutos</w:t>
      </w:r>
      <w:r w:rsidR="008C1431" w:rsidRPr="00AC25AD">
        <w:rPr>
          <w:rFonts w:ascii="Century Gothic" w:hAnsi="Century Gothic" w:cs="Arial"/>
          <w:sz w:val="20"/>
          <w:szCs w:val="18"/>
        </w:rPr>
        <w:t xml:space="preserve"> </w:t>
      </w:r>
      <w:r w:rsidR="003534C3">
        <w:rPr>
          <w:rFonts w:ascii="Century Gothic" w:hAnsi="Century Gothic" w:cs="Arial"/>
          <w:sz w:val="20"/>
          <w:szCs w:val="18"/>
        </w:rPr>
        <w:t xml:space="preserve">del día </w:t>
      </w:r>
      <w:r w:rsidR="007954AB">
        <w:rPr>
          <w:rFonts w:ascii="Century Gothic" w:hAnsi="Century Gothic" w:cs="Arial"/>
          <w:sz w:val="20"/>
          <w:szCs w:val="18"/>
        </w:rPr>
        <w:t>nueve</w:t>
      </w:r>
      <w:r w:rsidR="00D3255D" w:rsidRPr="00AC25AD">
        <w:rPr>
          <w:rFonts w:ascii="Century Gothic" w:hAnsi="Century Gothic" w:cs="Arial"/>
          <w:sz w:val="20"/>
          <w:szCs w:val="18"/>
        </w:rPr>
        <w:t xml:space="preserve"> de </w:t>
      </w:r>
      <w:r w:rsidR="007954AB">
        <w:rPr>
          <w:rFonts w:ascii="Century Gothic" w:hAnsi="Century Gothic" w:cs="Arial"/>
          <w:sz w:val="20"/>
          <w:szCs w:val="18"/>
        </w:rPr>
        <w:t>dici</w:t>
      </w:r>
      <w:r w:rsidR="00D21EBD">
        <w:rPr>
          <w:rFonts w:ascii="Century Gothic" w:hAnsi="Century Gothic" w:cs="Arial"/>
          <w:sz w:val="20"/>
          <w:szCs w:val="18"/>
        </w:rPr>
        <w:t>embre</w:t>
      </w:r>
      <w:r w:rsidRPr="00AC25AD">
        <w:rPr>
          <w:rFonts w:ascii="Century Gothic" w:hAnsi="Century Gothic" w:cs="Arial"/>
          <w:sz w:val="20"/>
          <w:szCs w:val="18"/>
        </w:rPr>
        <w:t xml:space="preserve"> de dos mil dieciséis, la Oficina de Planificación del Área Metropolitana de San Salvador, luego de haber recibido </w:t>
      </w:r>
      <w:r w:rsidR="007954AB">
        <w:rPr>
          <w:rFonts w:ascii="Century Gothic" w:hAnsi="Century Gothic" w:cs="Arial"/>
          <w:sz w:val="20"/>
          <w:szCs w:val="18"/>
        </w:rPr>
        <w:t xml:space="preserve">de forma electrónica </w:t>
      </w:r>
      <w:r w:rsidRPr="00AC25AD">
        <w:rPr>
          <w:rFonts w:ascii="Century Gothic" w:hAnsi="Century Gothic" w:cs="Arial"/>
          <w:sz w:val="20"/>
          <w:szCs w:val="18"/>
        </w:rPr>
        <w:t xml:space="preserve">y admitido la solicitud de información </w:t>
      </w:r>
      <w:r w:rsidRPr="00AC25AD">
        <w:rPr>
          <w:rFonts w:ascii="Century Gothic" w:hAnsi="Century Gothic" w:cs="Arial"/>
          <w:b/>
          <w:sz w:val="20"/>
          <w:szCs w:val="18"/>
        </w:rPr>
        <w:t>UAIPT No. 0</w:t>
      </w:r>
      <w:r w:rsidR="007954AB">
        <w:rPr>
          <w:rFonts w:ascii="Century Gothic" w:hAnsi="Century Gothic" w:cs="Arial"/>
          <w:b/>
          <w:sz w:val="20"/>
          <w:szCs w:val="18"/>
        </w:rPr>
        <w:t>106</w:t>
      </w:r>
      <w:r w:rsidRPr="00AC25AD">
        <w:rPr>
          <w:rFonts w:ascii="Century Gothic" w:hAnsi="Century Gothic" w:cs="Arial"/>
          <w:b/>
          <w:sz w:val="20"/>
          <w:szCs w:val="18"/>
        </w:rPr>
        <w:t>-2016</w:t>
      </w:r>
      <w:r w:rsidRPr="00AC25AD">
        <w:rPr>
          <w:rFonts w:ascii="Century Gothic" w:hAnsi="Century Gothic" w:cs="Arial"/>
          <w:sz w:val="20"/>
          <w:szCs w:val="18"/>
        </w:rPr>
        <w:t xml:space="preserve"> presentada el pasado </w:t>
      </w:r>
      <w:r w:rsidR="007954AB">
        <w:rPr>
          <w:rFonts w:ascii="Century Gothic" w:hAnsi="Century Gothic" w:cs="Arial"/>
          <w:sz w:val="20"/>
          <w:szCs w:val="18"/>
        </w:rPr>
        <w:t>veintinueve</w:t>
      </w:r>
      <w:r w:rsidR="001A4004" w:rsidRPr="00AC25AD">
        <w:rPr>
          <w:rFonts w:ascii="Century Gothic" w:hAnsi="Century Gothic" w:cs="Arial"/>
          <w:sz w:val="20"/>
          <w:szCs w:val="18"/>
        </w:rPr>
        <w:t xml:space="preserve"> </w:t>
      </w:r>
      <w:r w:rsidRPr="00AC25AD">
        <w:rPr>
          <w:rFonts w:ascii="Century Gothic" w:hAnsi="Century Gothic" w:cs="Arial"/>
          <w:sz w:val="20"/>
          <w:szCs w:val="18"/>
        </w:rPr>
        <w:t xml:space="preserve">de </w:t>
      </w:r>
      <w:r w:rsidR="00D21EBD">
        <w:rPr>
          <w:rFonts w:ascii="Century Gothic" w:hAnsi="Century Gothic" w:cs="Arial"/>
          <w:sz w:val="20"/>
          <w:szCs w:val="18"/>
        </w:rPr>
        <w:t>noviembre</w:t>
      </w:r>
      <w:r w:rsidRPr="00AC25AD">
        <w:rPr>
          <w:rFonts w:ascii="Century Gothic" w:hAnsi="Century Gothic" w:cs="Arial"/>
          <w:sz w:val="20"/>
          <w:szCs w:val="18"/>
        </w:rPr>
        <w:t>,</w:t>
      </w:r>
      <w:r w:rsidR="00081C62" w:rsidRPr="00AC25AD">
        <w:rPr>
          <w:rFonts w:ascii="Century Gothic" w:hAnsi="Century Gothic" w:cs="Arial"/>
          <w:sz w:val="20"/>
          <w:szCs w:val="18"/>
        </w:rPr>
        <w:t xml:space="preserve"> por parte de</w:t>
      </w:r>
      <w:r w:rsidR="00185B21">
        <w:rPr>
          <w:rFonts w:ascii="Century Gothic" w:hAnsi="Century Gothic" w:cs="Arial"/>
          <w:sz w:val="20"/>
          <w:szCs w:val="18"/>
        </w:rPr>
        <w:t xml:space="preserve"> la </w:t>
      </w:r>
      <w:r w:rsidR="007B4284">
        <w:rPr>
          <w:rFonts w:ascii="Century Gothic" w:hAnsi="Century Gothic" w:cs="Arial"/>
          <w:b/>
          <w:sz w:val="20"/>
          <w:szCs w:val="18"/>
        </w:rPr>
        <w:t>___</w:t>
      </w:r>
      <w:bookmarkStart w:id="0" w:name="_GoBack"/>
      <w:bookmarkEnd w:id="0"/>
      <w:r w:rsidR="003C4A24">
        <w:rPr>
          <w:rFonts w:ascii="Century Gothic" w:hAnsi="Century Gothic" w:cs="Arial"/>
          <w:b/>
          <w:sz w:val="20"/>
          <w:szCs w:val="18"/>
        </w:rPr>
        <w:t>_________________________</w:t>
      </w:r>
      <w:r w:rsidR="00081C62" w:rsidRPr="00AC25AD">
        <w:rPr>
          <w:rFonts w:ascii="Century Gothic" w:hAnsi="Century Gothic" w:cs="Arial"/>
          <w:sz w:val="20"/>
          <w:szCs w:val="18"/>
        </w:rPr>
        <w:t xml:space="preserve">, </w:t>
      </w:r>
      <w:r w:rsidRPr="00AC25AD">
        <w:rPr>
          <w:rFonts w:ascii="Century Gothic" w:hAnsi="Century Gothic" w:cs="Arial"/>
          <w:sz w:val="20"/>
          <w:szCs w:val="18"/>
        </w:rPr>
        <w:t>en la cual</w:t>
      </w:r>
      <w:r w:rsidR="001E7C3D" w:rsidRPr="00AC25AD">
        <w:rPr>
          <w:rFonts w:ascii="Century Gothic" w:hAnsi="Century Gothic" w:cs="Arial"/>
          <w:sz w:val="20"/>
          <w:szCs w:val="18"/>
        </w:rPr>
        <w:t xml:space="preserve"> solicita</w:t>
      </w:r>
      <w:r w:rsidR="00954AB9" w:rsidRPr="00AC25AD">
        <w:rPr>
          <w:rFonts w:ascii="Century Gothic" w:hAnsi="Century Gothic" w:cs="Arial"/>
          <w:sz w:val="20"/>
          <w:szCs w:val="18"/>
        </w:rPr>
        <w:t xml:space="preserve"> </w:t>
      </w:r>
      <w:r w:rsidR="00D21EBD">
        <w:rPr>
          <w:rFonts w:ascii="Century Gothic" w:hAnsi="Century Gothic" w:cs="Arial"/>
          <w:sz w:val="20"/>
          <w:szCs w:val="18"/>
        </w:rPr>
        <w:t xml:space="preserve">en formato </w:t>
      </w:r>
      <w:r w:rsidR="007954AB">
        <w:rPr>
          <w:rFonts w:ascii="Century Gothic" w:hAnsi="Century Gothic" w:cs="Arial"/>
          <w:sz w:val="20"/>
          <w:szCs w:val="18"/>
        </w:rPr>
        <w:t>electrónico</w:t>
      </w:r>
      <w:r w:rsidR="00D21EBD">
        <w:rPr>
          <w:rFonts w:ascii="Century Gothic" w:hAnsi="Century Gothic" w:cs="Arial"/>
          <w:sz w:val="20"/>
          <w:szCs w:val="18"/>
        </w:rPr>
        <w:t xml:space="preserve"> </w:t>
      </w:r>
      <w:r w:rsidR="00954AB9" w:rsidRPr="00AC25AD">
        <w:rPr>
          <w:rFonts w:ascii="Century Gothic" w:hAnsi="Century Gothic" w:cs="Arial"/>
          <w:sz w:val="20"/>
          <w:szCs w:val="18"/>
        </w:rPr>
        <w:t>la siguiente información:</w:t>
      </w:r>
      <w:r w:rsidR="007954AB">
        <w:rPr>
          <w:rFonts w:ascii="Century Gothic" w:hAnsi="Century Gothic" w:cs="Arial"/>
          <w:sz w:val="20"/>
          <w:szCs w:val="18"/>
        </w:rPr>
        <w:t xml:space="preserve"> </w:t>
      </w:r>
      <w:r w:rsidR="007954AB" w:rsidRPr="007954AB">
        <w:rPr>
          <w:rFonts w:ascii="Century Gothic" w:hAnsi="Century Gothic" w:cs="Arial"/>
          <w:sz w:val="20"/>
          <w:szCs w:val="18"/>
        </w:rPr>
        <w:t>datos estadísticos con respecto a la cantidad de residuos sólidos depositados en los rellenos sanitarios de cinco municipios del área metropolitana de San Salvador durante los años: 2013, 2015 y 2016; los municipios son: Cuscatancingo, San Salvador, Apopa, Ayutuxtepeque y Mejicanos.</w:t>
      </w:r>
    </w:p>
    <w:p w:rsidR="007954AB" w:rsidRPr="007954AB" w:rsidRDefault="007954AB" w:rsidP="00AC2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</w:p>
    <w:p w:rsidR="00C741E0" w:rsidRPr="00AC25AD" w:rsidRDefault="00AC25AD" w:rsidP="00AC2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b/>
          <w:sz w:val="20"/>
          <w:szCs w:val="18"/>
        </w:rPr>
        <w:t>L</w:t>
      </w:r>
      <w:r w:rsidR="00C741E0" w:rsidRPr="00AC25AD">
        <w:rPr>
          <w:rFonts w:ascii="Century Gothic" w:hAnsi="Century Gothic" w:cs="Arial"/>
          <w:b/>
          <w:sz w:val="20"/>
          <w:szCs w:val="18"/>
        </w:rPr>
        <w:t>a infrascrita Oficial de Información hace las siguientes consideraciones:</w:t>
      </w:r>
    </w:p>
    <w:p w:rsidR="00967F95" w:rsidRDefault="007954AB" w:rsidP="00F30F28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Fue </w:t>
      </w:r>
      <w:r w:rsidR="00D21EBD">
        <w:rPr>
          <w:rFonts w:ascii="Century Gothic" w:hAnsi="Century Gothic" w:cs="Arial"/>
          <w:sz w:val="20"/>
          <w:szCs w:val="20"/>
        </w:rPr>
        <w:t>gestion</w:t>
      </w:r>
      <w:r w:rsidR="008D3259" w:rsidRPr="00E10A94">
        <w:rPr>
          <w:rFonts w:ascii="Century Gothic" w:hAnsi="Century Gothic" w:cs="Arial"/>
          <w:sz w:val="20"/>
          <w:szCs w:val="20"/>
        </w:rPr>
        <w:t xml:space="preserve">ado </w:t>
      </w:r>
      <w:r w:rsidR="00F30F28">
        <w:rPr>
          <w:rFonts w:ascii="Century Gothic" w:hAnsi="Century Gothic" w:cs="Arial"/>
          <w:sz w:val="20"/>
          <w:szCs w:val="20"/>
        </w:rPr>
        <w:t>e</w:t>
      </w:r>
      <w:r w:rsidR="008D3259" w:rsidRPr="00E10A94">
        <w:rPr>
          <w:rFonts w:ascii="Century Gothic" w:hAnsi="Century Gothic" w:cs="Arial"/>
          <w:sz w:val="20"/>
          <w:szCs w:val="20"/>
        </w:rPr>
        <w:t>l</w:t>
      </w:r>
      <w:r w:rsidR="00F30F28">
        <w:rPr>
          <w:rFonts w:ascii="Century Gothic" w:hAnsi="Century Gothic" w:cs="Arial"/>
          <w:sz w:val="20"/>
          <w:szCs w:val="20"/>
        </w:rPr>
        <w:t xml:space="preserve"> requerimiento</w:t>
      </w:r>
      <w:r w:rsidR="003A78A1" w:rsidRPr="00E10A94">
        <w:rPr>
          <w:rFonts w:ascii="Century Gothic" w:hAnsi="Century Gothic" w:cs="Arial"/>
          <w:sz w:val="20"/>
          <w:szCs w:val="20"/>
        </w:rPr>
        <w:t xml:space="preserve"> </w:t>
      </w:r>
      <w:r w:rsidR="008D3259" w:rsidRPr="00E10A94">
        <w:rPr>
          <w:rFonts w:ascii="Century Gothic" w:hAnsi="Century Gothic" w:cs="Arial"/>
          <w:sz w:val="20"/>
          <w:szCs w:val="20"/>
        </w:rPr>
        <w:t xml:space="preserve">a la Subdirección </w:t>
      </w:r>
      <w:r w:rsidR="00F30F28" w:rsidRPr="00F30F28">
        <w:rPr>
          <w:rFonts w:ascii="Century Gothic" w:hAnsi="Century Gothic" w:cs="Arial"/>
          <w:sz w:val="20"/>
          <w:szCs w:val="20"/>
        </w:rPr>
        <w:t>de Desarrollo Social y Económico</w:t>
      </w:r>
      <w:r w:rsidR="00D21EBD">
        <w:rPr>
          <w:rFonts w:ascii="Century Gothic" w:hAnsi="Century Gothic" w:cs="Arial"/>
          <w:sz w:val="20"/>
          <w:szCs w:val="20"/>
        </w:rPr>
        <w:t>,</w:t>
      </w:r>
      <w:r w:rsidR="008D3259" w:rsidRPr="00FA2804">
        <w:rPr>
          <w:rFonts w:ascii="Century Gothic" w:hAnsi="Century Gothic" w:cs="Arial"/>
          <w:sz w:val="20"/>
          <w:szCs w:val="20"/>
        </w:rPr>
        <w:t xml:space="preserve"> el mismo día de presentarse la solicitud, sobre la información referida, recibiéndose respuesta </w:t>
      </w:r>
      <w:r w:rsidR="00D21EBD">
        <w:rPr>
          <w:rFonts w:ascii="Century Gothic" w:hAnsi="Century Gothic" w:cs="Arial"/>
          <w:sz w:val="20"/>
          <w:szCs w:val="20"/>
        </w:rPr>
        <w:t xml:space="preserve">por parte de la </w:t>
      </w:r>
      <w:r w:rsidR="00F30F28" w:rsidRPr="00F30F28">
        <w:rPr>
          <w:rFonts w:ascii="Century Gothic" w:hAnsi="Century Gothic" w:cs="Arial"/>
          <w:sz w:val="20"/>
          <w:szCs w:val="20"/>
        </w:rPr>
        <w:t xml:space="preserve">Jefatura </w:t>
      </w:r>
      <w:r w:rsidR="00F30F28">
        <w:rPr>
          <w:rFonts w:ascii="Century Gothic" w:hAnsi="Century Gothic" w:cs="Arial"/>
          <w:sz w:val="20"/>
          <w:szCs w:val="20"/>
        </w:rPr>
        <w:t xml:space="preserve">de la </w:t>
      </w:r>
      <w:r w:rsidR="00F30F28" w:rsidRPr="00F30F28">
        <w:rPr>
          <w:rFonts w:ascii="Century Gothic" w:hAnsi="Century Gothic" w:cs="Arial"/>
          <w:sz w:val="20"/>
          <w:szCs w:val="20"/>
        </w:rPr>
        <w:t>U</w:t>
      </w:r>
      <w:r w:rsidR="00F30F28">
        <w:rPr>
          <w:rFonts w:ascii="Century Gothic" w:hAnsi="Century Gothic" w:cs="Arial"/>
          <w:sz w:val="20"/>
          <w:szCs w:val="20"/>
        </w:rPr>
        <w:t xml:space="preserve">nidad de Residuos </w:t>
      </w:r>
      <w:r w:rsidR="00F30F28" w:rsidRPr="00F30F28">
        <w:rPr>
          <w:rFonts w:ascii="Century Gothic" w:hAnsi="Century Gothic" w:cs="Arial"/>
          <w:sz w:val="20"/>
          <w:szCs w:val="20"/>
        </w:rPr>
        <w:t>S</w:t>
      </w:r>
      <w:r w:rsidR="00F30F28">
        <w:rPr>
          <w:rFonts w:ascii="Century Gothic" w:hAnsi="Century Gothic" w:cs="Arial"/>
          <w:sz w:val="20"/>
          <w:szCs w:val="20"/>
        </w:rPr>
        <w:t>ólidos</w:t>
      </w:r>
      <w:r w:rsidR="00D21EBD">
        <w:rPr>
          <w:rFonts w:ascii="Century Gothic" w:hAnsi="Century Gothic" w:cs="Arial"/>
          <w:sz w:val="20"/>
          <w:szCs w:val="20"/>
        </w:rPr>
        <w:t xml:space="preserve">, informando </w:t>
      </w:r>
      <w:r w:rsidR="00F30F28">
        <w:rPr>
          <w:rFonts w:ascii="Century Gothic" w:hAnsi="Century Gothic" w:cs="Arial"/>
          <w:sz w:val="20"/>
          <w:szCs w:val="20"/>
        </w:rPr>
        <w:t>la</w:t>
      </w:r>
      <w:r w:rsidR="009A72E4">
        <w:rPr>
          <w:rFonts w:ascii="Century Gothic" w:hAnsi="Century Gothic" w:cs="Arial"/>
          <w:sz w:val="20"/>
          <w:szCs w:val="20"/>
        </w:rPr>
        <w:t xml:space="preserve"> entrega</w:t>
      </w:r>
      <w:r w:rsidR="00F30F28">
        <w:rPr>
          <w:rFonts w:ascii="Century Gothic" w:hAnsi="Century Gothic" w:cs="Arial"/>
          <w:sz w:val="20"/>
          <w:szCs w:val="20"/>
        </w:rPr>
        <w:t xml:space="preserve"> de la información en el formato solicitado. </w:t>
      </w:r>
      <w:r w:rsidR="00254BF6">
        <w:rPr>
          <w:rFonts w:ascii="Century Gothic" w:hAnsi="Century Gothic" w:cs="Arial"/>
          <w:sz w:val="20"/>
          <w:szCs w:val="20"/>
        </w:rPr>
        <w:t xml:space="preserve"> </w:t>
      </w:r>
    </w:p>
    <w:p w:rsidR="00024B52" w:rsidRDefault="00C741E0" w:rsidP="003D4659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b/>
          <w:sz w:val="20"/>
          <w:szCs w:val="18"/>
        </w:rPr>
        <w:t>POR TANTO</w:t>
      </w:r>
      <w:r w:rsidRPr="00AC25AD">
        <w:rPr>
          <w:rFonts w:ascii="Century Gothic" w:hAnsi="Century Gothic" w:cs="Arial"/>
          <w:sz w:val="20"/>
          <w:szCs w:val="18"/>
        </w:rPr>
        <w:t>, de conformidad a los artículos 62, 65, 66, 69, 70, 71</w:t>
      </w:r>
      <w:r w:rsidR="004E6062" w:rsidRPr="00AC25AD">
        <w:rPr>
          <w:rFonts w:ascii="Century Gothic" w:hAnsi="Century Gothic" w:cs="Arial"/>
          <w:sz w:val="20"/>
          <w:szCs w:val="18"/>
        </w:rPr>
        <w:t xml:space="preserve"> y 72</w:t>
      </w:r>
      <w:r w:rsidRPr="00AC25AD">
        <w:rPr>
          <w:rFonts w:ascii="Century Gothic" w:hAnsi="Century Gothic" w:cs="Arial"/>
          <w:sz w:val="20"/>
          <w:szCs w:val="18"/>
        </w:rPr>
        <w:t xml:space="preserve"> de la Ley de Ac</w:t>
      </w:r>
      <w:r w:rsidR="006E25DB" w:rsidRPr="00AC25AD">
        <w:rPr>
          <w:rFonts w:ascii="Century Gothic" w:hAnsi="Century Gothic" w:cs="Arial"/>
          <w:sz w:val="20"/>
          <w:szCs w:val="18"/>
        </w:rPr>
        <w:t xml:space="preserve">ceso a la Información Pública, </w:t>
      </w:r>
      <w:r w:rsidRPr="00AC25AD">
        <w:rPr>
          <w:rFonts w:ascii="Century Gothic" w:hAnsi="Century Gothic" w:cs="Arial"/>
          <w:sz w:val="20"/>
          <w:szCs w:val="18"/>
        </w:rPr>
        <w:t>l</w:t>
      </w:r>
      <w:r w:rsidR="006E25DB" w:rsidRPr="00AC25AD">
        <w:rPr>
          <w:rFonts w:ascii="Century Gothic" w:hAnsi="Century Gothic" w:cs="Arial"/>
          <w:sz w:val="20"/>
          <w:szCs w:val="18"/>
        </w:rPr>
        <w:t>a</w:t>
      </w:r>
      <w:r w:rsidRPr="00AC25AD">
        <w:rPr>
          <w:rFonts w:ascii="Century Gothic" w:hAnsi="Century Gothic" w:cs="Arial"/>
          <w:sz w:val="20"/>
          <w:szCs w:val="18"/>
        </w:rPr>
        <w:t xml:space="preserve"> suscrit</w:t>
      </w:r>
      <w:r w:rsidR="006E25DB" w:rsidRPr="00AC25AD">
        <w:rPr>
          <w:rFonts w:ascii="Century Gothic" w:hAnsi="Century Gothic" w:cs="Arial"/>
          <w:sz w:val="20"/>
          <w:szCs w:val="18"/>
        </w:rPr>
        <w:t>a</w:t>
      </w:r>
      <w:r w:rsidRPr="00AC25AD">
        <w:rPr>
          <w:rFonts w:ascii="Century Gothic" w:hAnsi="Century Gothic" w:cs="Arial"/>
          <w:sz w:val="20"/>
          <w:szCs w:val="18"/>
        </w:rPr>
        <w:t xml:space="preserve"> Oficial de Información </w:t>
      </w:r>
      <w:r w:rsidRPr="00AC25AD">
        <w:rPr>
          <w:rFonts w:ascii="Century Gothic" w:hAnsi="Century Gothic" w:cs="Arial"/>
          <w:b/>
          <w:sz w:val="20"/>
          <w:szCs w:val="18"/>
        </w:rPr>
        <w:t>RESUELVE</w:t>
      </w:r>
      <w:r w:rsidRPr="00AC25AD">
        <w:rPr>
          <w:rFonts w:ascii="Century Gothic" w:hAnsi="Century Gothic" w:cs="Arial"/>
          <w:sz w:val="20"/>
          <w:szCs w:val="18"/>
        </w:rPr>
        <w:t>:</w:t>
      </w:r>
    </w:p>
    <w:p w:rsidR="003A78A1" w:rsidRPr="003D4659" w:rsidRDefault="003A78A1" w:rsidP="003D4659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</w:p>
    <w:p w:rsidR="00D05CA6" w:rsidRDefault="007F50CD" w:rsidP="00692C3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eastAsia="Calibri" w:hAnsi="Century Gothic" w:cs="Arial"/>
          <w:sz w:val="20"/>
          <w:szCs w:val="18"/>
        </w:rPr>
      </w:pPr>
      <w:r w:rsidRPr="00692C3E">
        <w:rPr>
          <w:rFonts w:ascii="Century Gothic" w:eastAsia="Calibri" w:hAnsi="Century Gothic" w:cs="Arial"/>
          <w:b/>
          <w:sz w:val="20"/>
          <w:szCs w:val="18"/>
        </w:rPr>
        <w:t>ENTREGAR</w:t>
      </w:r>
      <w:r w:rsidRPr="00692C3E">
        <w:rPr>
          <w:rFonts w:ascii="Century Gothic" w:eastAsia="Calibri" w:hAnsi="Century Gothic" w:cs="Arial"/>
          <w:sz w:val="20"/>
          <w:szCs w:val="18"/>
        </w:rPr>
        <w:t xml:space="preserve"> </w:t>
      </w:r>
      <w:r w:rsidR="00D05CA6">
        <w:rPr>
          <w:rFonts w:ascii="Century Gothic" w:eastAsia="Calibri" w:hAnsi="Century Gothic" w:cs="Arial"/>
          <w:sz w:val="20"/>
          <w:szCs w:val="18"/>
        </w:rPr>
        <w:t xml:space="preserve">la </w:t>
      </w:r>
      <w:r w:rsidRPr="00692C3E">
        <w:rPr>
          <w:rFonts w:ascii="Century Gothic" w:eastAsia="Calibri" w:hAnsi="Century Gothic" w:cs="Arial"/>
          <w:sz w:val="20"/>
          <w:szCs w:val="18"/>
        </w:rPr>
        <w:t>información solicitada por</w:t>
      </w:r>
      <w:r w:rsidRPr="00692C3E">
        <w:rPr>
          <w:rFonts w:ascii="Century Gothic" w:hAnsi="Century Gothic" w:cs="Arial"/>
          <w:sz w:val="20"/>
          <w:szCs w:val="18"/>
        </w:rPr>
        <w:t xml:space="preserve"> la </w:t>
      </w:r>
      <w:r w:rsidR="007B4284">
        <w:rPr>
          <w:rFonts w:ascii="Century Gothic" w:hAnsi="Century Gothic" w:cs="Arial"/>
          <w:b/>
          <w:sz w:val="20"/>
          <w:szCs w:val="18"/>
        </w:rPr>
        <w:t>____</w:t>
      </w:r>
      <w:r w:rsidR="003C4A24">
        <w:rPr>
          <w:rFonts w:ascii="Century Gothic" w:hAnsi="Century Gothic" w:cs="Arial"/>
          <w:b/>
          <w:sz w:val="20"/>
          <w:szCs w:val="18"/>
        </w:rPr>
        <w:t>____________</w:t>
      </w:r>
      <w:r w:rsidR="00692C3E" w:rsidRPr="00692C3E">
        <w:rPr>
          <w:rFonts w:ascii="Century Gothic" w:eastAsia="Calibri" w:hAnsi="Century Gothic" w:cs="Arial"/>
          <w:sz w:val="20"/>
          <w:szCs w:val="18"/>
        </w:rPr>
        <w:t xml:space="preserve">, </w:t>
      </w:r>
      <w:r w:rsidR="00D05CA6">
        <w:rPr>
          <w:rFonts w:ascii="Century Gothic" w:eastAsia="Calibri" w:hAnsi="Century Gothic" w:cs="Arial"/>
          <w:sz w:val="20"/>
          <w:szCs w:val="18"/>
        </w:rPr>
        <w:t>en el formato requerido.</w:t>
      </w:r>
    </w:p>
    <w:p w:rsidR="00692C3E" w:rsidRPr="00692C3E" w:rsidRDefault="00692C3E" w:rsidP="00692C3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eastAsiaTheme="minorHAnsi" w:hAnsi="Century Gothic" w:cs="Arial"/>
          <w:sz w:val="20"/>
          <w:lang w:val="es-ES"/>
        </w:rPr>
      </w:pPr>
      <w:r w:rsidRPr="00692C3E">
        <w:rPr>
          <w:rFonts w:ascii="Century Gothic" w:eastAsia="Calibri" w:hAnsi="Century Gothic" w:cs="Arial"/>
          <w:sz w:val="20"/>
          <w:szCs w:val="18"/>
        </w:rPr>
        <w:t xml:space="preserve"> </w:t>
      </w:r>
    </w:p>
    <w:p w:rsidR="009A72E4" w:rsidRPr="009A72E4" w:rsidRDefault="009A72E4" w:rsidP="009A72E4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Arial"/>
          <w:sz w:val="20"/>
        </w:rPr>
      </w:pPr>
    </w:p>
    <w:p w:rsidR="00C741E0" w:rsidRPr="00AC25A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sz w:val="20"/>
          <w:szCs w:val="18"/>
        </w:rPr>
        <w:t>Notifíquese a</w:t>
      </w:r>
      <w:r w:rsidR="00D05CA6">
        <w:rPr>
          <w:rFonts w:ascii="Century Gothic" w:hAnsi="Century Gothic" w:cs="Arial"/>
          <w:sz w:val="20"/>
          <w:szCs w:val="18"/>
        </w:rPr>
        <w:t xml:space="preserve"> </w:t>
      </w:r>
      <w:r w:rsidRPr="00AC25AD">
        <w:rPr>
          <w:rFonts w:ascii="Century Gothic" w:hAnsi="Century Gothic" w:cs="Arial"/>
          <w:sz w:val="20"/>
          <w:szCs w:val="18"/>
        </w:rPr>
        <w:t>l</w:t>
      </w:r>
      <w:r w:rsidR="00D05CA6">
        <w:rPr>
          <w:rFonts w:ascii="Century Gothic" w:hAnsi="Century Gothic" w:cs="Arial"/>
          <w:sz w:val="20"/>
          <w:szCs w:val="18"/>
        </w:rPr>
        <w:t>a interesada</w:t>
      </w:r>
      <w:r w:rsidRPr="00AC25AD">
        <w:rPr>
          <w:rFonts w:ascii="Century Gothic" w:hAnsi="Century Gothic" w:cs="Arial"/>
          <w:sz w:val="20"/>
          <w:szCs w:val="18"/>
        </w:rPr>
        <w:t xml:space="preserve"> en el medio y forma señalada para tales efectos.</w:t>
      </w:r>
    </w:p>
    <w:p w:rsidR="00C741E0" w:rsidRPr="00920DA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Pr="00473020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473020">
        <w:rPr>
          <w:rFonts w:ascii="Century Gothic" w:hAnsi="Century Gothic"/>
          <w:sz w:val="20"/>
          <w:szCs w:val="20"/>
        </w:rPr>
        <w:t>Marlene Solano</w:t>
      </w:r>
    </w:p>
    <w:p w:rsidR="00E4295F" w:rsidRP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020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C741E0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7B4284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7B4284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</w:t>
                </w:r>
                <w:r w:rsidR="007954AB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106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3"/>
  </w:num>
  <w:num w:numId="9">
    <w:abstractNumId w:val="5"/>
  </w:num>
  <w:num w:numId="10">
    <w:abstractNumId w:val="2"/>
  </w:num>
  <w:num w:numId="11">
    <w:abstractNumId w:val="20"/>
  </w:num>
  <w:num w:numId="12">
    <w:abstractNumId w:val="0"/>
  </w:num>
  <w:num w:numId="13">
    <w:abstractNumId w:val="18"/>
  </w:num>
  <w:num w:numId="14">
    <w:abstractNumId w:val="14"/>
  </w:num>
  <w:num w:numId="15">
    <w:abstractNumId w:val="24"/>
  </w:num>
  <w:num w:numId="16">
    <w:abstractNumId w:val="15"/>
  </w:num>
  <w:num w:numId="17">
    <w:abstractNumId w:val="16"/>
  </w:num>
  <w:num w:numId="18">
    <w:abstractNumId w:val="25"/>
  </w:num>
  <w:num w:numId="19">
    <w:abstractNumId w:val="22"/>
  </w:num>
  <w:num w:numId="20">
    <w:abstractNumId w:val="7"/>
  </w:num>
  <w:num w:numId="21">
    <w:abstractNumId w:val="19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C4A24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E7C"/>
    <w:rsid w:val="00594705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5B88"/>
    <w:rsid w:val="006D0017"/>
    <w:rsid w:val="006D4BD5"/>
    <w:rsid w:val="006D6B5E"/>
    <w:rsid w:val="006E0523"/>
    <w:rsid w:val="006E22B3"/>
    <w:rsid w:val="006E25DB"/>
    <w:rsid w:val="006E3D05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4AB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284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2D3D"/>
    <w:rsid w:val="008E3EF5"/>
    <w:rsid w:val="0090498A"/>
    <w:rsid w:val="00910141"/>
    <w:rsid w:val="00920DA0"/>
    <w:rsid w:val="0092382E"/>
    <w:rsid w:val="009361F4"/>
    <w:rsid w:val="00942D26"/>
    <w:rsid w:val="00946C40"/>
    <w:rsid w:val="00954AB9"/>
    <w:rsid w:val="00955415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34A6"/>
    <w:rsid w:val="00CB30DD"/>
    <w:rsid w:val="00CC5981"/>
    <w:rsid w:val="00CD1516"/>
    <w:rsid w:val="00CD454A"/>
    <w:rsid w:val="00CE1626"/>
    <w:rsid w:val="00CE51F8"/>
    <w:rsid w:val="00D024FD"/>
    <w:rsid w:val="00D03C77"/>
    <w:rsid w:val="00D04930"/>
    <w:rsid w:val="00D05CA6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0F28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0C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7944334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3BEF3-FD5B-42C8-9086-6A001E0F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286</cp:revision>
  <cp:lastPrinted>2016-11-17T15:13:00Z</cp:lastPrinted>
  <dcterms:created xsi:type="dcterms:W3CDTF">2013-08-09T20:16:00Z</dcterms:created>
  <dcterms:modified xsi:type="dcterms:W3CDTF">2017-08-18T21:45:00Z</dcterms:modified>
</cp:coreProperties>
</file>