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3B41E9" w:rsidRDefault="003B41E9" w:rsidP="003B41E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</w:t>
      </w:r>
      <w:r>
        <w:rPr>
          <w:rFonts w:ascii="Century Gothic" w:hAnsi="Century Gothic"/>
          <w:b/>
          <w:sz w:val="18"/>
          <w:szCs w:val="18"/>
        </w:rPr>
        <w:t xml:space="preserve"> DE DENEGATORIA DE ACCESO A </w:t>
      </w:r>
    </w:p>
    <w:p w:rsidR="003B41E9" w:rsidRPr="00932413" w:rsidRDefault="003B41E9" w:rsidP="003B41E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INFORMACIÓN</w:t>
      </w:r>
      <w:r>
        <w:rPr>
          <w:rFonts w:ascii="Century Gothic" w:hAnsi="Century Gothic"/>
          <w:b/>
          <w:sz w:val="18"/>
          <w:szCs w:val="18"/>
        </w:rPr>
        <w:t xml:space="preserve"> POR SER CONFIDENCIAL</w:t>
      </w:r>
    </w:p>
    <w:p w:rsidR="00920DA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93095" w:rsidRPr="00932413" w:rsidRDefault="00A93095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Default="00431432" w:rsidP="004314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>San Salvador, a las catorce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2738DF">
        <w:rPr>
          <w:rFonts w:ascii="Century Gothic" w:hAnsi="Century Gothic" w:cs="Arial"/>
          <w:sz w:val="18"/>
          <w:szCs w:val="18"/>
          <w:lang w:val="es-ES"/>
        </w:rPr>
        <w:t>veintiséis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732D7F">
        <w:rPr>
          <w:rFonts w:ascii="Century Gothic" w:hAnsi="Century Gothic" w:cs="Arial"/>
          <w:sz w:val="18"/>
          <w:szCs w:val="18"/>
          <w:lang w:val="es-ES"/>
        </w:rPr>
        <w:t>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5F4D45">
        <w:rPr>
          <w:rFonts w:ascii="Century Gothic" w:hAnsi="Century Gothic" w:cs="Arial"/>
          <w:sz w:val="18"/>
          <w:szCs w:val="18"/>
          <w:lang w:val="es-ES"/>
        </w:rPr>
        <w:t>presencialmente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C209B8" w:rsidRPr="00FD2BBA">
        <w:rPr>
          <w:rFonts w:ascii="Century Gothic" w:hAnsi="Century Gothic" w:cs="Arial"/>
          <w:b/>
          <w:sz w:val="18"/>
          <w:szCs w:val="18"/>
          <w:lang w:val="es-ES"/>
        </w:rPr>
        <w:t>8</w:t>
      </w:r>
      <w:r w:rsidR="002738DF">
        <w:rPr>
          <w:rFonts w:ascii="Century Gothic" w:hAnsi="Century Gothic" w:cs="Arial"/>
          <w:b/>
          <w:sz w:val="18"/>
          <w:szCs w:val="18"/>
          <w:lang w:val="es-ES"/>
        </w:rPr>
        <w:t>4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363F4">
        <w:rPr>
          <w:rFonts w:ascii="Century Gothic" w:hAnsi="Century Gothic" w:cs="Arial"/>
          <w:sz w:val="18"/>
          <w:szCs w:val="18"/>
          <w:lang w:val="es-ES"/>
        </w:rPr>
        <w:t>nueve de 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>,</w:t>
      </w:r>
      <w:r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738DF">
        <w:rPr>
          <w:rFonts w:ascii="Century Gothic" w:hAnsi="Century Gothic" w:cs="Arial"/>
          <w:b/>
          <w:sz w:val="18"/>
          <w:szCs w:val="18"/>
          <w:lang w:val="es-ES"/>
        </w:rPr>
        <w:t xml:space="preserve"> Sr</w:t>
      </w:r>
      <w:r w:rsidR="008B68D6">
        <w:rPr>
          <w:rFonts w:ascii="Century Gothic" w:hAnsi="Century Gothic" w:cs="Arial"/>
          <w:sz w:val="18"/>
          <w:szCs w:val="18"/>
          <w:lang w:val="es-ES"/>
        </w:rPr>
        <w:t xml:space="preserve">. </w:t>
      </w:r>
      <w:r w:rsidR="00FE0847">
        <w:rPr>
          <w:rFonts w:ascii="Century Gothic" w:hAnsi="Century Gothic" w:cs="Arial"/>
          <w:b/>
          <w:sz w:val="20"/>
          <w:szCs w:val="20"/>
        </w:rPr>
        <w:t>___________________</w:t>
      </w:r>
      <w:bookmarkStart w:id="0" w:name="_GoBack"/>
      <w:bookmarkEnd w:id="0"/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E36C52">
        <w:rPr>
          <w:rFonts w:ascii="Century Gothic" w:hAnsi="Century Gothic" w:cs="Arial"/>
          <w:sz w:val="18"/>
          <w:szCs w:val="18"/>
          <w:lang w:val="es-ES"/>
        </w:rPr>
        <w:t xml:space="preserve"> solicita </w:t>
      </w:r>
      <w:r w:rsidR="00E36C52" w:rsidRPr="00E36C52">
        <w:rPr>
          <w:rFonts w:ascii="Century Gothic" w:hAnsi="Century Gothic" w:cs="Arial"/>
          <w:sz w:val="18"/>
          <w:szCs w:val="18"/>
          <w:lang w:val="es-ES"/>
        </w:rPr>
        <w:t xml:space="preserve">copia certificada de expediente relacionado a la obra de construcción hecha por inversiones </w:t>
      </w:r>
      <w:r w:rsidR="00E36C52" w:rsidRPr="00E36C52">
        <w:rPr>
          <w:rFonts w:ascii="Century Gothic" w:hAnsi="Century Gothic" w:cs="Arial"/>
          <w:b/>
          <w:sz w:val="18"/>
          <w:szCs w:val="18"/>
          <w:lang w:val="es-ES"/>
        </w:rPr>
        <w:t>Bolívar S.A de C.V</w:t>
      </w:r>
      <w:r w:rsidR="00E36C52" w:rsidRPr="00E36C52">
        <w:rPr>
          <w:rFonts w:ascii="Century Gothic" w:hAnsi="Century Gothic" w:cs="Arial"/>
          <w:sz w:val="18"/>
          <w:szCs w:val="18"/>
          <w:lang w:val="es-ES"/>
        </w:rPr>
        <w:t>.; en el terreno ubicado en plaza Merliot,</w:t>
      </w:r>
      <w:r>
        <w:rPr>
          <w:rFonts w:ascii="Century Gothic" w:hAnsi="Century Gothic" w:cs="Arial"/>
          <w:sz w:val="18"/>
          <w:szCs w:val="18"/>
          <w:lang w:val="es-ES"/>
        </w:rPr>
        <w:t xml:space="preserve"> sobre la calle el Carmen y 17 Av. N</w:t>
      </w:r>
      <w:r w:rsidR="00E36C52" w:rsidRPr="00E36C52">
        <w:rPr>
          <w:rFonts w:ascii="Century Gothic" w:hAnsi="Century Gothic" w:cs="Arial"/>
          <w:sz w:val="18"/>
          <w:szCs w:val="18"/>
          <w:lang w:val="es-ES"/>
        </w:rPr>
        <w:t xml:space="preserve">orte, jurisdicción de Santa Tecla, La libertad, dicho expediente que contenga estudio de impacto ambiental, autorización de tratamiento de aguas negras, permisos de acceso vehicular sobre </w:t>
      </w:r>
      <w:r>
        <w:rPr>
          <w:rFonts w:ascii="Century Gothic" w:hAnsi="Century Gothic" w:cs="Arial"/>
          <w:sz w:val="18"/>
          <w:szCs w:val="18"/>
          <w:lang w:val="es-ES"/>
        </w:rPr>
        <w:t>C</w:t>
      </w:r>
      <w:r w:rsidR="00E36C52" w:rsidRPr="00E36C52">
        <w:rPr>
          <w:rFonts w:ascii="Century Gothic" w:hAnsi="Century Gothic" w:cs="Arial"/>
          <w:sz w:val="18"/>
          <w:szCs w:val="18"/>
          <w:lang w:val="es-ES"/>
        </w:rPr>
        <w:t>alle el Carmen, permiso de montaje de planta eléctrica, permisos ambientales como municipales y cualquier otro relacionado con la obra, (planos). Se anexan copias de ubicación y nota periodística. Permiso de construcción y Revisión vial</w:t>
      </w:r>
      <w:r w:rsidR="00E36C52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</w:p>
    <w:p w:rsidR="00A93095" w:rsidRPr="0040561D" w:rsidRDefault="00A93095" w:rsidP="009A2E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FA20E8" w:rsidRDefault="00C741E0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9A2EE5">
        <w:rPr>
          <w:rFonts w:ascii="Century Gothic" w:hAnsi="Century Gothic" w:cs="Arial"/>
          <w:sz w:val="18"/>
          <w:szCs w:val="18"/>
          <w:lang w:val="es-ES"/>
        </w:rPr>
        <w:t>que en cumplimiento a:</w:t>
      </w:r>
    </w:p>
    <w:p w:rsidR="009A2EE5" w:rsidRPr="00431432" w:rsidRDefault="009A2EE5" w:rsidP="00431432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431432">
        <w:rPr>
          <w:rFonts w:ascii="Century Gothic" w:eastAsia="Times New Roman" w:hAnsi="Century Gothic" w:cs="Arial"/>
          <w:sz w:val="18"/>
          <w:szCs w:val="18"/>
          <w:lang w:eastAsia="es-SV"/>
        </w:rPr>
        <w:t>Articulo 24 literal “d”, de la Ley de acceso a la Información Pública;</w:t>
      </w:r>
    </w:p>
    <w:p w:rsidR="009A2EE5" w:rsidRPr="00431432" w:rsidRDefault="009A2EE5" w:rsidP="00431432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431432">
        <w:rPr>
          <w:rFonts w:ascii="Century Gothic" w:eastAsia="Times New Roman" w:hAnsi="Century Gothic" w:cs="Arial"/>
          <w:sz w:val="18"/>
          <w:szCs w:val="18"/>
          <w:lang w:eastAsia="es-SV"/>
        </w:rPr>
        <w:t>Art. 40 del Reglamento a la Ley de Acceso a la información Pública;</w:t>
      </w:r>
    </w:p>
    <w:p w:rsidR="009A2EE5" w:rsidRPr="00431432" w:rsidRDefault="009A2EE5" w:rsidP="00431432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431432">
        <w:rPr>
          <w:rFonts w:ascii="Century Gothic" w:eastAsia="Times New Roman" w:hAnsi="Century Gothic" w:cs="Arial"/>
          <w:sz w:val="18"/>
          <w:szCs w:val="18"/>
          <w:lang w:eastAsia="es-SV"/>
        </w:rPr>
        <w:t>Artículos 12 y 13 de la Ley de Propiedad Intelectual,</w:t>
      </w:r>
    </w:p>
    <w:p w:rsidR="00431432" w:rsidRDefault="009A2EE5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F0CC8">
        <w:rPr>
          <w:rFonts w:ascii="Century Gothic" w:hAnsi="Century Gothic" w:cs="Arial"/>
          <w:sz w:val="18"/>
          <w:szCs w:val="18"/>
          <w:lang w:val="es-ES"/>
        </w:rPr>
        <w:t>La información en nuestra custodia, está clasificada con carácter de información Confidencial y el propietario titular del derecho de autor no autorizó la divulgación de la misma.</w:t>
      </w:r>
      <w:r w:rsidR="00431432">
        <w:rPr>
          <w:rFonts w:ascii="Century Gothic" w:hAnsi="Century Gothic" w:cs="Arial"/>
          <w:sz w:val="18"/>
          <w:szCs w:val="18"/>
          <w:lang w:val="es-ES"/>
        </w:rPr>
        <w:t xml:space="preserve"> </w:t>
      </w:r>
    </w:p>
    <w:p w:rsidR="009A2EE5" w:rsidRDefault="009A2EE5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F0CC8">
        <w:rPr>
          <w:rFonts w:ascii="Century Gothic" w:hAnsi="Century Gothic" w:cs="Arial"/>
          <w:sz w:val="18"/>
          <w:szCs w:val="18"/>
          <w:lang w:val="es-ES"/>
        </w:rPr>
        <w:t xml:space="preserve">Por lo antes expuesto, se le informa que no se podrá proporcionar acceso a la información solicitada por ser de </w:t>
      </w:r>
      <w:r w:rsidRPr="003B41E9">
        <w:rPr>
          <w:rFonts w:ascii="Century Gothic" w:hAnsi="Century Gothic" w:cs="Arial"/>
          <w:sz w:val="18"/>
          <w:szCs w:val="18"/>
          <w:lang w:val="es-ES"/>
        </w:rPr>
        <w:t>carácter confidencial.</w:t>
      </w:r>
      <w:r w:rsidR="00431432">
        <w:rPr>
          <w:rFonts w:ascii="Century Gothic" w:hAnsi="Century Gothic" w:cs="Arial"/>
          <w:sz w:val="18"/>
          <w:szCs w:val="18"/>
          <w:lang w:val="es-ES"/>
        </w:rPr>
        <w:t xml:space="preserve"> No omitiendo</w:t>
      </w:r>
      <w:r w:rsidRPr="009F0CC8">
        <w:rPr>
          <w:rFonts w:ascii="Century Gothic" w:hAnsi="Century Gothic" w:cs="Arial"/>
          <w:sz w:val="18"/>
          <w:szCs w:val="18"/>
          <w:lang w:val="es-ES"/>
        </w:rPr>
        <w:t xml:space="preserve"> manifestar que para los demás permisos solicitados deberá acudir a las instancias respectivas.</w:t>
      </w:r>
    </w:p>
    <w:p w:rsidR="00431432" w:rsidRPr="009F0CC8" w:rsidRDefault="00431432" w:rsidP="00431432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3B41E9" w:rsidRPr="00932413" w:rsidRDefault="003B41E9" w:rsidP="003B41E9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 xml:space="preserve">, de conformidad a los artículos </w:t>
      </w:r>
      <w:r>
        <w:rPr>
          <w:rFonts w:ascii="Century Gothic" w:hAnsi="Century Gothic" w:cs="Arial"/>
          <w:sz w:val="18"/>
          <w:szCs w:val="18"/>
        </w:rPr>
        <w:t xml:space="preserve">24 literal b), 25, </w:t>
      </w:r>
      <w:r w:rsidRPr="006033DC">
        <w:rPr>
          <w:rFonts w:ascii="Century Gothic" w:hAnsi="Century Gothic" w:cs="Arial"/>
          <w:sz w:val="18"/>
          <w:szCs w:val="18"/>
        </w:rPr>
        <w:t>62, 65, 66, 69, 70, 71, 72</w:t>
      </w:r>
      <w:r>
        <w:rPr>
          <w:rFonts w:ascii="Century Gothic" w:hAnsi="Century Gothic" w:cs="Arial"/>
          <w:sz w:val="18"/>
          <w:szCs w:val="18"/>
        </w:rPr>
        <w:t xml:space="preserve"> literal b)</w:t>
      </w:r>
      <w:r w:rsidRPr="006033DC">
        <w:rPr>
          <w:rFonts w:ascii="Century Gothic" w:hAnsi="Century Gothic" w:cs="Arial"/>
          <w:sz w:val="18"/>
          <w:szCs w:val="18"/>
        </w:rPr>
        <w:t>, 82 y 102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de la Ley de Ac</w:t>
      </w:r>
      <w:r>
        <w:rPr>
          <w:rFonts w:ascii="Century Gothic" w:hAnsi="Century Gothic" w:cs="Arial"/>
          <w:sz w:val="18"/>
          <w:szCs w:val="18"/>
        </w:rPr>
        <w:t>ceso a la Información Pública,</w:t>
      </w:r>
      <w:r>
        <w:rPr>
          <w:rFonts w:ascii="Century Gothic" w:hAnsi="Century Gothic" w:cs="Arial"/>
          <w:color w:val="FF0000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 xml:space="preserve">la suscrita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B41E9" w:rsidRPr="00932413" w:rsidRDefault="003B41E9" w:rsidP="003B41E9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3B41E9" w:rsidRPr="006033DC" w:rsidRDefault="003B41E9" w:rsidP="003B41E9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DENEGAR</w:t>
      </w:r>
      <w:r w:rsidRPr="00A405D1">
        <w:rPr>
          <w:rFonts w:ascii="Century Gothic" w:hAnsi="Century Gothic" w:cs="Arial"/>
          <w:b/>
          <w:sz w:val="18"/>
          <w:szCs w:val="18"/>
        </w:rPr>
        <w:t xml:space="preserve"> </w:t>
      </w:r>
      <w:r w:rsidRPr="00A405D1">
        <w:rPr>
          <w:rFonts w:ascii="Century Gothic" w:hAnsi="Century Gothic" w:cs="Arial"/>
          <w:sz w:val="18"/>
          <w:szCs w:val="18"/>
        </w:rPr>
        <w:t>acceso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033DC">
        <w:rPr>
          <w:rFonts w:ascii="Century Gothic" w:hAnsi="Century Gothic" w:cs="Arial"/>
          <w:sz w:val="18"/>
          <w:szCs w:val="18"/>
        </w:rPr>
        <w:t xml:space="preserve">a la Información solicitada, por </w:t>
      </w:r>
      <w:r>
        <w:rPr>
          <w:rFonts w:ascii="Century Gothic" w:hAnsi="Century Gothic" w:cs="Arial"/>
          <w:sz w:val="18"/>
          <w:szCs w:val="18"/>
        </w:rPr>
        <w:t>ser de carácter</w:t>
      </w:r>
      <w:r w:rsidRPr="006033DC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confidencial.</w:t>
      </w:r>
    </w:p>
    <w:p w:rsidR="003B41E9" w:rsidRDefault="003B41E9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3B41E9" w:rsidRDefault="003B41E9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3B41E9" w:rsidRPr="00932413" w:rsidRDefault="003B41E9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E084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E084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2738D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0"/>
  </w:num>
  <w:num w:numId="15">
    <w:abstractNumId w:val="21"/>
  </w:num>
  <w:num w:numId="16">
    <w:abstractNumId w:val="12"/>
  </w:num>
  <w:num w:numId="17">
    <w:abstractNumId w:val="13"/>
  </w:num>
  <w:num w:numId="18">
    <w:abstractNumId w:val="22"/>
  </w:num>
  <w:num w:numId="19">
    <w:abstractNumId w:val="19"/>
  </w:num>
  <w:num w:numId="20">
    <w:abstractNumId w:val="17"/>
  </w:num>
  <w:num w:numId="21">
    <w:abstractNumId w:val="6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738DF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096"/>
    <w:rsid w:val="00393AE6"/>
    <w:rsid w:val="003978BD"/>
    <w:rsid w:val="003A03CE"/>
    <w:rsid w:val="003A1B65"/>
    <w:rsid w:val="003A283D"/>
    <w:rsid w:val="003B41E9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1432"/>
    <w:rsid w:val="0043382F"/>
    <w:rsid w:val="00434872"/>
    <w:rsid w:val="004363F4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45C49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2EE5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0CC8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3ABC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2E5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455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209E"/>
    <w:rsid w:val="00DD3D23"/>
    <w:rsid w:val="00DD6D27"/>
    <w:rsid w:val="00DD72BC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36C52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409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0847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2C1C436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36C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C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C52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C52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8AFE-6C8E-45C8-B457-69DF5E40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3130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450</cp:revision>
  <cp:lastPrinted>2016-09-05T20:42:00Z</cp:lastPrinted>
  <dcterms:created xsi:type="dcterms:W3CDTF">2013-08-09T20:16:00Z</dcterms:created>
  <dcterms:modified xsi:type="dcterms:W3CDTF">2017-08-18T17:25:00Z</dcterms:modified>
</cp:coreProperties>
</file>