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0C338E" w:rsidRDefault="00272C2E" w:rsidP="0022586D">
      <w:pPr>
        <w:spacing w:after="0" w:line="240" w:lineRule="auto"/>
        <w:jc w:val="center"/>
        <w:rPr>
          <w:rFonts w:ascii="Century Gothic" w:hAnsi="Century Gothic"/>
          <w:b/>
          <w:sz w:val="20"/>
          <w:szCs w:val="20"/>
        </w:rPr>
      </w:pPr>
      <w:r w:rsidRPr="000C338E">
        <w:rPr>
          <w:rFonts w:ascii="Century Gothic" w:hAnsi="Century Gothic"/>
          <w:b/>
          <w:sz w:val="20"/>
          <w:szCs w:val="20"/>
        </w:rPr>
        <w:t>RESOLUCIÓN A SOLICITUD DE INFORMACIÓN</w:t>
      </w:r>
    </w:p>
    <w:p w14:paraId="5D37E8CC" w14:textId="77777777" w:rsidR="00920DA0" w:rsidRPr="000C338E" w:rsidRDefault="00920DA0" w:rsidP="0022586D">
      <w:pPr>
        <w:spacing w:after="0" w:line="240" w:lineRule="auto"/>
        <w:jc w:val="center"/>
        <w:rPr>
          <w:rFonts w:ascii="Century Gothic" w:hAnsi="Century Gothic"/>
          <w:b/>
          <w:sz w:val="20"/>
          <w:szCs w:val="20"/>
        </w:rPr>
      </w:pPr>
    </w:p>
    <w:p w14:paraId="742D6B78" w14:textId="09A1EB98" w:rsidR="0065458D" w:rsidRPr="0022586D" w:rsidRDefault="00C741E0" w:rsidP="0022586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18"/>
          <w:szCs w:val="20"/>
        </w:rPr>
      </w:pPr>
      <w:r w:rsidRPr="0022586D">
        <w:rPr>
          <w:rFonts w:ascii="Century Gothic" w:eastAsiaTheme="minorHAnsi" w:hAnsi="Century Gothic" w:cs="Arial"/>
          <w:sz w:val="18"/>
          <w:szCs w:val="20"/>
        </w:rPr>
        <w:t>San Salvador, a las</w:t>
      </w:r>
      <w:r w:rsidR="002F379F" w:rsidRPr="0022586D">
        <w:rPr>
          <w:rFonts w:ascii="Century Gothic" w:eastAsiaTheme="minorHAnsi" w:hAnsi="Century Gothic" w:cs="Arial"/>
          <w:sz w:val="18"/>
          <w:szCs w:val="20"/>
        </w:rPr>
        <w:t xml:space="preserve"> </w:t>
      </w:r>
      <w:r w:rsidR="00CD454F" w:rsidRPr="0022586D">
        <w:rPr>
          <w:rFonts w:ascii="Century Gothic" w:eastAsiaTheme="minorHAnsi" w:hAnsi="Century Gothic" w:cs="Arial"/>
          <w:sz w:val="18"/>
          <w:szCs w:val="20"/>
        </w:rPr>
        <w:t>diez</w:t>
      </w:r>
      <w:r w:rsidR="00D271AF" w:rsidRPr="0022586D">
        <w:rPr>
          <w:rFonts w:ascii="Century Gothic" w:eastAsiaTheme="minorHAnsi" w:hAnsi="Century Gothic" w:cs="Arial"/>
          <w:sz w:val="18"/>
          <w:szCs w:val="20"/>
        </w:rPr>
        <w:t xml:space="preserve"> </w:t>
      </w:r>
      <w:r w:rsidR="007C4082" w:rsidRPr="0022586D">
        <w:rPr>
          <w:rFonts w:ascii="Century Gothic" w:eastAsiaTheme="minorHAnsi" w:hAnsi="Century Gothic" w:cs="Arial"/>
          <w:sz w:val="18"/>
          <w:szCs w:val="20"/>
        </w:rPr>
        <w:t>horas</w:t>
      </w:r>
      <w:r w:rsidR="00BF47BF" w:rsidRPr="0022586D">
        <w:rPr>
          <w:rFonts w:ascii="Century Gothic" w:eastAsiaTheme="minorHAnsi" w:hAnsi="Century Gothic" w:cs="Arial"/>
          <w:sz w:val="18"/>
          <w:szCs w:val="20"/>
        </w:rPr>
        <w:t xml:space="preserve"> </w:t>
      </w:r>
      <w:r w:rsidR="00D271AF" w:rsidRPr="0022586D">
        <w:rPr>
          <w:rFonts w:ascii="Century Gothic" w:eastAsiaTheme="minorHAnsi" w:hAnsi="Century Gothic" w:cs="Arial"/>
          <w:sz w:val="18"/>
          <w:szCs w:val="20"/>
        </w:rPr>
        <w:t xml:space="preserve">con </w:t>
      </w:r>
      <w:r w:rsidR="00CD454F" w:rsidRPr="0022586D">
        <w:rPr>
          <w:rFonts w:ascii="Century Gothic" w:eastAsiaTheme="minorHAnsi" w:hAnsi="Century Gothic" w:cs="Arial"/>
          <w:sz w:val="18"/>
          <w:szCs w:val="20"/>
        </w:rPr>
        <w:t xml:space="preserve">veintitrés </w:t>
      </w:r>
      <w:r w:rsidR="00D271AF" w:rsidRPr="0022586D">
        <w:rPr>
          <w:rFonts w:ascii="Century Gothic" w:eastAsiaTheme="minorHAnsi" w:hAnsi="Century Gothic" w:cs="Arial"/>
          <w:sz w:val="18"/>
          <w:szCs w:val="20"/>
        </w:rPr>
        <w:t xml:space="preserve">minutos </w:t>
      </w:r>
      <w:r w:rsidR="003534C3" w:rsidRPr="0022586D">
        <w:rPr>
          <w:rFonts w:ascii="Century Gothic" w:eastAsiaTheme="minorHAnsi" w:hAnsi="Century Gothic" w:cs="Arial"/>
          <w:sz w:val="18"/>
          <w:szCs w:val="20"/>
        </w:rPr>
        <w:t>del día</w:t>
      </w:r>
      <w:r w:rsidR="005D6A62" w:rsidRPr="0022586D">
        <w:rPr>
          <w:rFonts w:ascii="Century Gothic" w:eastAsiaTheme="minorHAnsi" w:hAnsi="Century Gothic" w:cs="Arial"/>
          <w:sz w:val="18"/>
          <w:szCs w:val="20"/>
        </w:rPr>
        <w:t xml:space="preserve"> </w:t>
      </w:r>
      <w:r w:rsidR="0065458D" w:rsidRPr="0022586D">
        <w:rPr>
          <w:rFonts w:ascii="Century Gothic" w:eastAsiaTheme="minorHAnsi" w:hAnsi="Century Gothic" w:cs="Arial"/>
          <w:sz w:val="18"/>
          <w:szCs w:val="20"/>
        </w:rPr>
        <w:t>diez</w:t>
      </w:r>
      <w:r w:rsidR="00D3255D" w:rsidRPr="0022586D">
        <w:rPr>
          <w:rFonts w:ascii="Century Gothic" w:eastAsiaTheme="minorHAnsi" w:hAnsi="Century Gothic" w:cs="Arial"/>
          <w:sz w:val="18"/>
          <w:szCs w:val="20"/>
        </w:rPr>
        <w:t xml:space="preserve"> de </w:t>
      </w:r>
      <w:r w:rsidR="0065458D" w:rsidRPr="0022586D">
        <w:rPr>
          <w:rFonts w:ascii="Century Gothic" w:eastAsiaTheme="minorHAnsi" w:hAnsi="Century Gothic" w:cs="Arial"/>
          <w:sz w:val="18"/>
          <w:szCs w:val="20"/>
        </w:rPr>
        <w:t>agosto</w:t>
      </w:r>
      <w:r w:rsidRPr="0022586D">
        <w:rPr>
          <w:rFonts w:ascii="Century Gothic" w:eastAsiaTheme="minorHAnsi" w:hAnsi="Century Gothic" w:cs="Arial"/>
          <w:sz w:val="18"/>
          <w:szCs w:val="20"/>
        </w:rPr>
        <w:t xml:space="preserve"> de dos mil diecisi</w:t>
      </w:r>
      <w:r w:rsidR="006E4031" w:rsidRPr="0022586D">
        <w:rPr>
          <w:rFonts w:ascii="Century Gothic" w:eastAsiaTheme="minorHAnsi" w:hAnsi="Century Gothic" w:cs="Arial"/>
          <w:sz w:val="18"/>
          <w:szCs w:val="20"/>
        </w:rPr>
        <w:t>ete</w:t>
      </w:r>
      <w:r w:rsidRPr="0022586D">
        <w:rPr>
          <w:rFonts w:ascii="Century Gothic" w:eastAsiaTheme="minorHAnsi" w:hAnsi="Century Gothic" w:cs="Arial"/>
          <w:sz w:val="18"/>
          <w:szCs w:val="20"/>
        </w:rPr>
        <w:t xml:space="preserve">, la Oficina de Planificación del Área Metropolitana de San Salvador, luego de haber recibido y admitido la solicitud de información </w:t>
      </w:r>
      <w:r w:rsidRPr="0022586D">
        <w:rPr>
          <w:rFonts w:ascii="Century Gothic" w:eastAsiaTheme="minorHAnsi" w:hAnsi="Century Gothic" w:cs="Arial"/>
          <w:b/>
          <w:sz w:val="18"/>
          <w:szCs w:val="20"/>
        </w:rPr>
        <w:t>UAIPT No. 00</w:t>
      </w:r>
      <w:r w:rsidR="0065458D" w:rsidRPr="0022586D">
        <w:rPr>
          <w:rFonts w:ascii="Century Gothic" w:eastAsiaTheme="minorHAnsi" w:hAnsi="Century Gothic" w:cs="Arial"/>
          <w:b/>
          <w:sz w:val="18"/>
          <w:szCs w:val="20"/>
        </w:rPr>
        <w:t>79</w:t>
      </w:r>
      <w:r w:rsidRPr="0022586D">
        <w:rPr>
          <w:rFonts w:ascii="Century Gothic" w:eastAsiaTheme="minorHAnsi" w:hAnsi="Century Gothic" w:cs="Arial"/>
          <w:b/>
          <w:sz w:val="18"/>
          <w:szCs w:val="20"/>
        </w:rPr>
        <w:t>-201</w:t>
      </w:r>
      <w:r w:rsidR="004F5DF2" w:rsidRPr="0022586D">
        <w:rPr>
          <w:rFonts w:ascii="Century Gothic" w:eastAsiaTheme="minorHAnsi" w:hAnsi="Century Gothic" w:cs="Arial"/>
          <w:b/>
          <w:sz w:val="18"/>
          <w:szCs w:val="20"/>
        </w:rPr>
        <w:t>7</w:t>
      </w:r>
      <w:r w:rsidR="001706DC" w:rsidRPr="0022586D">
        <w:rPr>
          <w:rFonts w:ascii="Century Gothic" w:eastAsiaTheme="minorHAnsi" w:hAnsi="Century Gothic" w:cs="Arial"/>
          <w:b/>
          <w:sz w:val="18"/>
          <w:szCs w:val="20"/>
        </w:rPr>
        <w:t>,</w:t>
      </w:r>
      <w:r w:rsidRPr="0022586D">
        <w:rPr>
          <w:rFonts w:ascii="Century Gothic" w:eastAsiaTheme="minorHAnsi" w:hAnsi="Century Gothic" w:cs="Arial"/>
          <w:sz w:val="18"/>
          <w:szCs w:val="20"/>
        </w:rPr>
        <w:t xml:space="preserve"> </w:t>
      </w:r>
      <w:r w:rsidR="005D6A62" w:rsidRPr="0022586D">
        <w:rPr>
          <w:rFonts w:ascii="Century Gothic" w:eastAsiaTheme="minorHAnsi" w:hAnsi="Century Gothic" w:cs="Arial"/>
          <w:sz w:val="18"/>
          <w:szCs w:val="20"/>
        </w:rPr>
        <w:t>re</w:t>
      </w:r>
      <w:r w:rsidR="0065458D" w:rsidRPr="0022586D">
        <w:rPr>
          <w:rFonts w:ascii="Century Gothic" w:eastAsiaTheme="minorHAnsi" w:hAnsi="Century Gothic" w:cs="Arial"/>
          <w:sz w:val="18"/>
          <w:szCs w:val="20"/>
        </w:rPr>
        <w:t>mitida</w:t>
      </w:r>
      <w:r w:rsidR="005D6A62" w:rsidRPr="0022586D">
        <w:rPr>
          <w:rFonts w:ascii="Century Gothic" w:eastAsiaTheme="minorHAnsi" w:hAnsi="Century Gothic" w:cs="Arial"/>
          <w:sz w:val="18"/>
          <w:szCs w:val="20"/>
        </w:rPr>
        <w:t xml:space="preserve"> por correo electrónico </w:t>
      </w:r>
      <w:r w:rsidR="0065458D" w:rsidRPr="0022586D">
        <w:rPr>
          <w:rFonts w:ascii="Century Gothic" w:eastAsiaTheme="minorHAnsi" w:hAnsi="Century Gothic" w:cs="Arial"/>
          <w:sz w:val="18"/>
          <w:szCs w:val="20"/>
        </w:rPr>
        <w:t>a</w:t>
      </w:r>
      <w:r w:rsidR="0038247F" w:rsidRPr="0022586D">
        <w:rPr>
          <w:rFonts w:ascii="Century Gothic" w:eastAsiaTheme="minorHAnsi" w:hAnsi="Century Gothic" w:cs="Arial"/>
          <w:sz w:val="18"/>
          <w:szCs w:val="20"/>
        </w:rPr>
        <w:t xml:space="preserve"> esta</w:t>
      </w:r>
      <w:r w:rsidR="004F5DF2" w:rsidRPr="0022586D">
        <w:rPr>
          <w:rFonts w:ascii="Century Gothic" w:eastAsiaTheme="minorHAnsi" w:hAnsi="Century Gothic" w:cs="Arial"/>
          <w:sz w:val="18"/>
          <w:szCs w:val="20"/>
        </w:rPr>
        <w:t xml:space="preserve"> unidad</w:t>
      </w:r>
      <w:r w:rsidRPr="0022586D">
        <w:rPr>
          <w:rFonts w:ascii="Century Gothic" w:eastAsiaTheme="minorHAnsi" w:hAnsi="Century Gothic" w:cs="Arial"/>
          <w:sz w:val="18"/>
          <w:szCs w:val="20"/>
        </w:rPr>
        <w:t>,</w:t>
      </w:r>
      <w:r w:rsidR="00081C62" w:rsidRPr="0022586D">
        <w:rPr>
          <w:rFonts w:ascii="Century Gothic" w:eastAsiaTheme="minorHAnsi" w:hAnsi="Century Gothic" w:cs="Arial"/>
          <w:sz w:val="18"/>
          <w:szCs w:val="20"/>
        </w:rPr>
        <w:t xml:space="preserve"> por parte </w:t>
      </w:r>
      <w:r w:rsidR="005D6A62" w:rsidRPr="0022586D">
        <w:rPr>
          <w:rFonts w:ascii="Century Gothic" w:eastAsiaTheme="minorHAnsi" w:hAnsi="Century Gothic" w:cs="Arial"/>
          <w:sz w:val="18"/>
          <w:szCs w:val="20"/>
        </w:rPr>
        <w:t xml:space="preserve">del </w:t>
      </w:r>
      <w:r w:rsidR="005D6A62" w:rsidRPr="0022586D">
        <w:rPr>
          <w:rFonts w:ascii="Century Gothic" w:eastAsiaTheme="minorHAnsi" w:hAnsi="Century Gothic" w:cs="Arial"/>
          <w:b/>
          <w:sz w:val="18"/>
          <w:szCs w:val="20"/>
        </w:rPr>
        <w:t>Sr.</w:t>
      </w:r>
      <w:r w:rsidR="0065458D" w:rsidRPr="0022586D">
        <w:rPr>
          <w:rFonts w:ascii="Century Gothic" w:eastAsiaTheme="minorHAnsi" w:hAnsi="Century Gothic" w:cs="Arial"/>
          <w:b/>
          <w:sz w:val="18"/>
          <w:szCs w:val="20"/>
        </w:rPr>
        <w:t xml:space="preserve"> </w:t>
      </w:r>
      <w:r w:rsidR="00051FA7" w:rsidRPr="00051FA7">
        <w:rPr>
          <w:rFonts w:ascii="Century Gothic" w:hAnsi="Century Gothic" w:cs="Arial"/>
          <w:b/>
          <w:sz w:val="18"/>
          <w:szCs w:val="20"/>
          <w:highlight w:val="black"/>
        </w:rPr>
        <w:t>XXXXXXXXXXXXX</w:t>
      </w:r>
      <w:r w:rsidR="00081C62" w:rsidRPr="0022586D">
        <w:rPr>
          <w:rFonts w:ascii="Century Gothic" w:eastAsiaTheme="minorHAnsi" w:hAnsi="Century Gothic" w:cs="Arial"/>
          <w:b/>
          <w:sz w:val="18"/>
          <w:szCs w:val="20"/>
        </w:rPr>
        <w:t>,</w:t>
      </w:r>
      <w:r w:rsidR="00081C62" w:rsidRPr="0022586D">
        <w:rPr>
          <w:rFonts w:ascii="Century Gothic" w:eastAsiaTheme="minorHAnsi" w:hAnsi="Century Gothic" w:cs="Arial"/>
          <w:sz w:val="18"/>
          <w:szCs w:val="20"/>
        </w:rPr>
        <w:t xml:space="preserve"> </w:t>
      </w:r>
      <w:r w:rsidR="004F5DF2" w:rsidRPr="0022586D">
        <w:rPr>
          <w:rFonts w:ascii="Century Gothic" w:eastAsiaTheme="minorHAnsi" w:hAnsi="Century Gothic" w:cs="Arial"/>
          <w:sz w:val="18"/>
          <w:szCs w:val="20"/>
        </w:rPr>
        <w:t xml:space="preserve">el </w:t>
      </w:r>
      <w:r w:rsidR="0065458D" w:rsidRPr="0022586D">
        <w:rPr>
          <w:rFonts w:ascii="Century Gothic" w:eastAsiaTheme="minorHAnsi" w:hAnsi="Century Gothic" w:cs="Arial"/>
          <w:sz w:val="18"/>
          <w:szCs w:val="20"/>
        </w:rPr>
        <w:t>22</w:t>
      </w:r>
      <w:r w:rsidR="004F5DF2" w:rsidRPr="0022586D">
        <w:rPr>
          <w:rFonts w:ascii="Century Gothic" w:eastAsiaTheme="minorHAnsi" w:hAnsi="Century Gothic" w:cs="Arial"/>
          <w:sz w:val="18"/>
          <w:szCs w:val="20"/>
        </w:rPr>
        <w:t xml:space="preserve"> de </w:t>
      </w:r>
      <w:r w:rsidR="00D271AF" w:rsidRPr="0022586D">
        <w:rPr>
          <w:rFonts w:ascii="Century Gothic" w:eastAsiaTheme="minorHAnsi" w:hAnsi="Century Gothic" w:cs="Arial"/>
          <w:sz w:val="18"/>
          <w:szCs w:val="20"/>
        </w:rPr>
        <w:t>ju</w:t>
      </w:r>
      <w:r w:rsidR="0065458D" w:rsidRPr="0022586D">
        <w:rPr>
          <w:rFonts w:ascii="Century Gothic" w:eastAsiaTheme="minorHAnsi" w:hAnsi="Century Gothic" w:cs="Arial"/>
          <w:sz w:val="18"/>
          <w:szCs w:val="20"/>
        </w:rPr>
        <w:t>l</w:t>
      </w:r>
      <w:r w:rsidR="00D271AF" w:rsidRPr="0022586D">
        <w:rPr>
          <w:rFonts w:ascii="Century Gothic" w:eastAsiaTheme="minorHAnsi" w:hAnsi="Century Gothic" w:cs="Arial"/>
          <w:sz w:val="18"/>
          <w:szCs w:val="20"/>
        </w:rPr>
        <w:t>i</w:t>
      </w:r>
      <w:r w:rsidR="0038247F" w:rsidRPr="0022586D">
        <w:rPr>
          <w:rFonts w:ascii="Century Gothic" w:eastAsiaTheme="minorHAnsi" w:hAnsi="Century Gothic" w:cs="Arial"/>
          <w:sz w:val="18"/>
          <w:szCs w:val="20"/>
        </w:rPr>
        <w:t>o, en</w:t>
      </w:r>
      <w:r w:rsidR="002F379F" w:rsidRPr="0022586D">
        <w:rPr>
          <w:rFonts w:ascii="Century Gothic" w:eastAsiaTheme="minorHAnsi" w:hAnsi="Century Gothic" w:cs="Arial"/>
          <w:sz w:val="18"/>
          <w:szCs w:val="20"/>
        </w:rPr>
        <w:t xml:space="preserve"> la cual </w:t>
      </w:r>
      <w:r w:rsidR="0039469D" w:rsidRPr="0022586D">
        <w:rPr>
          <w:rFonts w:ascii="Century Gothic" w:eastAsiaTheme="minorHAnsi" w:hAnsi="Century Gothic" w:cs="Arial"/>
          <w:sz w:val="18"/>
          <w:szCs w:val="20"/>
        </w:rPr>
        <w:t>solicita lo siguiente:</w:t>
      </w:r>
      <w:r w:rsidR="00D271AF" w:rsidRPr="0022586D">
        <w:rPr>
          <w:rFonts w:ascii="Century Gothic" w:eastAsiaTheme="minorHAnsi" w:hAnsi="Century Gothic" w:cs="Arial"/>
          <w:sz w:val="18"/>
          <w:szCs w:val="20"/>
        </w:rPr>
        <w:t xml:space="preserve"> </w:t>
      </w:r>
      <w:bookmarkStart w:id="0" w:name="_Hlk488737610"/>
    </w:p>
    <w:p w14:paraId="184180B4" w14:textId="5DA00F47" w:rsidR="0065458D" w:rsidRPr="0022586D" w:rsidRDefault="0065458D" w:rsidP="0022586D">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22586D">
        <w:rPr>
          <w:rFonts w:ascii="Century Gothic" w:hAnsi="Century Gothic" w:cs="Arial"/>
          <w:sz w:val="18"/>
          <w:szCs w:val="20"/>
        </w:rPr>
        <w:t>¿Tiene OPAMSS sectorizado de “ALTO RIESGO” el cerro San Jacinto?</w:t>
      </w:r>
    </w:p>
    <w:p w14:paraId="2317D16D" w14:textId="2146E04B" w:rsidR="0046268E" w:rsidRPr="0022586D" w:rsidRDefault="0065458D" w:rsidP="0022586D">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22586D">
        <w:rPr>
          <w:rFonts w:ascii="Century Gothic" w:hAnsi="Century Gothic" w:cs="Arial"/>
          <w:sz w:val="18"/>
          <w:szCs w:val="20"/>
        </w:rPr>
        <w:t>Me pueden enviar información de sectores que no se pueden urbanizar o lotificar por “ALTO RIESGO” en cerro San Jacinto, (San Marcos específicamente).</w:t>
      </w:r>
    </w:p>
    <w:p w14:paraId="45C1D327" w14:textId="77777777" w:rsidR="0065458D" w:rsidRPr="0022586D" w:rsidRDefault="0065458D" w:rsidP="0022586D">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20"/>
        </w:rPr>
      </w:pPr>
      <w:r w:rsidRPr="0022586D">
        <w:rPr>
          <w:rFonts w:ascii="Century Gothic" w:hAnsi="Century Gothic" w:cs="Arial"/>
          <w:sz w:val="18"/>
          <w:szCs w:val="20"/>
        </w:rPr>
        <w:t>En que cota o msnm, es la máxima en urbanizar el cerro San Jacinto en San Marcos específicamente.</w:t>
      </w:r>
    </w:p>
    <w:bookmarkEnd w:id="0"/>
    <w:p w14:paraId="7A33A4F0" w14:textId="77777777" w:rsidR="004615A2" w:rsidRPr="0022586D" w:rsidRDefault="004615A2" w:rsidP="0022586D">
      <w:pPr>
        <w:autoSpaceDE w:val="0"/>
        <w:autoSpaceDN w:val="0"/>
        <w:adjustRightInd w:val="0"/>
        <w:spacing w:after="0" w:line="240" w:lineRule="auto"/>
        <w:jc w:val="both"/>
        <w:rPr>
          <w:rFonts w:ascii="Century Gothic" w:hAnsi="Century Gothic" w:cs="Arial"/>
          <w:b/>
          <w:sz w:val="18"/>
          <w:szCs w:val="20"/>
        </w:rPr>
      </w:pPr>
      <w:r w:rsidRPr="0022586D">
        <w:rPr>
          <w:rFonts w:ascii="Century Gothic" w:hAnsi="Century Gothic" w:cs="Arial"/>
          <w:b/>
          <w:sz w:val="18"/>
          <w:szCs w:val="20"/>
        </w:rPr>
        <w:t>La infrascrita Oficial de Información hace las siguientes consideraciones:</w:t>
      </w:r>
    </w:p>
    <w:p w14:paraId="69DE560E" w14:textId="05E5F462" w:rsidR="0046268E" w:rsidRPr="0022586D" w:rsidRDefault="004615A2" w:rsidP="0022586D">
      <w:pPr>
        <w:pStyle w:val="Textoindependiente3"/>
        <w:spacing w:after="0" w:line="240" w:lineRule="auto"/>
        <w:jc w:val="both"/>
        <w:rPr>
          <w:rFonts w:ascii="Century Gothic" w:eastAsia="Times New Roman" w:hAnsi="Century Gothic" w:cs="Arial"/>
          <w:sz w:val="18"/>
          <w:szCs w:val="20"/>
          <w:lang w:eastAsia="es-SV"/>
        </w:rPr>
      </w:pPr>
      <w:r w:rsidRPr="0022586D">
        <w:rPr>
          <w:rFonts w:ascii="Century Gothic" w:eastAsia="Times New Roman" w:hAnsi="Century Gothic" w:cs="Arial"/>
          <w:sz w:val="18"/>
          <w:szCs w:val="20"/>
          <w:lang w:eastAsia="es-SV"/>
        </w:rPr>
        <w:t>Fue</w:t>
      </w:r>
      <w:r w:rsidR="00CD454F" w:rsidRPr="0022586D">
        <w:rPr>
          <w:rFonts w:ascii="Century Gothic" w:eastAsia="Times New Roman" w:hAnsi="Century Gothic" w:cs="Arial"/>
          <w:sz w:val="18"/>
          <w:szCs w:val="20"/>
          <w:lang w:eastAsia="es-SV"/>
        </w:rPr>
        <w:t>ron</w:t>
      </w:r>
      <w:r w:rsidRPr="0022586D">
        <w:rPr>
          <w:rFonts w:ascii="Century Gothic" w:eastAsia="Times New Roman" w:hAnsi="Century Gothic" w:cs="Arial"/>
          <w:sz w:val="18"/>
          <w:szCs w:val="20"/>
          <w:lang w:eastAsia="es-SV"/>
        </w:rPr>
        <w:t xml:space="preserve"> gestionado</w:t>
      </w:r>
      <w:r w:rsidR="00CD454F" w:rsidRPr="0022586D">
        <w:rPr>
          <w:rFonts w:ascii="Century Gothic" w:eastAsia="Times New Roman" w:hAnsi="Century Gothic" w:cs="Arial"/>
          <w:sz w:val="18"/>
          <w:szCs w:val="20"/>
          <w:lang w:eastAsia="es-SV"/>
        </w:rPr>
        <w:t xml:space="preserve">s </w:t>
      </w:r>
      <w:r w:rsidRPr="0022586D">
        <w:rPr>
          <w:rFonts w:ascii="Century Gothic" w:eastAsia="Times New Roman" w:hAnsi="Century Gothic" w:cs="Arial"/>
          <w:sz w:val="18"/>
          <w:szCs w:val="20"/>
          <w:lang w:eastAsia="es-SV"/>
        </w:rPr>
        <w:t>l</w:t>
      </w:r>
      <w:r w:rsidR="00CD454F" w:rsidRPr="0022586D">
        <w:rPr>
          <w:rFonts w:ascii="Century Gothic" w:eastAsia="Times New Roman" w:hAnsi="Century Gothic" w:cs="Arial"/>
          <w:sz w:val="18"/>
          <w:szCs w:val="20"/>
          <w:lang w:eastAsia="es-SV"/>
        </w:rPr>
        <w:t>os</w:t>
      </w:r>
      <w:r w:rsidRPr="0022586D">
        <w:rPr>
          <w:rFonts w:ascii="Century Gothic" w:eastAsia="Times New Roman" w:hAnsi="Century Gothic" w:cs="Arial"/>
          <w:sz w:val="18"/>
          <w:szCs w:val="20"/>
          <w:lang w:eastAsia="es-SV"/>
        </w:rPr>
        <w:t xml:space="preserve"> requerimiento</w:t>
      </w:r>
      <w:r w:rsidR="00CD454F" w:rsidRPr="0022586D">
        <w:rPr>
          <w:rFonts w:ascii="Century Gothic" w:eastAsia="Times New Roman" w:hAnsi="Century Gothic" w:cs="Arial"/>
          <w:sz w:val="18"/>
          <w:szCs w:val="20"/>
          <w:lang w:eastAsia="es-SV"/>
        </w:rPr>
        <w:t>s</w:t>
      </w:r>
      <w:r w:rsidR="0046268E" w:rsidRPr="0022586D">
        <w:rPr>
          <w:rFonts w:ascii="Century Gothic" w:eastAsia="Times New Roman" w:hAnsi="Century Gothic" w:cs="Arial"/>
          <w:sz w:val="18"/>
          <w:szCs w:val="20"/>
          <w:lang w:eastAsia="es-SV"/>
        </w:rPr>
        <w:t xml:space="preserve"> a la Unidad</w:t>
      </w:r>
      <w:r w:rsidR="00140B52">
        <w:rPr>
          <w:rFonts w:ascii="Century Gothic" w:eastAsia="Times New Roman" w:hAnsi="Century Gothic" w:cs="Arial"/>
          <w:sz w:val="18"/>
          <w:szCs w:val="20"/>
          <w:lang w:eastAsia="es-SV"/>
        </w:rPr>
        <w:t>es</w:t>
      </w:r>
      <w:r w:rsidR="0046268E" w:rsidRPr="0022586D">
        <w:rPr>
          <w:rFonts w:ascii="Century Gothic" w:eastAsia="Times New Roman" w:hAnsi="Century Gothic" w:cs="Arial"/>
          <w:sz w:val="18"/>
          <w:szCs w:val="20"/>
          <w:lang w:eastAsia="es-SV"/>
        </w:rPr>
        <w:t xml:space="preserve"> Ambiental</w:t>
      </w:r>
      <w:r w:rsidR="00140B52">
        <w:rPr>
          <w:rFonts w:ascii="Century Gothic" w:eastAsia="Times New Roman" w:hAnsi="Century Gothic" w:cs="Arial"/>
          <w:sz w:val="18"/>
          <w:szCs w:val="20"/>
          <w:lang w:eastAsia="es-SV"/>
        </w:rPr>
        <w:t xml:space="preserve"> y Planificación Territorial</w:t>
      </w:r>
      <w:r w:rsidR="001D7585" w:rsidRPr="0022586D">
        <w:rPr>
          <w:rFonts w:ascii="Century Gothic" w:eastAsia="Times New Roman" w:hAnsi="Century Gothic" w:cs="Arial"/>
          <w:sz w:val="18"/>
          <w:szCs w:val="20"/>
          <w:lang w:eastAsia="es-SV"/>
        </w:rPr>
        <w:t>,</w:t>
      </w:r>
      <w:r w:rsidRPr="0022586D">
        <w:rPr>
          <w:rFonts w:ascii="Century Gothic" w:eastAsia="Times New Roman" w:hAnsi="Century Gothic" w:cs="Arial"/>
          <w:sz w:val="18"/>
          <w:szCs w:val="20"/>
          <w:lang w:eastAsia="es-SV"/>
        </w:rPr>
        <w:t xml:space="preserve"> el mismo día de presentarse la solicitud, recibiéndose respuesta por parte de </w:t>
      </w:r>
      <w:r w:rsidR="0098078A" w:rsidRPr="0022586D">
        <w:rPr>
          <w:rFonts w:ascii="Century Gothic" w:eastAsia="Times New Roman" w:hAnsi="Century Gothic" w:cs="Arial"/>
          <w:sz w:val="18"/>
          <w:szCs w:val="20"/>
          <w:lang w:eastAsia="es-SV"/>
        </w:rPr>
        <w:t>la jefatura</w:t>
      </w:r>
      <w:r w:rsidR="00EE37FE" w:rsidRPr="0022586D">
        <w:rPr>
          <w:rFonts w:ascii="Century Gothic" w:eastAsia="Times New Roman" w:hAnsi="Century Gothic" w:cs="Arial"/>
          <w:sz w:val="18"/>
          <w:szCs w:val="20"/>
          <w:lang w:eastAsia="es-SV"/>
        </w:rPr>
        <w:t xml:space="preserve">, informando </w:t>
      </w:r>
      <w:r w:rsidR="0046268E" w:rsidRPr="0022586D">
        <w:rPr>
          <w:rFonts w:ascii="Century Gothic" w:eastAsia="Times New Roman" w:hAnsi="Century Gothic" w:cs="Arial"/>
          <w:sz w:val="18"/>
          <w:szCs w:val="20"/>
          <w:lang w:eastAsia="es-SV"/>
        </w:rPr>
        <w:t xml:space="preserve">como se detalla: </w:t>
      </w:r>
    </w:p>
    <w:p w14:paraId="3204992C" w14:textId="77777777" w:rsidR="0022586D" w:rsidRPr="0022586D" w:rsidRDefault="0022586D" w:rsidP="0022586D">
      <w:pPr>
        <w:spacing w:after="0" w:line="240" w:lineRule="auto"/>
        <w:jc w:val="both"/>
        <w:rPr>
          <w:rFonts w:ascii="Century Gothic" w:hAnsi="Century Gothic" w:cs="Arial"/>
          <w:b/>
          <w:sz w:val="18"/>
          <w:szCs w:val="20"/>
        </w:rPr>
      </w:pPr>
      <w:r w:rsidRPr="0022586D">
        <w:rPr>
          <w:rFonts w:ascii="Century Gothic" w:hAnsi="Century Gothic" w:cs="Arial"/>
          <w:b/>
          <w:sz w:val="18"/>
          <w:szCs w:val="20"/>
        </w:rPr>
        <w:t>1. ¿Tiene OPAMSS sectorizado de “ALTO RIESGO” el Cerro San Jacinto? Me pueden enviar información de sectores que no se pueden urbanizar o lotificar por “ALTO RIESGO” en Cerro San Jacinto (San Marcos específicamente).</w:t>
      </w:r>
    </w:p>
    <w:p w14:paraId="573554DF" w14:textId="4C0969DD" w:rsidR="0022586D" w:rsidRPr="0022586D" w:rsidRDefault="0022586D" w:rsidP="0022586D">
      <w:pPr>
        <w:spacing w:after="0" w:line="240" w:lineRule="auto"/>
        <w:jc w:val="both"/>
        <w:rPr>
          <w:rFonts w:ascii="Century Gothic" w:hAnsi="Century Gothic" w:cs="Arial"/>
          <w:sz w:val="18"/>
          <w:szCs w:val="20"/>
        </w:rPr>
      </w:pPr>
      <w:r w:rsidRPr="0022586D">
        <w:rPr>
          <w:rFonts w:ascii="Century Gothic" w:hAnsi="Century Gothic" w:cs="Arial"/>
          <w:sz w:val="18"/>
          <w:szCs w:val="20"/>
        </w:rPr>
        <w:t>De acuerdo a las regulaciones vigentes establecidas en el Esquema Director, publicadas en el Diario Oficial No. 31, tomo 414, de fecha 14 de febrero de 2017, el Cerro San Jacinto, así como los sectores aledaños al casco urbano del Municipio de San Marcos, se ubican dentro de un polígono denominado de “riesgo por densidad tectónica” (Ver Mapa anexo), debido a la presencia de amenazas por movimientos de ladera y sismicidad. Asimismo, se observan sectores problemáticos categorizados como “</w:t>
      </w:r>
      <w:proofErr w:type="spellStart"/>
      <w:r w:rsidRPr="0022586D">
        <w:rPr>
          <w:rFonts w:ascii="Century Gothic" w:hAnsi="Century Gothic" w:cs="Arial"/>
          <w:sz w:val="18"/>
          <w:szCs w:val="20"/>
        </w:rPr>
        <w:t>badlands</w:t>
      </w:r>
      <w:proofErr w:type="spellEnd"/>
      <w:r w:rsidRPr="0022586D">
        <w:rPr>
          <w:rFonts w:ascii="Century Gothic" w:hAnsi="Century Gothic" w:cs="Arial"/>
          <w:sz w:val="18"/>
          <w:szCs w:val="20"/>
        </w:rPr>
        <w:t xml:space="preserve">” y “bloques </w:t>
      </w:r>
      <w:proofErr w:type="spellStart"/>
      <w:r w:rsidRPr="0022586D">
        <w:rPr>
          <w:rFonts w:ascii="Century Gothic" w:hAnsi="Century Gothic" w:cs="Arial"/>
          <w:sz w:val="18"/>
          <w:szCs w:val="20"/>
        </w:rPr>
        <w:t>diastróficos</w:t>
      </w:r>
      <w:proofErr w:type="spellEnd"/>
      <w:r w:rsidRPr="0022586D">
        <w:rPr>
          <w:rFonts w:ascii="Century Gothic" w:hAnsi="Century Gothic" w:cs="Arial"/>
          <w:sz w:val="18"/>
          <w:szCs w:val="20"/>
        </w:rPr>
        <w:t>”, de acuerdo al mapa geomorfológico del AMSS (Anexo No. 23 del Reglamento a la Ley de Desarrollo y Ordenamiento Territorial del Área Metropolitana de San Salvador y de los Municipios Aledaños).</w:t>
      </w:r>
    </w:p>
    <w:p w14:paraId="3405C914" w14:textId="77777777" w:rsidR="0022586D" w:rsidRPr="0022586D" w:rsidRDefault="0022586D" w:rsidP="0022586D">
      <w:pPr>
        <w:spacing w:after="0" w:line="240" w:lineRule="auto"/>
        <w:jc w:val="both"/>
        <w:rPr>
          <w:rFonts w:ascii="Century Gothic" w:hAnsi="Century Gothic" w:cs="Arial"/>
          <w:sz w:val="18"/>
          <w:szCs w:val="20"/>
        </w:rPr>
      </w:pPr>
      <w:r w:rsidRPr="0022586D">
        <w:rPr>
          <w:rFonts w:ascii="Century Gothic" w:hAnsi="Century Gothic" w:cs="Arial"/>
          <w:sz w:val="18"/>
          <w:szCs w:val="20"/>
        </w:rPr>
        <w:t>Tomando en cuenta las condicionantes antes descritas, dichos sectores se delimitaron como Suelo No Urbanizable, con tratamiento de “Conservación Ambiental”.</w:t>
      </w:r>
    </w:p>
    <w:p w14:paraId="5B216FB5" w14:textId="77777777" w:rsidR="0022586D" w:rsidRPr="0022586D" w:rsidRDefault="0022586D" w:rsidP="0022586D">
      <w:pPr>
        <w:spacing w:after="0" w:line="240" w:lineRule="auto"/>
        <w:jc w:val="both"/>
        <w:rPr>
          <w:rFonts w:ascii="Century Gothic" w:hAnsi="Century Gothic" w:cs="Arial"/>
          <w:sz w:val="18"/>
          <w:szCs w:val="20"/>
        </w:rPr>
      </w:pPr>
      <w:r w:rsidRPr="0022586D">
        <w:rPr>
          <w:rFonts w:ascii="Century Gothic" w:hAnsi="Century Gothic" w:cs="Arial"/>
          <w:sz w:val="18"/>
          <w:szCs w:val="20"/>
        </w:rPr>
        <w:t>El resto de tratamientos urbanísticos dentro de este polígono de riesgo poseen restricción al desarrollo en estos sectores. Por lo tanto, para zonas con tratamiento de “Consolidación” como las Colonias Los Andes 2, San Rafael, El Milagro, Los Alpes 1 y Lotificación San Rosa, entre otras, considerando el riesgo por amenaza de movimiento de ladera, será necesario realizar una evaluación técnica para determinar la procedencia de nuevos asentamientos.</w:t>
      </w:r>
    </w:p>
    <w:p w14:paraId="78FF84C7" w14:textId="77777777" w:rsidR="0022586D" w:rsidRPr="0022586D" w:rsidRDefault="0022586D" w:rsidP="0022586D">
      <w:pPr>
        <w:spacing w:after="0" w:line="240" w:lineRule="auto"/>
        <w:jc w:val="both"/>
        <w:rPr>
          <w:rFonts w:ascii="Century Gothic" w:hAnsi="Century Gothic" w:cs="Arial"/>
          <w:b/>
          <w:sz w:val="18"/>
          <w:szCs w:val="20"/>
        </w:rPr>
      </w:pPr>
      <w:r w:rsidRPr="0022586D">
        <w:rPr>
          <w:rFonts w:ascii="Century Gothic" w:hAnsi="Century Gothic" w:cs="Arial"/>
          <w:b/>
          <w:sz w:val="18"/>
          <w:szCs w:val="20"/>
        </w:rPr>
        <w:t>2. En que cota o msnm, es la máxima en urbanizar el Cerro San Jacinto, en San Marcos específicamente.</w:t>
      </w:r>
    </w:p>
    <w:p w14:paraId="76150612" w14:textId="77777777" w:rsidR="0022586D" w:rsidRPr="0022586D" w:rsidRDefault="0022586D" w:rsidP="0022586D">
      <w:pPr>
        <w:spacing w:after="0" w:line="240" w:lineRule="auto"/>
        <w:jc w:val="both"/>
        <w:rPr>
          <w:rFonts w:ascii="Century Gothic" w:hAnsi="Century Gothic" w:cs="Arial"/>
          <w:sz w:val="18"/>
          <w:szCs w:val="20"/>
        </w:rPr>
      </w:pPr>
      <w:r w:rsidRPr="0022586D">
        <w:rPr>
          <w:rFonts w:ascii="Century Gothic" w:hAnsi="Century Gothic" w:cs="Arial"/>
          <w:sz w:val="18"/>
          <w:szCs w:val="20"/>
        </w:rPr>
        <w:t>El criterio mediante el cual se establecieron zonas de máxima protección anteriormente en los municipios del AMSS era la cota 1000. Sin embargo, con la entrada en vigencia del Esquema Director, ese criterio quedo obsoleto y ahora se ha adoptado el polígono de riesgo anteriormente citado.</w:t>
      </w:r>
    </w:p>
    <w:p w14:paraId="785000C1" w14:textId="77777777" w:rsidR="0022586D" w:rsidRPr="0022586D" w:rsidRDefault="0022586D" w:rsidP="0022586D">
      <w:pPr>
        <w:spacing w:after="0" w:line="240" w:lineRule="auto"/>
        <w:jc w:val="both"/>
        <w:rPr>
          <w:rFonts w:ascii="Century Gothic" w:hAnsi="Century Gothic" w:cs="Arial"/>
          <w:sz w:val="18"/>
          <w:szCs w:val="20"/>
        </w:rPr>
      </w:pPr>
      <w:r w:rsidRPr="0022586D">
        <w:rPr>
          <w:rFonts w:ascii="Century Gothic" w:hAnsi="Century Gothic" w:cs="Arial"/>
          <w:sz w:val="18"/>
          <w:szCs w:val="20"/>
        </w:rPr>
        <w:t>En el instrumento vigente denominado Esquema Director, la delimitación del área urbana existente en el sector del Cerro San Jacinto, no responde a una cota en particular, sino al cruce de una serie de mapas temáticos.</w:t>
      </w:r>
    </w:p>
    <w:p w14:paraId="29EB34EF" w14:textId="3F5A77E3" w:rsidR="00C97B20" w:rsidRPr="0022586D" w:rsidRDefault="00C97B20" w:rsidP="0022586D">
      <w:pPr>
        <w:pStyle w:val="Textoindependiente3"/>
        <w:spacing w:after="0" w:line="240" w:lineRule="auto"/>
        <w:jc w:val="both"/>
        <w:rPr>
          <w:rFonts w:ascii="Century Gothic" w:eastAsia="Times New Roman" w:hAnsi="Century Gothic" w:cs="Arial"/>
          <w:sz w:val="18"/>
          <w:szCs w:val="20"/>
          <w:lang w:eastAsia="es-SV"/>
        </w:rPr>
      </w:pPr>
    </w:p>
    <w:p w14:paraId="5A86FBFF" w14:textId="101A8BF0" w:rsidR="00BA0FB7" w:rsidRPr="0022586D" w:rsidRDefault="00BA0FB7" w:rsidP="0022586D">
      <w:pPr>
        <w:widowControl w:val="0"/>
        <w:autoSpaceDE w:val="0"/>
        <w:autoSpaceDN w:val="0"/>
        <w:adjustRightInd w:val="0"/>
        <w:spacing w:after="0" w:line="240" w:lineRule="auto"/>
        <w:ind w:right="72"/>
        <w:jc w:val="both"/>
        <w:rPr>
          <w:rFonts w:ascii="Century Gothic" w:eastAsiaTheme="minorHAnsi" w:hAnsi="Century Gothic" w:cs="Arial"/>
          <w:sz w:val="18"/>
          <w:szCs w:val="20"/>
          <w:lang w:val="es-ES" w:eastAsia="en-US"/>
        </w:rPr>
      </w:pPr>
      <w:r w:rsidRPr="0022586D">
        <w:rPr>
          <w:rFonts w:ascii="Century Gothic" w:hAnsi="Century Gothic" w:cs="Arial"/>
          <w:b/>
          <w:sz w:val="18"/>
          <w:szCs w:val="20"/>
        </w:rPr>
        <w:t>POR TANTO</w:t>
      </w:r>
      <w:r w:rsidRPr="0022586D">
        <w:rPr>
          <w:rFonts w:ascii="Century Gothic" w:hAnsi="Century Gothic" w:cs="Arial"/>
          <w:sz w:val="18"/>
          <w:szCs w:val="20"/>
        </w:rPr>
        <w:t xml:space="preserve">, de </w:t>
      </w:r>
      <w:r w:rsidR="00CF7CEB" w:rsidRPr="0022586D">
        <w:rPr>
          <w:rFonts w:ascii="Century Gothic" w:hAnsi="Century Gothic" w:cs="Arial"/>
          <w:sz w:val="18"/>
          <w:szCs w:val="20"/>
        </w:rPr>
        <w:t>conformidad a los artículos 62</w:t>
      </w:r>
      <w:r w:rsidR="00C45DA9" w:rsidRPr="0022586D">
        <w:rPr>
          <w:rFonts w:ascii="Century Gothic" w:hAnsi="Century Gothic" w:cs="Arial"/>
          <w:sz w:val="18"/>
          <w:szCs w:val="20"/>
        </w:rPr>
        <w:t xml:space="preserve">, </w:t>
      </w:r>
      <w:r w:rsidR="00CF7CEB" w:rsidRPr="0022586D">
        <w:rPr>
          <w:rFonts w:ascii="Century Gothic" w:hAnsi="Century Gothic" w:cs="Arial"/>
          <w:sz w:val="18"/>
          <w:szCs w:val="20"/>
        </w:rPr>
        <w:t>65, 66, 68, 69, 70, 71,</w:t>
      </w:r>
      <w:r w:rsidR="00696847" w:rsidRPr="0022586D">
        <w:rPr>
          <w:rFonts w:ascii="Century Gothic" w:hAnsi="Century Gothic" w:cs="Arial"/>
          <w:sz w:val="18"/>
          <w:szCs w:val="20"/>
        </w:rPr>
        <w:t xml:space="preserve"> </w:t>
      </w:r>
      <w:r w:rsidR="00F6018B">
        <w:rPr>
          <w:rFonts w:ascii="Century Gothic" w:hAnsi="Century Gothic" w:cs="Arial"/>
          <w:sz w:val="18"/>
          <w:szCs w:val="20"/>
        </w:rPr>
        <w:t xml:space="preserve">y </w:t>
      </w:r>
      <w:r w:rsidR="00696847" w:rsidRPr="0022586D">
        <w:rPr>
          <w:rFonts w:ascii="Century Gothic" w:hAnsi="Century Gothic" w:cs="Arial"/>
          <w:sz w:val="18"/>
          <w:szCs w:val="20"/>
        </w:rPr>
        <w:t xml:space="preserve">72 </w:t>
      </w:r>
      <w:r w:rsidRPr="0022586D">
        <w:rPr>
          <w:rFonts w:ascii="Century Gothic" w:hAnsi="Century Gothic" w:cs="Arial"/>
          <w:sz w:val="18"/>
          <w:szCs w:val="20"/>
        </w:rPr>
        <w:t xml:space="preserve">de la Ley de Acceso a la Información Pública, el suscrito Oficial de Información </w:t>
      </w:r>
      <w:r w:rsidRPr="0022586D">
        <w:rPr>
          <w:rFonts w:ascii="Century Gothic" w:hAnsi="Century Gothic" w:cs="Arial"/>
          <w:b/>
          <w:sz w:val="18"/>
          <w:szCs w:val="20"/>
        </w:rPr>
        <w:t>RESUELVE</w:t>
      </w:r>
      <w:r w:rsidR="0084223C" w:rsidRPr="0022586D">
        <w:rPr>
          <w:rFonts w:ascii="Century Gothic" w:hAnsi="Century Gothic" w:cs="Arial"/>
          <w:b/>
          <w:sz w:val="18"/>
          <w:szCs w:val="20"/>
        </w:rPr>
        <w:t>:</w:t>
      </w:r>
    </w:p>
    <w:p w14:paraId="0DF5EDF6" w14:textId="77777777" w:rsidR="00D106FD" w:rsidRPr="0022586D" w:rsidRDefault="00D106FD" w:rsidP="0022586D">
      <w:pPr>
        <w:widowControl w:val="0"/>
        <w:autoSpaceDE w:val="0"/>
        <w:autoSpaceDN w:val="0"/>
        <w:adjustRightInd w:val="0"/>
        <w:spacing w:after="0" w:line="240" w:lineRule="auto"/>
        <w:ind w:right="72"/>
        <w:jc w:val="both"/>
        <w:rPr>
          <w:rFonts w:ascii="Century Gothic" w:eastAsiaTheme="minorHAnsi" w:hAnsi="Century Gothic" w:cs="Arial"/>
          <w:sz w:val="18"/>
          <w:szCs w:val="20"/>
          <w:lang w:val="es-ES" w:eastAsia="en-US"/>
        </w:rPr>
      </w:pPr>
    </w:p>
    <w:p w14:paraId="09B09132" w14:textId="3CA36557" w:rsidR="000C338E" w:rsidRPr="0022586D" w:rsidRDefault="000C338E" w:rsidP="0022586D">
      <w:pPr>
        <w:pStyle w:val="Textosinformato"/>
        <w:jc w:val="both"/>
        <w:rPr>
          <w:rFonts w:ascii="Century Gothic" w:hAnsi="Century Gothic" w:cs="Arial"/>
          <w:sz w:val="18"/>
          <w:szCs w:val="20"/>
        </w:rPr>
      </w:pPr>
      <w:r w:rsidRPr="0022586D">
        <w:rPr>
          <w:rFonts w:ascii="Century Gothic" w:hAnsi="Century Gothic" w:cs="Arial"/>
          <w:b/>
          <w:sz w:val="18"/>
          <w:szCs w:val="20"/>
        </w:rPr>
        <w:t xml:space="preserve">INFORMAR </w:t>
      </w:r>
      <w:r w:rsidRPr="0022586D">
        <w:rPr>
          <w:rFonts w:ascii="Century Gothic" w:eastAsia="Times New Roman" w:hAnsi="Century Gothic" w:cs="Arial"/>
          <w:b/>
          <w:sz w:val="18"/>
          <w:szCs w:val="20"/>
          <w:lang w:eastAsia="es-SV"/>
        </w:rPr>
        <w:t xml:space="preserve">al </w:t>
      </w:r>
      <w:r w:rsidRPr="0022586D">
        <w:rPr>
          <w:rFonts w:ascii="Century Gothic" w:hAnsi="Century Gothic" w:cs="Arial"/>
          <w:b/>
          <w:sz w:val="18"/>
          <w:szCs w:val="20"/>
        </w:rPr>
        <w:t xml:space="preserve">Sr. </w:t>
      </w:r>
      <w:bookmarkStart w:id="1" w:name="_GoBack"/>
      <w:bookmarkEnd w:id="1"/>
      <w:r w:rsidR="00051FA7" w:rsidRPr="00051FA7">
        <w:rPr>
          <w:rFonts w:ascii="Century Gothic" w:hAnsi="Century Gothic" w:cs="Arial"/>
          <w:b/>
          <w:sz w:val="18"/>
          <w:szCs w:val="20"/>
          <w:highlight w:val="black"/>
        </w:rPr>
        <w:t>XXXXXXXXXXXXX</w:t>
      </w:r>
      <w:r w:rsidRPr="0022586D">
        <w:rPr>
          <w:rFonts w:ascii="Century Gothic" w:eastAsia="Times New Roman" w:hAnsi="Century Gothic" w:cs="Arial"/>
          <w:b/>
          <w:sz w:val="18"/>
          <w:szCs w:val="20"/>
          <w:lang w:eastAsia="es-SV"/>
        </w:rPr>
        <w:t xml:space="preserve">, </w:t>
      </w:r>
      <w:r w:rsidRPr="0022586D">
        <w:rPr>
          <w:rFonts w:ascii="Century Gothic" w:hAnsi="Century Gothic" w:cs="Arial"/>
          <w:sz w:val="18"/>
          <w:szCs w:val="20"/>
        </w:rPr>
        <w:t>tal como se detalló en los numerales del 1</w:t>
      </w:r>
      <w:r w:rsidR="00E9659F">
        <w:rPr>
          <w:rFonts w:ascii="Century Gothic" w:hAnsi="Century Gothic" w:cs="Arial"/>
          <w:sz w:val="18"/>
          <w:szCs w:val="20"/>
        </w:rPr>
        <w:t xml:space="preserve"> y </w:t>
      </w:r>
      <w:r w:rsidRPr="0022586D">
        <w:rPr>
          <w:rFonts w:ascii="Century Gothic" w:hAnsi="Century Gothic" w:cs="Arial"/>
          <w:sz w:val="18"/>
          <w:szCs w:val="20"/>
        </w:rPr>
        <w:t>2</w:t>
      </w:r>
      <w:r w:rsidR="00820801" w:rsidRPr="0022586D">
        <w:rPr>
          <w:rFonts w:ascii="Century Gothic" w:hAnsi="Century Gothic" w:cs="Arial"/>
          <w:sz w:val="18"/>
          <w:szCs w:val="20"/>
        </w:rPr>
        <w:t xml:space="preserve"> </w:t>
      </w:r>
      <w:r w:rsidRPr="0022586D">
        <w:rPr>
          <w:rFonts w:ascii="Century Gothic" w:hAnsi="Century Gothic" w:cs="Arial"/>
          <w:sz w:val="18"/>
          <w:szCs w:val="20"/>
        </w:rPr>
        <w:t>respectivamente</w:t>
      </w:r>
      <w:r w:rsidR="00E9659F">
        <w:rPr>
          <w:rFonts w:ascii="Century Gothic" w:hAnsi="Century Gothic" w:cs="Arial"/>
          <w:sz w:val="18"/>
          <w:szCs w:val="20"/>
        </w:rPr>
        <w:t xml:space="preserve"> en la presente resolución. Se anexa Mapa.</w:t>
      </w:r>
    </w:p>
    <w:p w14:paraId="582AC388" w14:textId="3AE963B4" w:rsidR="00A6528B" w:rsidRPr="0022586D" w:rsidRDefault="00A6528B" w:rsidP="0022586D">
      <w:pPr>
        <w:pStyle w:val="Textoindependiente3"/>
        <w:spacing w:after="0" w:line="240" w:lineRule="auto"/>
        <w:jc w:val="both"/>
        <w:rPr>
          <w:rFonts w:ascii="Century Gothic" w:eastAsiaTheme="minorHAnsi" w:hAnsi="Century Gothic" w:cs="Arial"/>
          <w:sz w:val="18"/>
          <w:szCs w:val="20"/>
          <w:lang w:val="es-ES"/>
        </w:rPr>
      </w:pPr>
    </w:p>
    <w:p w14:paraId="31827DE0" w14:textId="77777777" w:rsidR="00C741E0" w:rsidRPr="0022586D" w:rsidRDefault="00C741E0" w:rsidP="0022586D">
      <w:pPr>
        <w:widowControl w:val="0"/>
        <w:autoSpaceDE w:val="0"/>
        <w:autoSpaceDN w:val="0"/>
        <w:adjustRightInd w:val="0"/>
        <w:spacing w:after="0" w:line="240" w:lineRule="auto"/>
        <w:rPr>
          <w:rFonts w:ascii="Century Gothic" w:eastAsiaTheme="minorHAnsi" w:hAnsi="Century Gothic" w:cs="Arial"/>
          <w:sz w:val="18"/>
          <w:szCs w:val="20"/>
          <w:lang w:val="es-ES" w:eastAsia="en-US"/>
        </w:rPr>
      </w:pPr>
      <w:r w:rsidRPr="0022586D">
        <w:rPr>
          <w:rFonts w:ascii="Century Gothic" w:eastAsiaTheme="minorHAnsi" w:hAnsi="Century Gothic" w:cs="Arial"/>
          <w:sz w:val="18"/>
          <w:szCs w:val="20"/>
          <w:lang w:val="es-ES" w:eastAsia="en-US"/>
        </w:rPr>
        <w:t>Notifíquese al interesado en el medio y forma señalada para tales efectos.</w:t>
      </w:r>
    </w:p>
    <w:p w14:paraId="7623B5F1" w14:textId="77777777" w:rsidR="00C741E0" w:rsidRPr="0022586D" w:rsidRDefault="00C741E0" w:rsidP="0022586D">
      <w:pPr>
        <w:widowControl w:val="0"/>
        <w:autoSpaceDE w:val="0"/>
        <w:autoSpaceDN w:val="0"/>
        <w:adjustRightInd w:val="0"/>
        <w:spacing w:after="0" w:line="240" w:lineRule="auto"/>
        <w:rPr>
          <w:rFonts w:ascii="Century Gothic" w:eastAsiaTheme="minorHAnsi" w:hAnsi="Century Gothic" w:cs="Arial"/>
          <w:sz w:val="18"/>
          <w:szCs w:val="20"/>
          <w:lang w:val="es-ES" w:eastAsia="en-US"/>
        </w:rPr>
      </w:pPr>
    </w:p>
    <w:p w14:paraId="6B97867F" w14:textId="77777777" w:rsidR="00E94DA2" w:rsidRPr="0022586D" w:rsidRDefault="00E94DA2" w:rsidP="0022586D">
      <w:pPr>
        <w:widowControl w:val="0"/>
        <w:autoSpaceDE w:val="0"/>
        <w:autoSpaceDN w:val="0"/>
        <w:adjustRightInd w:val="0"/>
        <w:spacing w:after="0" w:line="240" w:lineRule="auto"/>
        <w:rPr>
          <w:rFonts w:ascii="Century Gothic" w:hAnsi="Century Gothic"/>
          <w:sz w:val="18"/>
          <w:szCs w:val="20"/>
        </w:rPr>
      </w:pPr>
    </w:p>
    <w:p w14:paraId="2F0FA375" w14:textId="77777777" w:rsidR="00E94DA2" w:rsidRPr="0022586D" w:rsidRDefault="00E94DA2" w:rsidP="0022586D">
      <w:pPr>
        <w:widowControl w:val="0"/>
        <w:autoSpaceDE w:val="0"/>
        <w:autoSpaceDN w:val="0"/>
        <w:adjustRightInd w:val="0"/>
        <w:spacing w:after="0" w:line="240" w:lineRule="auto"/>
        <w:rPr>
          <w:rFonts w:ascii="Century Gothic" w:hAnsi="Century Gothic"/>
          <w:sz w:val="18"/>
          <w:szCs w:val="20"/>
        </w:rPr>
      </w:pPr>
    </w:p>
    <w:p w14:paraId="05FE99F2" w14:textId="77777777" w:rsidR="00BF47BF" w:rsidRPr="0022586D" w:rsidRDefault="00BF47BF" w:rsidP="0022586D">
      <w:pPr>
        <w:widowControl w:val="0"/>
        <w:autoSpaceDE w:val="0"/>
        <w:autoSpaceDN w:val="0"/>
        <w:adjustRightInd w:val="0"/>
        <w:spacing w:after="0" w:line="240" w:lineRule="auto"/>
        <w:rPr>
          <w:rFonts w:ascii="Century Gothic" w:hAnsi="Century Gothic"/>
          <w:sz w:val="18"/>
          <w:szCs w:val="20"/>
        </w:rPr>
      </w:pPr>
    </w:p>
    <w:p w14:paraId="1364959C" w14:textId="77777777" w:rsidR="00C741E0" w:rsidRPr="0022586D" w:rsidRDefault="00C741E0" w:rsidP="0022586D">
      <w:pPr>
        <w:widowControl w:val="0"/>
        <w:autoSpaceDE w:val="0"/>
        <w:autoSpaceDN w:val="0"/>
        <w:adjustRightInd w:val="0"/>
        <w:spacing w:after="0" w:line="240" w:lineRule="auto"/>
        <w:jc w:val="center"/>
        <w:rPr>
          <w:rFonts w:ascii="Century Gothic" w:hAnsi="Century Gothic"/>
          <w:sz w:val="18"/>
          <w:szCs w:val="20"/>
        </w:rPr>
      </w:pPr>
      <w:r w:rsidRPr="0022586D">
        <w:rPr>
          <w:rFonts w:ascii="Century Gothic" w:hAnsi="Century Gothic"/>
          <w:sz w:val="18"/>
          <w:szCs w:val="20"/>
        </w:rPr>
        <w:t>Marlene Solano</w:t>
      </w:r>
    </w:p>
    <w:p w14:paraId="14CC3A19" w14:textId="77777777" w:rsidR="00E4295F" w:rsidRPr="0022586D" w:rsidRDefault="00C741E0" w:rsidP="0022586D">
      <w:pPr>
        <w:widowControl w:val="0"/>
        <w:autoSpaceDE w:val="0"/>
        <w:autoSpaceDN w:val="0"/>
        <w:adjustRightInd w:val="0"/>
        <w:spacing w:after="0" w:line="240" w:lineRule="auto"/>
        <w:jc w:val="center"/>
        <w:rPr>
          <w:sz w:val="18"/>
          <w:szCs w:val="20"/>
        </w:rPr>
      </w:pPr>
      <w:r w:rsidRPr="0022586D">
        <w:rPr>
          <w:rFonts w:ascii="Century Gothic" w:hAnsi="Century Gothic"/>
          <w:sz w:val="18"/>
          <w:szCs w:val="20"/>
        </w:rPr>
        <w:t>Oficial de Información</w:t>
      </w:r>
    </w:p>
    <w:sectPr w:rsidR="00E4295F" w:rsidRPr="0022586D"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DF56" w14:textId="52BB6F90" w:rsidR="00E528A0" w:rsidRDefault="00AA7A28">
    <w:pPr>
      <w:pStyle w:val="Piedepgina"/>
    </w:pPr>
    <w:r>
      <w:rPr>
        <w:noProof/>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0941" w14:textId="2FF9F881" w:rsidR="00E528A0" w:rsidRDefault="00AA7A28" w:rsidP="00E4295F">
    <w:pPr>
      <w:pStyle w:val="Encabezado"/>
    </w:pPr>
    <w:r>
      <w:rPr>
        <w:noProof/>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5EAC6ACF"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E9659F">
                            <w:rPr>
                              <w:rFonts w:ascii="Century Gothic" w:hAnsi="Century Gothic"/>
                              <w:b/>
                              <w:color w:val="17365D" w:themeColor="text2" w:themeShade="BF"/>
                              <w:sz w:val="18"/>
                              <w:lang w:val="es-MX"/>
                            </w:rPr>
                            <w:t>79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5EAC6ACF"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E9659F">
                      <w:rPr>
                        <w:rFonts w:ascii="Century Gothic" w:hAnsi="Century Gothic"/>
                        <w:b/>
                        <w:color w:val="17365D" w:themeColor="text2" w:themeShade="BF"/>
                        <w:sz w:val="18"/>
                        <w:lang w:val="es-MX"/>
                      </w:rPr>
                      <w:t>79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B175A1"/>
    <w:multiLevelType w:val="hybridMultilevel"/>
    <w:tmpl w:val="01D46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D76700"/>
    <w:multiLevelType w:val="hybridMultilevel"/>
    <w:tmpl w:val="94949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8E7F02"/>
    <w:multiLevelType w:val="hybridMultilevel"/>
    <w:tmpl w:val="EC507D82"/>
    <w:lvl w:ilvl="0" w:tplc="5FE0AD5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903CF1"/>
    <w:multiLevelType w:val="hybridMultilevel"/>
    <w:tmpl w:val="20F4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B574940"/>
    <w:multiLevelType w:val="hybridMultilevel"/>
    <w:tmpl w:val="D3F614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4F54EC"/>
    <w:multiLevelType w:val="hybridMultilevel"/>
    <w:tmpl w:val="61C2C3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0A5864"/>
    <w:multiLevelType w:val="hybridMultilevel"/>
    <w:tmpl w:val="7F1A9C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6AC85759"/>
    <w:multiLevelType w:val="hybridMultilevel"/>
    <w:tmpl w:val="96585074"/>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DC735CA"/>
    <w:multiLevelType w:val="hybridMultilevel"/>
    <w:tmpl w:val="A31ACF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E124AD9"/>
    <w:multiLevelType w:val="hybridMultilevel"/>
    <w:tmpl w:val="1B0046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6"/>
  </w:num>
  <w:num w:numId="4">
    <w:abstractNumId w:val="4"/>
  </w:num>
  <w:num w:numId="5">
    <w:abstractNumId w:val="7"/>
  </w:num>
  <w:num w:numId="6">
    <w:abstractNumId w:val="3"/>
  </w:num>
  <w:num w:numId="7">
    <w:abstractNumId w:val="14"/>
  </w:num>
  <w:num w:numId="8">
    <w:abstractNumId w:val="36"/>
  </w:num>
  <w:num w:numId="9">
    <w:abstractNumId w:val="6"/>
  </w:num>
  <w:num w:numId="10">
    <w:abstractNumId w:val="2"/>
  </w:num>
  <w:num w:numId="11">
    <w:abstractNumId w:val="29"/>
  </w:num>
  <w:num w:numId="12">
    <w:abstractNumId w:val="0"/>
  </w:num>
  <w:num w:numId="13">
    <w:abstractNumId w:val="27"/>
  </w:num>
  <w:num w:numId="14">
    <w:abstractNumId w:val="21"/>
  </w:num>
  <w:num w:numId="15">
    <w:abstractNumId w:val="37"/>
  </w:num>
  <w:num w:numId="16">
    <w:abstractNumId w:val="23"/>
  </w:num>
  <w:num w:numId="17">
    <w:abstractNumId w:val="24"/>
  </w:num>
  <w:num w:numId="18">
    <w:abstractNumId w:val="39"/>
  </w:num>
  <w:num w:numId="19">
    <w:abstractNumId w:val="34"/>
  </w:num>
  <w:num w:numId="20">
    <w:abstractNumId w:val="9"/>
  </w:num>
  <w:num w:numId="21">
    <w:abstractNumId w:val="28"/>
  </w:num>
  <w:num w:numId="22">
    <w:abstractNumId w:val="1"/>
  </w:num>
  <w:num w:numId="23">
    <w:abstractNumId w:val="11"/>
  </w:num>
  <w:num w:numId="24">
    <w:abstractNumId w:val="17"/>
  </w:num>
  <w:num w:numId="25">
    <w:abstractNumId w:val="12"/>
  </w:num>
  <w:num w:numId="26">
    <w:abstractNumId w:val="32"/>
  </w:num>
  <w:num w:numId="27">
    <w:abstractNumId w:val="22"/>
  </w:num>
  <w:num w:numId="28">
    <w:abstractNumId w:val="31"/>
  </w:num>
  <w:num w:numId="29">
    <w:abstractNumId w:val="30"/>
  </w:num>
  <w:num w:numId="30">
    <w:abstractNumId w:val="19"/>
  </w:num>
  <w:num w:numId="31">
    <w:abstractNumId w:val="10"/>
  </w:num>
  <w:num w:numId="32">
    <w:abstractNumId w:val="13"/>
  </w:num>
  <w:num w:numId="33">
    <w:abstractNumId w:val="5"/>
  </w:num>
  <w:num w:numId="34">
    <w:abstractNumId w:val="8"/>
  </w:num>
  <w:num w:numId="35">
    <w:abstractNumId w:val="33"/>
  </w:num>
  <w:num w:numId="36">
    <w:abstractNumId w:val="25"/>
  </w:num>
  <w:num w:numId="37">
    <w:abstractNumId w:val="15"/>
  </w:num>
  <w:num w:numId="38">
    <w:abstractNumId w:val="38"/>
  </w:num>
  <w:num w:numId="39">
    <w:abstractNumId w:val="35"/>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124"/>
    <w:rsid w:val="00006BDA"/>
    <w:rsid w:val="00006DA4"/>
    <w:rsid w:val="0000755F"/>
    <w:rsid w:val="00011576"/>
    <w:rsid w:val="0001310F"/>
    <w:rsid w:val="000132C1"/>
    <w:rsid w:val="00013B87"/>
    <w:rsid w:val="00016610"/>
    <w:rsid w:val="00024B52"/>
    <w:rsid w:val="000250C5"/>
    <w:rsid w:val="00031065"/>
    <w:rsid w:val="00035E25"/>
    <w:rsid w:val="00044670"/>
    <w:rsid w:val="00044BB8"/>
    <w:rsid w:val="00051FA7"/>
    <w:rsid w:val="0005323B"/>
    <w:rsid w:val="00056286"/>
    <w:rsid w:val="00081C62"/>
    <w:rsid w:val="00083695"/>
    <w:rsid w:val="00085EB5"/>
    <w:rsid w:val="0008660F"/>
    <w:rsid w:val="0008686D"/>
    <w:rsid w:val="00087BED"/>
    <w:rsid w:val="00090643"/>
    <w:rsid w:val="00096D49"/>
    <w:rsid w:val="00096E79"/>
    <w:rsid w:val="000970FC"/>
    <w:rsid w:val="000A0410"/>
    <w:rsid w:val="000A4CBF"/>
    <w:rsid w:val="000A6003"/>
    <w:rsid w:val="000A7999"/>
    <w:rsid w:val="000B300D"/>
    <w:rsid w:val="000C2AB4"/>
    <w:rsid w:val="000C338E"/>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0B52"/>
    <w:rsid w:val="00143CD4"/>
    <w:rsid w:val="0014681A"/>
    <w:rsid w:val="001471FB"/>
    <w:rsid w:val="001507F7"/>
    <w:rsid w:val="00150AD6"/>
    <w:rsid w:val="00152043"/>
    <w:rsid w:val="00152B80"/>
    <w:rsid w:val="00156741"/>
    <w:rsid w:val="0016123C"/>
    <w:rsid w:val="00163628"/>
    <w:rsid w:val="0016481B"/>
    <w:rsid w:val="00166F18"/>
    <w:rsid w:val="001706DC"/>
    <w:rsid w:val="00173035"/>
    <w:rsid w:val="0017771D"/>
    <w:rsid w:val="001800A5"/>
    <w:rsid w:val="001814F2"/>
    <w:rsid w:val="00181949"/>
    <w:rsid w:val="001854BC"/>
    <w:rsid w:val="00185B21"/>
    <w:rsid w:val="00186064"/>
    <w:rsid w:val="00190DA4"/>
    <w:rsid w:val="00197879"/>
    <w:rsid w:val="001A0332"/>
    <w:rsid w:val="001A0B8B"/>
    <w:rsid w:val="001A368B"/>
    <w:rsid w:val="001A4004"/>
    <w:rsid w:val="001A556E"/>
    <w:rsid w:val="001B0EA9"/>
    <w:rsid w:val="001C384D"/>
    <w:rsid w:val="001C3DA6"/>
    <w:rsid w:val="001C75F6"/>
    <w:rsid w:val="001D541E"/>
    <w:rsid w:val="001D6111"/>
    <w:rsid w:val="001D7585"/>
    <w:rsid w:val="001E0997"/>
    <w:rsid w:val="001E44D9"/>
    <w:rsid w:val="001E77A0"/>
    <w:rsid w:val="001E7C3D"/>
    <w:rsid w:val="001F060A"/>
    <w:rsid w:val="001F7205"/>
    <w:rsid w:val="002027A5"/>
    <w:rsid w:val="00202E0E"/>
    <w:rsid w:val="0020407D"/>
    <w:rsid w:val="0020679A"/>
    <w:rsid w:val="00211DEC"/>
    <w:rsid w:val="00215F09"/>
    <w:rsid w:val="0021713C"/>
    <w:rsid w:val="002172C1"/>
    <w:rsid w:val="002226CB"/>
    <w:rsid w:val="0022586D"/>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661C"/>
    <w:rsid w:val="002B7878"/>
    <w:rsid w:val="002D206F"/>
    <w:rsid w:val="002D64BC"/>
    <w:rsid w:val="002E322D"/>
    <w:rsid w:val="002E422F"/>
    <w:rsid w:val="002E4E26"/>
    <w:rsid w:val="002E663F"/>
    <w:rsid w:val="002F379F"/>
    <w:rsid w:val="002F3C8D"/>
    <w:rsid w:val="002F4030"/>
    <w:rsid w:val="00304F42"/>
    <w:rsid w:val="00306858"/>
    <w:rsid w:val="00310A56"/>
    <w:rsid w:val="00311DDF"/>
    <w:rsid w:val="00312B09"/>
    <w:rsid w:val="0031345B"/>
    <w:rsid w:val="00313542"/>
    <w:rsid w:val="00316977"/>
    <w:rsid w:val="00320671"/>
    <w:rsid w:val="00326C30"/>
    <w:rsid w:val="0032750B"/>
    <w:rsid w:val="00331C2F"/>
    <w:rsid w:val="0033588C"/>
    <w:rsid w:val="00336995"/>
    <w:rsid w:val="00337C43"/>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247F"/>
    <w:rsid w:val="003862CC"/>
    <w:rsid w:val="00390FE1"/>
    <w:rsid w:val="00393AE6"/>
    <w:rsid w:val="0039469D"/>
    <w:rsid w:val="00395156"/>
    <w:rsid w:val="003978BD"/>
    <w:rsid w:val="00397F0E"/>
    <w:rsid w:val="003A03CE"/>
    <w:rsid w:val="003A1B65"/>
    <w:rsid w:val="003A283D"/>
    <w:rsid w:val="003A78A1"/>
    <w:rsid w:val="003B6DDB"/>
    <w:rsid w:val="003B7355"/>
    <w:rsid w:val="003C58D8"/>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15A2"/>
    <w:rsid w:val="0046268E"/>
    <w:rsid w:val="00464527"/>
    <w:rsid w:val="00470F8D"/>
    <w:rsid w:val="00481E37"/>
    <w:rsid w:val="00490CA9"/>
    <w:rsid w:val="004915C9"/>
    <w:rsid w:val="00491AFD"/>
    <w:rsid w:val="00496ACB"/>
    <w:rsid w:val="004A3B9F"/>
    <w:rsid w:val="004A50D9"/>
    <w:rsid w:val="004B0CE9"/>
    <w:rsid w:val="004B3528"/>
    <w:rsid w:val="004B6715"/>
    <w:rsid w:val="004C4E60"/>
    <w:rsid w:val="004C5272"/>
    <w:rsid w:val="004C6458"/>
    <w:rsid w:val="004C76DF"/>
    <w:rsid w:val="004C788B"/>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21C8"/>
    <w:rsid w:val="005A440F"/>
    <w:rsid w:val="005A5A38"/>
    <w:rsid w:val="005B0347"/>
    <w:rsid w:val="005C0B7E"/>
    <w:rsid w:val="005C252C"/>
    <w:rsid w:val="005C43E3"/>
    <w:rsid w:val="005D6A62"/>
    <w:rsid w:val="005E0F1D"/>
    <w:rsid w:val="005E1364"/>
    <w:rsid w:val="005E67D1"/>
    <w:rsid w:val="005E7EA5"/>
    <w:rsid w:val="005F2527"/>
    <w:rsid w:val="005F47C3"/>
    <w:rsid w:val="005F68C9"/>
    <w:rsid w:val="005F77E1"/>
    <w:rsid w:val="00601F78"/>
    <w:rsid w:val="00602008"/>
    <w:rsid w:val="00605F34"/>
    <w:rsid w:val="00610DAB"/>
    <w:rsid w:val="00611216"/>
    <w:rsid w:val="00612D9D"/>
    <w:rsid w:val="006135A9"/>
    <w:rsid w:val="00615034"/>
    <w:rsid w:val="0061549B"/>
    <w:rsid w:val="006239AF"/>
    <w:rsid w:val="00626BEA"/>
    <w:rsid w:val="00626DE0"/>
    <w:rsid w:val="00633561"/>
    <w:rsid w:val="006364AE"/>
    <w:rsid w:val="0063684F"/>
    <w:rsid w:val="00642CA9"/>
    <w:rsid w:val="00643EA3"/>
    <w:rsid w:val="006445BB"/>
    <w:rsid w:val="0065115D"/>
    <w:rsid w:val="00651DAC"/>
    <w:rsid w:val="0065317D"/>
    <w:rsid w:val="0065458D"/>
    <w:rsid w:val="00655DEF"/>
    <w:rsid w:val="00656ED3"/>
    <w:rsid w:val="00662F69"/>
    <w:rsid w:val="00663837"/>
    <w:rsid w:val="00664A2E"/>
    <w:rsid w:val="00671104"/>
    <w:rsid w:val="006773A7"/>
    <w:rsid w:val="00681785"/>
    <w:rsid w:val="00683F68"/>
    <w:rsid w:val="00685D0A"/>
    <w:rsid w:val="00686D91"/>
    <w:rsid w:val="00691899"/>
    <w:rsid w:val="006918D9"/>
    <w:rsid w:val="00692C3E"/>
    <w:rsid w:val="006938FD"/>
    <w:rsid w:val="00693A0A"/>
    <w:rsid w:val="00696847"/>
    <w:rsid w:val="006A2464"/>
    <w:rsid w:val="006A7A5B"/>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57526"/>
    <w:rsid w:val="00760B5D"/>
    <w:rsid w:val="00764781"/>
    <w:rsid w:val="00765591"/>
    <w:rsid w:val="0077557E"/>
    <w:rsid w:val="0078531B"/>
    <w:rsid w:val="00786452"/>
    <w:rsid w:val="007873A0"/>
    <w:rsid w:val="007878F9"/>
    <w:rsid w:val="007943F4"/>
    <w:rsid w:val="007956C0"/>
    <w:rsid w:val="00795DB4"/>
    <w:rsid w:val="007A3712"/>
    <w:rsid w:val="007A426C"/>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D3A9B"/>
    <w:rsid w:val="007E02B4"/>
    <w:rsid w:val="007E194F"/>
    <w:rsid w:val="007E7078"/>
    <w:rsid w:val="007F50CD"/>
    <w:rsid w:val="00803492"/>
    <w:rsid w:val="00804DD5"/>
    <w:rsid w:val="00805C31"/>
    <w:rsid w:val="00807B51"/>
    <w:rsid w:val="00812151"/>
    <w:rsid w:val="00815987"/>
    <w:rsid w:val="00815B9C"/>
    <w:rsid w:val="00820801"/>
    <w:rsid w:val="0082470A"/>
    <w:rsid w:val="008252C9"/>
    <w:rsid w:val="008267A1"/>
    <w:rsid w:val="0083735B"/>
    <w:rsid w:val="008378F2"/>
    <w:rsid w:val="00837D63"/>
    <w:rsid w:val="00840553"/>
    <w:rsid w:val="0084223C"/>
    <w:rsid w:val="008426D7"/>
    <w:rsid w:val="008462CB"/>
    <w:rsid w:val="00850A81"/>
    <w:rsid w:val="008536FF"/>
    <w:rsid w:val="00860976"/>
    <w:rsid w:val="008618D7"/>
    <w:rsid w:val="00865185"/>
    <w:rsid w:val="0086745E"/>
    <w:rsid w:val="008717FC"/>
    <w:rsid w:val="008728D4"/>
    <w:rsid w:val="00883E33"/>
    <w:rsid w:val="008841C9"/>
    <w:rsid w:val="008844FA"/>
    <w:rsid w:val="00885DA0"/>
    <w:rsid w:val="00893414"/>
    <w:rsid w:val="00897033"/>
    <w:rsid w:val="008A1707"/>
    <w:rsid w:val="008A2B21"/>
    <w:rsid w:val="008A3F47"/>
    <w:rsid w:val="008A5B8F"/>
    <w:rsid w:val="008A66DC"/>
    <w:rsid w:val="008B362E"/>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078A"/>
    <w:rsid w:val="009816BA"/>
    <w:rsid w:val="00983BC2"/>
    <w:rsid w:val="0098417C"/>
    <w:rsid w:val="00984AD1"/>
    <w:rsid w:val="0098788A"/>
    <w:rsid w:val="00987C93"/>
    <w:rsid w:val="009904C8"/>
    <w:rsid w:val="009917B7"/>
    <w:rsid w:val="00994BA6"/>
    <w:rsid w:val="0099586F"/>
    <w:rsid w:val="009A0ABD"/>
    <w:rsid w:val="009A26EA"/>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070E1"/>
    <w:rsid w:val="00A10A3A"/>
    <w:rsid w:val="00A14C47"/>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679F0"/>
    <w:rsid w:val="00A707DA"/>
    <w:rsid w:val="00A71F27"/>
    <w:rsid w:val="00A72911"/>
    <w:rsid w:val="00A777A2"/>
    <w:rsid w:val="00A816D5"/>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AF3716"/>
    <w:rsid w:val="00B05C64"/>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0FB7"/>
    <w:rsid w:val="00BA3516"/>
    <w:rsid w:val="00BA55CE"/>
    <w:rsid w:val="00BA57C4"/>
    <w:rsid w:val="00BA6739"/>
    <w:rsid w:val="00BB1524"/>
    <w:rsid w:val="00BB1592"/>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5DA9"/>
    <w:rsid w:val="00C479EC"/>
    <w:rsid w:val="00C50060"/>
    <w:rsid w:val="00C5006B"/>
    <w:rsid w:val="00C5117F"/>
    <w:rsid w:val="00C56129"/>
    <w:rsid w:val="00C6264E"/>
    <w:rsid w:val="00C653EB"/>
    <w:rsid w:val="00C67029"/>
    <w:rsid w:val="00C741E0"/>
    <w:rsid w:val="00C8022C"/>
    <w:rsid w:val="00C90449"/>
    <w:rsid w:val="00C928B9"/>
    <w:rsid w:val="00C93FD4"/>
    <w:rsid w:val="00C9464B"/>
    <w:rsid w:val="00C95523"/>
    <w:rsid w:val="00C962AB"/>
    <w:rsid w:val="00C97B20"/>
    <w:rsid w:val="00CA34A6"/>
    <w:rsid w:val="00CB30DD"/>
    <w:rsid w:val="00CC5981"/>
    <w:rsid w:val="00CD1516"/>
    <w:rsid w:val="00CD17CD"/>
    <w:rsid w:val="00CD454A"/>
    <w:rsid w:val="00CD454F"/>
    <w:rsid w:val="00CD53D1"/>
    <w:rsid w:val="00CE1626"/>
    <w:rsid w:val="00CE51F8"/>
    <w:rsid w:val="00CF3951"/>
    <w:rsid w:val="00CF7CEB"/>
    <w:rsid w:val="00D024FD"/>
    <w:rsid w:val="00D03C77"/>
    <w:rsid w:val="00D04930"/>
    <w:rsid w:val="00D064AD"/>
    <w:rsid w:val="00D07EF3"/>
    <w:rsid w:val="00D106FD"/>
    <w:rsid w:val="00D16B5D"/>
    <w:rsid w:val="00D215C3"/>
    <w:rsid w:val="00D21EBD"/>
    <w:rsid w:val="00D22BC8"/>
    <w:rsid w:val="00D269C4"/>
    <w:rsid w:val="00D271AF"/>
    <w:rsid w:val="00D30CAE"/>
    <w:rsid w:val="00D31946"/>
    <w:rsid w:val="00D3255D"/>
    <w:rsid w:val="00D36494"/>
    <w:rsid w:val="00D40658"/>
    <w:rsid w:val="00D45087"/>
    <w:rsid w:val="00D46405"/>
    <w:rsid w:val="00D47880"/>
    <w:rsid w:val="00D53570"/>
    <w:rsid w:val="00D547BB"/>
    <w:rsid w:val="00D54BF1"/>
    <w:rsid w:val="00D55DE2"/>
    <w:rsid w:val="00D56C15"/>
    <w:rsid w:val="00D66603"/>
    <w:rsid w:val="00D66727"/>
    <w:rsid w:val="00D73604"/>
    <w:rsid w:val="00D76A7B"/>
    <w:rsid w:val="00D77C7F"/>
    <w:rsid w:val="00D80B2C"/>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2FFA"/>
    <w:rsid w:val="00DD3DE5"/>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E33"/>
    <w:rsid w:val="00E665D4"/>
    <w:rsid w:val="00E72624"/>
    <w:rsid w:val="00E76DD0"/>
    <w:rsid w:val="00E81585"/>
    <w:rsid w:val="00E9465B"/>
    <w:rsid w:val="00E94DA2"/>
    <w:rsid w:val="00E9659F"/>
    <w:rsid w:val="00EA3EA9"/>
    <w:rsid w:val="00EA4443"/>
    <w:rsid w:val="00EA5F7D"/>
    <w:rsid w:val="00EB245C"/>
    <w:rsid w:val="00EB54F9"/>
    <w:rsid w:val="00EB5825"/>
    <w:rsid w:val="00EB5C1A"/>
    <w:rsid w:val="00EB687A"/>
    <w:rsid w:val="00EC0E6E"/>
    <w:rsid w:val="00EC6605"/>
    <w:rsid w:val="00ED14FC"/>
    <w:rsid w:val="00EE358B"/>
    <w:rsid w:val="00EE37FE"/>
    <w:rsid w:val="00EF2BF4"/>
    <w:rsid w:val="00EF2C2B"/>
    <w:rsid w:val="00EF4BA6"/>
    <w:rsid w:val="00EF6D03"/>
    <w:rsid w:val="00F04001"/>
    <w:rsid w:val="00F046CC"/>
    <w:rsid w:val="00F05857"/>
    <w:rsid w:val="00F060D2"/>
    <w:rsid w:val="00F06115"/>
    <w:rsid w:val="00F10552"/>
    <w:rsid w:val="00F108EB"/>
    <w:rsid w:val="00F11398"/>
    <w:rsid w:val="00F1405F"/>
    <w:rsid w:val="00F14DD0"/>
    <w:rsid w:val="00F22A73"/>
    <w:rsid w:val="00F24A3C"/>
    <w:rsid w:val="00F272B1"/>
    <w:rsid w:val="00F31705"/>
    <w:rsid w:val="00F31AAC"/>
    <w:rsid w:val="00F34BBE"/>
    <w:rsid w:val="00F40F1B"/>
    <w:rsid w:val="00F425A5"/>
    <w:rsid w:val="00F50D75"/>
    <w:rsid w:val="00F51120"/>
    <w:rsid w:val="00F6018B"/>
    <w:rsid w:val="00F607FF"/>
    <w:rsid w:val="00F62FA9"/>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37E0"/>
    <w:rsid w:val="00FC4309"/>
    <w:rsid w:val="00FC4628"/>
    <w:rsid w:val="00FC5D4A"/>
    <w:rsid w:val="00FD1737"/>
    <w:rsid w:val="00FD1E80"/>
    <w:rsid w:val="00FD20C0"/>
    <w:rsid w:val="00FD38C7"/>
    <w:rsid w:val="00FE2DE5"/>
    <w:rsid w:val="00FE4A86"/>
    <w:rsid w:val="00FE68C4"/>
    <w:rsid w:val="00FE73DB"/>
    <w:rsid w:val="00FE76D3"/>
    <w:rsid w:val="00FF0764"/>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7105"/>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 w:type="character" w:styleId="Mencionar">
    <w:name w:val="Mention"/>
    <w:basedOn w:val="Fuentedeprrafopredeter"/>
    <w:uiPriority w:val="99"/>
    <w:semiHidden/>
    <w:unhideWhenUsed/>
    <w:rsid w:val="0046268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5997-5AF1-4F40-9587-1896A7C1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64</cp:revision>
  <cp:lastPrinted>2017-08-10T15:40:00Z</cp:lastPrinted>
  <dcterms:created xsi:type="dcterms:W3CDTF">2017-02-21T15:10:00Z</dcterms:created>
  <dcterms:modified xsi:type="dcterms:W3CDTF">2017-08-15T17:02:00Z</dcterms:modified>
</cp:coreProperties>
</file>