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Default="0020168D">
      <w:pPr>
        <w:rPr>
          <w:b/>
          <w:lang w:val="es-SV"/>
        </w:rPr>
      </w:pPr>
      <w:r>
        <w:rPr>
          <w:rFonts w:eastAsia="Times New Roman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-200660</wp:posOffset>
            </wp:positionH>
            <wp:positionV relativeFrom="margin">
              <wp:posOffset>2202180</wp:posOffset>
            </wp:positionV>
            <wp:extent cx="6421120" cy="4965065"/>
            <wp:effectExtent l="0" t="0" r="0" b="6985"/>
            <wp:wrapSquare wrapText="bothSides"/>
            <wp:docPr id="12" name="Imagen 12" descr="cid:41D13C5A-6EBC-44D4-A9A5-2656850FFAE7@opamss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F8E64E-8CE9-449C-B27D-9C18DB1E0184" descr="cid:41D13C5A-6EBC-44D4-A9A5-2656850FFAE7@opamss.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120" cy="496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B41">
        <w:rPr>
          <w:b/>
          <w:lang w:val="es-SV"/>
        </w:rPr>
        <w:br w:type="page"/>
      </w:r>
    </w:p>
    <w:p w:rsidR="00F64C76" w:rsidRDefault="00F64C76" w:rsidP="00F64C76">
      <w:pPr>
        <w:rPr>
          <w:rFonts w:ascii="Century Gothic" w:eastAsiaTheme="majorEastAsia" w:hAnsi="Century Gothic" w:cstheme="majorBidi"/>
          <w:b/>
          <w:bCs/>
          <w:color w:val="2E74B5" w:themeColor="accent1" w:themeShade="BF"/>
          <w:sz w:val="28"/>
          <w:szCs w:val="28"/>
          <w:lang w:val="es-MX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146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64C76" w:rsidRDefault="00F64C76">
          <w:pPr>
            <w:pStyle w:val="TtuloTDC"/>
          </w:pPr>
        </w:p>
        <w:p w:rsidR="00F64C76" w:rsidRDefault="00F64C76">
          <w:pPr>
            <w:pStyle w:val="TtuloTDC"/>
          </w:pPr>
        </w:p>
        <w:p w:rsidR="00F64C76" w:rsidRDefault="00F64C76">
          <w:pPr>
            <w:pStyle w:val="TtuloTDC"/>
          </w:pPr>
        </w:p>
        <w:p w:rsidR="00F64C76" w:rsidRDefault="00F64C76">
          <w:pPr>
            <w:pStyle w:val="TtuloTDC"/>
          </w:pPr>
        </w:p>
        <w:p w:rsidR="00F64C76" w:rsidRDefault="00F64C76">
          <w:pPr>
            <w:pStyle w:val="TtuloTDC"/>
          </w:pPr>
        </w:p>
        <w:p w:rsidR="00F64C76" w:rsidRPr="00F64C76" w:rsidRDefault="00F64C76">
          <w:pPr>
            <w:pStyle w:val="TtuloTDC"/>
            <w:rPr>
              <w:rFonts w:ascii="Century Gothic" w:hAnsi="Century Gothic"/>
              <w:b/>
              <w:bCs/>
              <w:sz w:val="36"/>
              <w:szCs w:val="28"/>
              <w:lang w:val="es-MX" w:eastAsia="en-US"/>
            </w:rPr>
          </w:pPr>
          <w:r w:rsidRPr="00F64C76">
            <w:rPr>
              <w:rFonts w:ascii="Century Gothic" w:hAnsi="Century Gothic"/>
              <w:b/>
              <w:bCs/>
              <w:sz w:val="36"/>
              <w:szCs w:val="28"/>
              <w:lang w:val="es-MX" w:eastAsia="en-US"/>
            </w:rPr>
            <w:t>Contenido</w:t>
          </w:r>
        </w:p>
        <w:p w:rsidR="00F64C76" w:rsidRDefault="00F64C76" w:rsidP="00F64C76">
          <w:pPr>
            <w:rPr>
              <w:lang w:eastAsia="es-ES"/>
            </w:rPr>
          </w:pPr>
        </w:p>
        <w:p w:rsidR="00F64C76" w:rsidRPr="00F64C76" w:rsidRDefault="00F64C76" w:rsidP="00F64C76">
          <w:pPr>
            <w:rPr>
              <w:lang w:eastAsia="es-ES"/>
            </w:rPr>
          </w:pPr>
        </w:p>
        <w:p w:rsidR="00F64C76" w:rsidRPr="00F64C76" w:rsidRDefault="00F64C76">
          <w:pPr>
            <w:pStyle w:val="TDC1"/>
            <w:tabs>
              <w:tab w:val="right" w:leader="dot" w:pos="8494"/>
            </w:tabs>
            <w:rPr>
              <w:noProof/>
              <w:sz w:val="3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538887" w:history="1">
            <w:r w:rsidRPr="00F64C76">
              <w:rPr>
                <w:rStyle w:val="Hipervnculo"/>
                <w:noProof/>
                <w:sz w:val="32"/>
              </w:rPr>
              <w:t>Introducción</w:t>
            </w:r>
            <w:r w:rsidRPr="00F64C76">
              <w:rPr>
                <w:noProof/>
                <w:webHidden/>
                <w:sz w:val="32"/>
              </w:rPr>
              <w:tab/>
            </w:r>
            <w:r w:rsidRPr="00F64C76">
              <w:rPr>
                <w:noProof/>
                <w:webHidden/>
                <w:sz w:val="32"/>
              </w:rPr>
              <w:fldChar w:fldCharType="begin"/>
            </w:r>
            <w:r w:rsidRPr="00F64C76">
              <w:rPr>
                <w:noProof/>
                <w:webHidden/>
                <w:sz w:val="32"/>
              </w:rPr>
              <w:instrText xml:space="preserve"> PAGEREF _Toc461538887 \h </w:instrText>
            </w:r>
            <w:r w:rsidRPr="00F64C76">
              <w:rPr>
                <w:noProof/>
                <w:webHidden/>
                <w:sz w:val="32"/>
              </w:rPr>
            </w:r>
            <w:r w:rsidRPr="00F64C76">
              <w:rPr>
                <w:noProof/>
                <w:webHidden/>
                <w:sz w:val="32"/>
              </w:rPr>
              <w:fldChar w:fldCharType="separate"/>
            </w:r>
            <w:r w:rsidRPr="00F64C76">
              <w:rPr>
                <w:noProof/>
                <w:webHidden/>
                <w:sz w:val="32"/>
              </w:rPr>
              <w:t>2</w:t>
            </w:r>
            <w:r w:rsidRPr="00F64C76">
              <w:rPr>
                <w:noProof/>
                <w:webHidden/>
                <w:sz w:val="32"/>
              </w:rPr>
              <w:fldChar w:fldCharType="end"/>
            </w:r>
          </w:hyperlink>
        </w:p>
        <w:p w:rsidR="00F64C76" w:rsidRPr="00F64C76" w:rsidRDefault="009C349F">
          <w:pPr>
            <w:pStyle w:val="TDC1"/>
            <w:tabs>
              <w:tab w:val="right" w:leader="dot" w:pos="8494"/>
            </w:tabs>
            <w:rPr>
              <w:noProof/>
              <w:sz w:val="32"/>
            </w:rPr>
          </w:pPr>
          <w:hyperlink w:anchor="_Toc461538888" w:history="1">
            <w:r w:rsidR="00F64C76" w:rsidRPr="00F64C76">
              <w:rPr>
                <w:rStyle w:val="Hipervnculo"/>
                <w:noProof/>
                <w:sz w:val="32"/>
              </w:rPr>
              <w:t>Objetivo</w:t>
            </w:r>
            <w:r w:rsidR="00F64C76" w:rsidRPr="00F64C76">
              <w:rPr>
                <w:noProof/>
                <w:webHidden/>
                <w:sz w:val="32"/>
              </w:rPr>
              <w:tab/>
            </w:r>
            <w:r w:rsidR="00F64C76" w:rsidRPr="00F64C76">
              <w:rPr>
                <w:noProof/>
                <w:webHidden/>
                <w:sz w:val="32"/>
              </w:rPr>
              <w:fldChar w:fldCharType="begin"/>
            </w:r>
            <w:r w:rsidR="00F64C76" w:rsidRPr="00F64C76">
              <w:rPr>
                <w:noProof/>
                <w:webHidden/>
                <w:sz w:val="32"/>
              </w:rPr>
              <w:instrText xml:space="preserve"> PAGEREF _Toc461538888 \h </w:instrText>
            </w:r>
            <w:r w:rsidR="00F64C76" w:rsidRPr="00F64C76">
              <w:rPr>
                <w:noProof/>
                <w:webHidden/>
                <w:sz w:val="32"/>
              </w:rPr>
            </w:r>
            <w:r w:rsidR="00F64C76" w:rsidRPr="00F64C76">
              <w:rPr>
                <w:noProof/>
                <w:webHidden/>
                <w:sz w:val="32"/>
              </w:rPr>
              <w:fldChar w:fldCharType="separate"/>
            </w:r>
            <w:r w:rsidR="00F64C76" w:rsidRPr="00F64C76">
              <w:rPr>
                <w:noProof/>
                <w:webHidden/>
                <w:sz w:val="32"/>
              </w:rPr>
              <w:t>2</w:t>
            </w:r>
            <w:r w:rsidR="00F64C76" w:rsidRPr="00F64C76">
              <w:rPr>
                <w:noProof/>
                <w:webHidden/>
                <w:sz w:val="32"/>
              </w:rPr>
              <w:fldChar w:fldCharType="end"/>
            </w:r>
          </w:hyperlink>
        </w:p>
        <w:p w:rsidR="00F64C76" w:rsidRPr="00F64C76" w:rsidRDefault="009C349F">
          <w:pPr>
            <w:pStyle w:val="TDC1"/>
            <w:tabs>
              <w:tab w:val="right" w:leader="dot" w:pos="8494"/>
            </w:tabs>
            <w:rPr>
              <w:noProof/>
              <w:sz w:val="32"/>
            </w:rPr>
          </w:pPr>
          <w:hyperlink w:anchor="_Toc461538889" w:history="1">
            <w:r w:rsidR="00F64C76" w:rsidRPr="00F64C76">
              <w:rPr>
                <w:rStyle w:val="Hipervnculo"/>
                <w:noProof/>
                <w:sz w:val="32"/>
              </w:rPr>
              <w:t>Metodología de la Rendición de Cuentas</w:t>
            </w:r>
            <w:r w:rsidR="00F64C76" w:rsidRPr="00F64C76">
              <w:rPr>
                <w:noProof/>
                <w:webHidden/>
                <w:sz w:val="32"/>
              </w:rPr>
              <w:tab/>
            </w:r>
            <w:r w:rsidR="00F64C76" w:rsidRPr="00F64C76">
              <w:rPr>
                <w:noProof/>
                <w:webHidden/>
                <w:sz w:val="32"/>
              </w:rPr>
              <w:fldChar w:fldCharType="begin"/>
            </w:r>
            <w:r w:rsidR="00F64C76" w:rsidRPr="00F64C76">
              <w:rPr>
                <w:noProof/>
                <w:webHidden/>
                <w:sz w:val="32"/>
              </w:rPr>
              <w:instrText xml:space="preserve"> PAGEREF _Toc461538889 \h </w:instrText>
            </w:r>
            <w:r w:rsidR="00F64C76" w:rsidRPr="00F64C76">
              <w:rPr>
                <w:noProof/>
                <w:webHidden/>
                <w:sz w:val="32"/>
              </w:rPr>
            </w:r>
            <w:r w:rsidR="00F64C76" w:rsidRPr="00F64C76">
              <w:rPr>
                <w:noProof/>
                <w:webHidden/>
                <w:sz w:val="32"/>
              </w:rPr>
              <w:fldChar w:fldCharType="separate"/>
            </w:r>
            <w:r w:rsidR="00F64C76" w:rsidRPr="00F64C76">
              <w:rPr>
                <w:noProof/>
                <w:webHidden/>
                <w:sz w:val="32"/>
              </w:rPr>
              <w:t>2</w:t>
            </w:r>
            <w:r w:rsidR="00F64C76" w:rsidRPr="00F64C76">
              <w:rPr>
                <w:noProof/>
                <w:webHidden/>
                <w:sz w:val="32"/>
              </w:rPr>
              <w:fldChar w:fldCharType="end"/>
            </w:r>
          </w:hyperlink>
        </w:p>
        <w:p w:rsidR="00F64C76" w:rsidRPr="00F64C76" w:rsidRDefault="009C349F">
          <w:pPr>
            <w:pStyle w:val="TDC1"/>
            <w:tabs>
              <w:tab w:val="right" w:leader="dot" w:pos="8494"/>
            </w:tabs>
            <w:rPr>
              <w:noProof/>
              <w:sz w:val="32"/>
            </w:rPr>
          </w:pPr>
          <w:hyperlink w:anchor="_Toc461538890" w:history="1">
            <w:r w:rsidR="00F64C76" w:rsidRPr="00F64C76">
              <w:rPr>
                <w:rStyle w:val="Hipervnculo"/>
                <w:noProof/>
                <w:sz w:val="32"/>
              </w:rPr>
              <w:t>Evaluación de la Rendición de Cuentas</w:t>
            </w:r>
            <w:r w:rsidR="00F64C76" w:rsidRPr="00F64C76">
              <w:rPr>
                <w:noProof/>
                <w:webHidden/>
                <w:sz w:val="32"/>
              </w:rPr>
              <w:tab/>
            </w:r>
            <w:r w:rsidR="00F64C76" w:rsidRPr="00F64C76">
              <w:rPr>
                <w:noProof/>
                <w:webHidden/>
                <w:sz w:val="32"/>
              </w:rPr>
              <w:fldChar w:fldCharType="begin"/>
            </w:r>
            <w:r w:rsidR="00F64C76" w:rsidRPr="00F64C76">
              <w:rPr>
                <w:noProof/>
                <w:webHidden/>
                <w:sz w:val="32"/>
              </w:rPr>
              <w:instrText xml:space="preserve"> PAGEREF _Toc461538890 \h </w:instrText>
            </w:r>
            <w:r w:rsidR="00F64C76" w:rsidRPr="00F64C76">
              <w:rPr>
                <w:noProof/>
                <w:webHidden/>
                <w:sz w:val="32"/>
              </w:rPr>
            </w:r>
            <w:r w:rsidR="00F64C76" w:rsidRPr="00F64C76">
              <w:rPr>
                <w:noProof/>
                <w:webHidden/>
                <w:sz w:val="32"/>
              </w:rPr>
              <w:fldChar w:fldCharType="separate"/>
            </w:r>
            <w:r w:rsidR="00F64C76" w:rsidRPr="00F64C76">
              <w:rPr>
                <w:noProof/>
                <w:webHidden/>
                <w:sz w:val="32"/>
              </w:rPr>
              <w:t>3</w:t>
            </w:r>
            <w:r w:rsidR="00F64C76" w:rsidRPr="00F64C76">
              <w:rPr>
                <w:noProof/>
                <w:webHidden/>
                <w:sz w:val="32"/>
              </w:rPr>
              <w:fldChar w:fldCharType="end"/>
            </w:r>
          </w:hyperlink>
        </w:p>
        <w:p w:rsidR="00F64C76" w:rsidRPr="00F64C76" w:rsidRDefault="009C349F" w:rsidP="00F64C76">
          <w:pPr>
            <w:pStyle w:val="TDC1"/>
            <w:tabs>
              <w:tab w:val="right" w:leader="dot" w:pos="8494"/>
            </w:tabs>
            <w:jc w:val="center"/>
            <w:rPr>
              <w:noProof/>
              <w:sz w:val="32"/>
            </w:rPr>
          </w:pPr>
          <w:hyperlink w:anchor="_Toc461538891" w:history="1">
            <w:r w:rsidR="00F64C76" w:rsidRPr="00F64C76">
              <w:rPr>
                <w:rStyle w:val="Hipervnculo"/>
                <w:noProof/>
                <w:sz w:val="32"/>
              </w:rPr>
              <w:t>Preguntas y Respuestas</w:t>
            </w:r>
            <w:r w:rsidR="00F64C76" w:rsidRPr="00F64C76">
              <w:rPr>
                <w:noProof/>
                <w:webHidden/>
                <w:sz w:val="32"/>
              </w:rPr>
              <w:tab/>
            </w:r>
            <w:r w:rsidR="00F64C76" w:rsidRPr="00F64C76">
              <w:rPr>
                <w:noProof/>
                <w:webHidden/>
                <w:sz w:val="32"/>
              </w:rPr>
              <w:fldChar w:fldCharType="begin"/>
            </w:r>
            <w:r w:rsidR="00F64C76" w:rsidRPr="00F64C76">
              <w:rPr>
                <w:noProof/>
                <w:webHidden/>
                <w:sz w:val="32"/>
              </w:rPr>
              <w:instrText xml:space="preserve"> PAGEREF _Toc461538891 \h </w:instrText>
            </w:r>
            <w:r w:rsidR="00F64C76" w:rsidRPr="00F64C76">
              <w:rPr>
                <w:noProof/>
                <w:webHidden/>
                <w:sz w:val="32"/>
              </w:rPr>
            </w:r>
            <w:r w:rsidR="00F64C76" w:rsidRPr="00F64C76">
              <w:rPr>
                <w:noProof/>
                <w:webHidden/>
                <w:sz w:val="32"/>
              </w:rPr>
              <w:fldChar w:fldCharType="separate"/>
            </w:r>
            <w:r w:rsidR="00F64C76" w:rsidRPr="00F64C76">
              <w:rPr>
                <w:noProof/>
                <w:webHidden/>
                <w:sz w:val="32"/>
              </w:rPr>
              <w:t>6</w:t>
            </w:r>
            <w:r w:rsidR="00F64C76" w:rsidRPr="00F64C76">
              <w:rPr>
                <w:noProof/>
                <w:webHidden/>
                <w:sz w:val="32"/>
              </w:rPr>
              <w:fldChar w:fldCharType="end"/>
            </w:r>
          </w:hyperlink>
        </w:p>
        <w:p w:rsidR="00F64C76" w:rsidRPr="00F64C76" w:rsidRDefault="009C349F">
          <w:pPr>
            <w:pStyle w:val="TDC1"/>
            <w:tabs>
              <w:tab w:val="right" w:leader="dot" w:pos="8494"/>
            </w:tabs>
            <w:rPr>
              <w:noProof/>
              <w:sz w:val="32"/>
            </w:rPr>
          </w:pPr>
          <w:hyperlink w:anchor="_Toc461538892" w:history="1">
            <w:r w:rsidR="00F64C76" w:rsidRPr="00F64C76">
              <w:rPr>
                <w:rStyle w:val="Hipervnculo"/>
                <w:noProof/>
                <w:sz w:val="32"/>
              </w:rPr>
              <w:t>Recomendaciones</w:t>
            </w:r>
            <w:r w:rsidR="00F64C76" w:rsidRPr="00F64C76">
              <w:rPr>
                <w:noProof/>
                <w:webHidden/>
                <w:sz w:val="32"/>
              </w:rPr>
              <w:tab/>
            </w:r>
            <w:r w:rsidR="00F64C76" w:rsidRPr="00F64C76">
              <w:rPr>
                <w:noProof/>
                <w:webHidden/>
                <w:sz w:val="32"/>
              </w:rPr>
              <w:fldChar w:fldCharType="begin"/>
            </w:r>
            <w:r w:rsidR="00F64C76" w:rsidRPr="00F64C76">
              <w:rPr>
                <w:noProof/>
                <w:webHidden/>
                <w:sz w:val="32"/>
              </w:rPr>
              <w:instrText xml:space="preserve"> PAGEREF _Toc461538892 \h </w:instrText>
            </w:r>
            <w:r w:rsidR="00F64C76" w:rsidRPr="00F64C76">
              <w:rPr>
                <w:noProof/>
                <w:webHidden/>
                <w:sz w:val="32"/>
              </w:rPr>
            </w:r>
            <w:r w:rsidR="00F64C76" w:rsidRPr="00F64C76">
              <w:rPr>
                <w:noProof/>
                <w:webHidden/>
                <w:sz w:val="32"/>
              </w:rPr>
              <w:fldChar w:fldCharType="separate"/>
            </w:r>
            <w:r w:rsidR="00F64C76" w:rsidRPr="00F64C76">
              <w:rPr>
                <w:noProof/>
                <w:webHidden/>
                <w:sz w:val="32"/>
              </w:rPr>
              <w:t>6</w:t>
            </w:r>
            <w:r w:rsidR="00F64C76" w:rsidRPr="00F64C76">
              <w:rPr>
                <w:noProof/>
                <w:webHidden/>
                <w:sz w:val="32"/>
              </w:rPr>
              <w:fldChar w:fldCharType="end"/>
            </w:r>
          </w:hyperlink>
        </w:p>
        <w:p w:rsidR="00F64C76" w:rsidRDefault="00F64C76">
          <w:r>
            <w:rPr>
              <w:b/>
              <w:bCs/>
            </w:rPr>
            <w:fldChar w:fldCharType="end"/>
          </w:r>
        </w:p>
      </w:sdtContent>
    </w:sdt>
    <w:p w:rsidR="00F64C76" w:rsidRDefault="00F64C76" w:rsidP="00F64C76">
      <w:pPr>
        <w:rPr>
          <w:rFonts w:ascii="Century Gothic" w:eastAsiaTheme="majorEastAsia" w:hAnsi="Century Gothic" w:cstheme="majorBidi"/>
          <w:b/>
          <w:bCs/>
          <w:color w:val="2E74B5" w:themeColor="accent1" w:themeShade="BF"/>
          <w:sz w:val="28"/>
          <w:szCs w:val="28"/>
          <w:lang w:val="es-MX"/>
        </w:rPr>
      </w:pPr>
    </w:p>
    <w:p w:rsidR="00F64C76" w:rsidRPr="00F64C76" w:rsidRDefault="00F64C76" w:rsidP="00F64C76">
      <w:pPr>
        <w:rPr>
          <w:rFonts w:ascii="Century Gothic" w:eastAsiaTheme="majorEastAsia" w:hAnsi="Century Gothic" w:cstheme="majorBidi"/>
          <w:sz w:val="28"/>
          <w:szCs w:val="28"/>
          <w:lang w:val="es-MX"/>
        </w:rPr>
      </w:pPr>
    </w:p>
    <w:p w:rsidR="00F64C76" w:rsidRPr="00F64C76" w:rsidRDefault="00F64C76" w:rsidP="00F64C76">
      <w:pPr>
        <w:rPr>
          <w:rFonts w:ascii="Century Gothic" w:eastAsiaTheme="majorEastAsia" w:hAnsi="Century Gothic" w:cstheme="majorBidi"/>
          <w:sz w:val="28"/>
          <w:szCs w:val="28"/>
          <w:lang w:val="es-MX"/>
        </w:rPr>
      </w:pPr>
    </w:p>
    <w:p w:rsidR="00F64C76" w:rsidRPr="00F64C76" w:rsidRDefault="00F64C76" w:rsidP="00F64C76">
      <w:pPr>
        <w:tabs>
          <w:tab w:val="left" w:pos="2443"/>
        </w:tabs>
        <w:rPr>
          <w:rFonts w:ascii="Century Gothic" w:eastAsiaTheme="majorEastAsia" w:hAnsi="Century Gothic" w:cstheme="majorBidi"/>
          <w:sz w:val="28"/>
          <w:szCs w:val="28"/>
          <w:lang w:val="es-MX"/>
        </w:rPr>
      </w:pPr>
      <w:r>
        <w:rPr>
          <w:rFonts w:ascii="Century Gothic" w:eastAsiaTheme="majorEastAsia" w:hAnsi="Century Gothic" w:cstheme="majorBidi"/>
          <w:sz w:val="28"/>
          <w:szCs w:val="28"/>
          <w:lang w:val="es-MX"/>
        </w:rPr>
        <w:tab/>
      </w:r>
    </w:p>
    <w:p w:rsidR="00F64C76" w:rsidRPr="00F64C76" w:rsidRDefault="00F64C76" w:rsidP="00F64C76">
      <w:pPr>
        <w:tabs>
          <w:tab w:val="left" w:pos="2443"/>
        </w:tabs>
        <w:rPr>
          <w:rFonts w:ascii="Century Gothic" w:eastAsiaTheme="majorEastAsia" w:hAnsi="Century Gothic" w:cstheme="majorBidi"/>
          <w:sz w:val="28"/>
          <w:szCs w:val="28"/>
          <w:lang w:val="es-MX"/>
        </w:rPr>
        <w:sectPr w:rsidR="00F64C76" w:rsidRPr="00F64C76" w:rsidSect="00F64C76">
          <w:footerReference w:type="default" r:id="rId10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Century Gothic" w:eastAsiaTheme="majorEastAsia" w:hAnsi="Century Gothic" w:cstheme="majorBidi"/>
          <w:sz w:val="28"/>
          <w:szCs w:val="28"/>
          <w:lang w:val="es-MX"/>
        </w:rPr>
        <w:tab/>
      </w:r>
    </w:p>
    <w:p w:rsidR="00C3072D" w:rsidRDefault="00531DFF" w:rsidP="00F64C76">
      <w:pPr>
        <w:pStyle w:val="Ttulo1"/>
      </w:pPr>
      <w:bookmarkStart w:id="0" w:name="_Toc461538887"/>
      <w:r w:rsidRPr="00D63125">
        <w:lastRenderedPageBreak/>
        <w:t>Introducción</w:t>
      </w:r>
      <w:bookmarkEnd w:id="0"/>
    </w:p>
    <w:p w:rsidR="00406416" w:rsidRPr="00D63125" w:rsidRDefault="00406416" w:rsidP="00531DFF">
      <w:pPr>
        <w:spacing w:after="0" w:line="240" w:lineRule="auto"/>
        <w:rPr>
          <w:rFonts w:ascii="Century Gothic" w:eastAsiaTheme="majorEastAsia" w:hAnsi="Century Gothic" w:cstheme="majorBidi"/>
          <w:b/>
          <w:bCs/>
          <w:color w:val="2E74B5" w:themeColor="accent1" w:themeShade="BF"/>
          <w:sz w:val="28"/>
          <w:szCs w:val="28"/>
          <w:lang w:val="es-MX"/>
        </w:rPr>
      </w:pPr>
    </w:p>
    <w:p w:rsidR="00D63125" w:rsidRPr="00D63125" w:rsidRDefault="00D63125" w:rsidP="00531DFF">
      <w:p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</w:p>
    <w:p w:rsidR="00531DFF" w:rsidRPr="00D63125" w:rsidRDefault="00531DFF" w:rsidP="001E1FB2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D63125">
        <w:rPr>
          <w:rFonts w:ascii="Century Gothic" w:hAnsi="Century Gothic"/>
          <w:sz w:val="20"/>
          <w:szCs w:val="20"/>
          <w:lang w:val="es-MX"/>
        </w:rPr>
        <w:tab/>
        <w:t>El COAMSS/OPAMSS, ten</w:t>
      </w:r>
      <w:r w:rsidR="00D63125" w:rsidRPr="00D63125">
        <w:rPr>
          <w:rFonts w:ascii="Century Gothic" w:hAnsi="Century Gothic"/>
          <w:sz w:val="20"/>
          <w:szCs w:val="20"/>
          <w:lang w:val="es-MX"/>
        </w:rPr>
        <w:t xml:space="preserve">iendo presente el cumplimiento </w:t>
      </w:r>
      <w:r w:rsidR="001E1FB2">
        <w:rPr>
          <w:rFonts w:ascii="Century Gothic" w:hAnsi="Century Gothic"/>
          <w:sz w:val="20"/>
          <w:szCs w:val="20"/>
          <w:lang w:val="es-MX"/>
        </w:rPr>
        <w:t xml:space="preserve">y espíritu de transparencia, </w:t>
      </w:r>
      <w:r w:rsidR="00D63125" w:rsidRPr="00D63125">
        <w:rPr>
          <w:rFonts w:ascii="Century Gothic" w:hAnsi="Century Gothic"/>
          <w:sz w:val="20"/>
          <w:szCs w:val="20"/>
          <w:lang w:val="es-MX"/>
        </w:rPr>
        <w:t>procede al proceso de preparación de la primera audiencia pública de rendición de cuentas, planificando a través de un plan institucional su desarrollo.</w:t>
      </w:r>
    </w:p>
    <w:p w:rsidR="00D63125" w:rsidRPr="001C0C6E" w:rsidRDefault="001E1FB2" w:rsidP="00D0384C">
      <w:pPr>
        <w:spacing w:after="0" w:line="360" w:lineRule="auto"/>
        <w:jc w:val="both"/>
        <w:rPr>
          <w:rFonts w:ascii="Century Gothic" w:hAnsi="Century Gothic"/>
          <w:color w:val="FF0000"/>
          <w:sz w:val="20"/>
          <w:szCs w:val="20"/>
          <w:lang w:val="es-MX"/>
        </w:rPr>
      </w:pPr>
      <w:r>
        <w:rPr>
          <w:lang w:val="es-SV"/>
        </w:rPr>
        <w:tab/>
      </w:r>
      <w:r w:rsidRPr="00D0384C">
        <w:rPr>
          <w:rFonts w:ascii="Century Gothic" w:hAnsi="Century Gothic"/>
          <w:sz w:val="20"/>
          <w:szCs w:val="20"/>
          <w:lang w:val="es-MX"/>
        </w:rPr>
        <w:t xml:space="preserve">Por ser la primera experiencia, dentro </w:t>
      </w:r>
      <w:r w:rsidR="00D63125" w:rsidRPr="001A34B2">
        <w:rPr>
          <w:rFonts w:ascii="Century Gothic" w:hAnsi="Century Gothic"/>
          <w:sz w:val="20"/>
          <w:szCs w:val="20"/>
          <w:lang w:val="es-MX"/>
        </w:rPr>
        <w:t xml:space="preserve">de la disposición legal, </w:t>
      </w:r>
      <w:r>
        <w:rPr>
          <w:rFonts w:ascii="Century Gothic" w:hAnsi="Century Gothic"/>
          <w:sz w:val="20"/>
          <w:szCs w:val="20"/>
          <w:lang w:val="es-MX"/>
        </w:rPr>
        <w:t xml:space="preserve">para </w:t>
      </w:r>
      <w:r w:rsidR="00D63125" w:rsidRPr="001A34B2">
        <w:rPr>
          <w:rFonts w:ascii="Century Gothic" w:hAnsi="Century Gothic"/>
          <w:sz w:val="20"/>
          <w:szCs w:val="20"/>
          <w:lang w:val="es-MX"/>
        </w:rPr>
        <w:t>darle vida o cumplimiento a las buenas prácticas de Rendición de Cuentas reguladas en la Constitución de la República</w:t>
      </w:r>
      <w:r>
        <w:rPr>
          <w:rFonts w:ascii="Century Gothic" w:hAnsi="Century Gothic"/>
          <w:sz w:val="20"/>
          <w:szCs w:val="20"/>
          <w:lang w:val="es-MX"/>
        </w:rPr>
        <w:t xml:space="preserve"> y</w:t>
      </w:r>
      <w:r w:rsidR="00D63125" w:rsidRPr="001A34B2">
        <w:rPr>
          <w:rFonts w:ascii="Century Gothic" w:hAnsi="Century Gothic"/>
          <w:sz w:val="20"/>
          <w:szCs w:val="20"/>
          <w:lang w:val="es-MX"/>
        </w:rPr>
        <w:t xml:space="preserve"> la legislación propia de la función territorial-municipal </w:t>
      </w:r>
      <w:r w:rsidR="00D0384C">
        <w:rPr>
          <w:rFonts w:ascii="Century Gothic" w:hAnsi="Century Gothic"/>
          <w:sz w:val="20"/>
          <w:szCs w:val="20"/>
          <w:lang w:val="es-MX"/>
        </w:rPr>
        <w:t xml:space="preserve">entre </w:t>
      </w:r>
      <w:r w:rsidR="00D63125">
        <w:rPr>
          <w:rFonts w:ascii="Century Gothic" w:hAnsi="Century Gothic"/>
          <w:sz w:val="20"/>
          <w:szCs w:val="20"/>
          <w:lang w:val="es-MX"/>
        </w:rPr>
        <w:t>otras</w:t>
      </w:r>
      <w:r w:rsidR="00F366AB">
        <w:rPr>
          <w:rFonts w:ascii="Century Gothic" w:hAnsi="Century Gothic"/>
          <w:sz w:val="20"/>
          <w:szCs w:val="20"/>
          <w:lang w:val="es-MX"/>
        </w:rPr>
        <w:t>, se trabajó en el informe o memoria de labores que recogiera el desarrollo de todos los elementos importantes sobre los logros y apuestas institucionales</w:t>
      </w:r>
      <w:r w:rsidR="001C0C6E">
        <w:rPr>
          <w:rFonts w:ascii="Century Gothic" w:hAnsi="Century Gothic"/>
          <w:sz w:val="20"/>
          <w:szCs w:val="20"/>
          <w:lang w:val="es-MX"/>
        </w:rPr>
        <w:t xml:space="preserve"> para mostrarle a la ciudadanía </w:t>
      </w:r>
      <w:r w:rsidR="001C0C6E" w:rsidRPr="001C0C6E">
        <w:rPr>
          <w:rFonts w:ascii="Century Gothic" w:hAnsi="Century Gothic"/>
          <w:sz w:val="20"/>
          <w:szCs w:val="20"/>
          <w:lang w:val="es-MX"/>
        </w:rPr>
        <w:t>de manera transparente la gestión institucional que ésta ha desarrollado a través de este tiempo.</w:t>
      </w:r>
    </w:p>
    <w:p w:rsidR="00F366AB" w:rsidRDefault="00F366AB" w:rsidP="00D0384C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ab/>
        <w:t xml:space="preserve">Se realizaron internamente las jornadas de trabajo para la recolección de la información, socialización y mecanismos de </w:t>
      </w:r>
      <w:r w:rsidR="00FC6FE7">
        <w:rPr>
          <w:rFonts w:ascii="Century Gothic" w:hAnsi="Century Gothic"/>
          <w:sz w:val="20"/>
          <w:szCs w:val="20"/>
          <w:lang w:val="es-MX"/>
        </w:rPr>
        <w:t>seguimiento a través de la Dirección Ejecutiva.</w:t>
      </w:r>
    </w:p>
    <w:p w:rsidR="00BB4DCF" w:rsidRDefault="00BB4DCF" w:rsidP="00D0384C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ab/>
        <w:t xml:space="preserve">Después de analizadas las alternativas para el desarrollo de la actividad, la </w:t>
      </w:r>
      <w:r w:rsidR="009C349F" w:rsidRPr="009C349F">
        <w:rPr>
          <w:rFonts w:ascii="Century Gothic" w:hAnsi="Century Gothic"/>
          <w:sz w:val="20"/>
          <w:szCs w:val="20"/>
          <w:lang w:val="es-MX"/>
        </w:rPr>
        <w:t>Comisión de Rendición de Cuentas del COAMSS/OPAMSS</w:t>
      </w:r>
      <w:r w:rsidR="009C349F">
        <w:rPr>
          <w:rFonts w:ascii="Century Gothic" w:hAnsi="Century Gothic"/>
          <w:sz w:val="20"/>
          <w:szCs w:val="20"/>
          <w:lang w:val="es-MX"/>
        </w:rPr>
        <w:t>,</w:t>
      </w:r>
      <w:r>
        <w:rPr>
          <w:rFonts w:ascii="Century Gothic" w:hAnsi="Century Gothic"/>
          <w:sz w:val="20"/>
          <w:szCs w:val="20"/>
          <w:lang w:val="es-MX"/>
        </w:rPr>
        <w:t xml:space="preserve"> definió lugar y fecha para su realización, habiendo sido el Centro Internacional de Ferias y Convenciones (CIFCO), el día 14 de julio 2016, en un horario de 2:00 p.m. a 4:30 p.m. coincidiendo con la sesión ordinaria del COAMSS.</w:t>
      </w:r>
    </w:p>
    <w:p w:rsidR="00D63125" w:rsidRDefault="00D63125" w:rsidP="00531DFF">
      <w:pPr>
        <w:spacing w:after="0" w:line="240" w:lineRule="auto"/>
        <w:rPr>
          <w:lang w:val="es-SV"/>
        </w:rPr>
      </w:pPr>
    </w:p>
    <w:p w:rsidR="00D63125" w:rsidRPr="00F64C76" w:rsidRDefault="00D63125" w:rsidP="00F64C76">
      <w:pPr>
        <w:pStyle w:val="Ttulo1"/>
      </w:pPr>
      <w:bookmarkStart w:id="1" w:name="_Toc442346766"/>
      <w:bookmarkStart w:id="2" w:name="_Toc461538888"/>
      <w:r w:rsidRPr="00F64C76">
        <w:t>Objetivo</w:t>
      </w:r>
      <w:bookmarkEnd w:id="1"/>
      <w:bookmarkEnd w:id="2"/>
    </w:p>
    <w:p w:rsidR="00D63125" w:rsidRDefault="00D63125" w:rsidP="00D63125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D63125" w:rsidRPr="001E594C" w:rsidRDefault="00FC6FE7" w:rsidP="00B61715">
      <w:pPr>
        <w:spacing w:after="0" w:line="360" w:lineRule="auto"/>
        <w:ind w:firstLine="708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El presente informe tiene como único objetivo, i</w:t>
      </w:r>
      <w:r w:rsidR="00D63125">
        <w:rPr>
          <w:rFonts w:ascii="Century Gothic" w:hAnsi="Century Gothic"/>
          <w:sz w:val="20"/>
          <w:szCs w:val="20"/>
          <w:lang w:val="es-MX"/>
        </w:rPr>
        <w:t xml:space="preserve">nformar a la Dirección Ejecutiva sobre los resultados obtenidos de las evaluaciones internas y externas, comentarios y recomendaciones que </w:t>
      </w:r>
      <w:r w:rsidR="00B61715">
        <w:rPr>
          <w:rFonts w:ascii="Century Gothic" w:hAnsi="Century Gothic"/>
          <w:sz w:val="20"/>
          <w:szCs w:val="20"/>
          <w:lang w:val="es-MX"/>
        </w:rPr>
        <w:t xml:space="preserve">hicieron </w:t>
      </w:r>
      <w:r w:rsidR="00D63125">
        <w:rPr>
          <w:rFonts w:ascii="Century Gothic" w:hAnsi="Century Gothic"/>
          <w:sz w:val="20"/>
          <w:szCs w:val="20"/>
          <w:lang w:val="es-MX"/>
        </w:rPr>
        <w:t xml:space="preserve">los asistentes al primer ejercicio </w:t>
      </w:r>
      <w:r w:rsidR="001E1FB2">
        <w:rPr>
          <w:rFonts w:ascii="Century Gothic" w:hAnsi="Century Gothic"/>
          <w:sz w:val="20"/>
          <w:szCs w:val="20"/>
          <w:lang w:val="es-MX"/>
        </w:rPr>
        <w:t>en audiencia pública de rendición de cuentas del COAMSS/OPAMSS sobre el período de gestión del 1° de mayo de 2015 al 30 de abril de 2016.</w:t>
      </w:r>
    </w:p>
    <w:p w:rsidR="00D63125" w:rsidRPr="00F64C76" w:rsidRDefault="00D63125" w:rsidP="00F64C76">
      <w:pPr>
        <w:pStyle w:val="Ttulo1"/>
      </w:pPr>
      <w:bookmarkStart w:id="3" w:name="_Toc442346767"/>
      <w:bookmarkStart w:id="4" w:name="_Toc461538889"/>
      <w:r w:rsidRPr="00F64C76">
        <w:t>Metodología</w:t>
      </w:r>
      <w:bookmarkEnd w:id="3"/>
      <w:r w:rsidR="00575537" w:rsidRPr="00F64C76">
        <w:t xml:space="preserve"> de la Rendición de Cuentas</w:t>
      </w:r>
      <w:bookmarkEnd w:id="4"/>
      <w:r w:rsidRPr="00F64C76">
        <w:t xml:space="preserve"> </w:t>
      </w:r>
    </w:p>
    <w:p w:rsidR="00D63125" w:rsidRPr="007C15C3" w:rsidRDefault="00D63125" w:rsidP="00D63125">
      <w:pPr>
        <w:rPr>
          <w:lang w:val="es-MX"/>
        </w:rPr>
      </w:pPr>
    </w:p>
    <w:p w:rsidR="00C3072D" w:rsidRPr="00575537" w:rsidRDefault="00FC6FE7" w:rsidP="00EC15C4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 w:rsidRPr="00575537">
        <w:rPr>
          <w:rFonts w:ascii="Century Gothic" w:hAnsi="Century Gothic"/>
          <w:sz w:val="20"/>
          <w:szCs w:val="20"/>
          <w:lang w:val="es-MX"/>
        </w:rPr>
        <w:t xml:space="preserve">Elaborado </w:t>
      </w:r>
      <w:r w:rsidR="00575537">
        <w:rPr>
          <w:rFonts w:ascii="Century Gothic" w:hAnsi="Century Gothic"/>
          <w:sz w:val="20"/>
          <w:szCs w:val="20"/>
          <w:lang w:val="es-MX"/>
        </w:rPr>
        <w:t xml:space="preserve">y socializado </w:t>
      </w:r>
      <w:r w:rsidRPr="00575537">
        <w:rPr>
          <w:rFonts w:ascii="Century Gothic" w:hAnsi="Century Gothic"/>
          <w:sz w:val="20"/>
          <w:szCs w:val="20"/>
          <w:lang w:val="es-MX"/>
        </w:rPr>
        <w:t>el plan institucional de Rendición de Cuentas</w:t>
      </w:r>
      <w:r w:rsidR="00575537">
        <w:rPr>
          <w:rFonts w:ascii="Century Gothic" w:hAnsi="Century Gothic"/>
          <w:sz w:val="20"/>
          <w:szCs w:val="20"/>
          <w:lang w:val="es-MX"/>
        </w:rPr>
        <w:t>.</w:t>
      </w:r>
    </w:p>
    <w:p w:rsidR="00FC6FE7" w:rsidRPr="00575537" w:rsidRDefault="00FC6FE7" w:rsidP="00EC15C4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 w:rsidRPr="00575537">
        <w:rPr>
          <w:rFonts w:ascii="Century Gothic" w:hAnsi="Century Gothic"/>
          <w:sz w:val="20"/>
          <w:szCs w:val="20"/>
          <w:lang w:val="es-MX"/>
        </w:rPr>
        <w:t>Conformada la Comisión Instit</w:t>
      </w:r>
      <w:r w:rsidR="006A08D0" w:rsidRPr="00575537">
        <w:rPr>
          <w:rFonts w:ascii="Century Gothic" w:hAnsi="Century Gothic"/>
          <w:sz w:val="20"/>
          <w:szCs w:val="20"/>
          <w:lang w:val="es-MX"/>
        </w:rPr>
        <w:t>ucional de Rendición de Cuentas</w:t>
      </w:r>
      <w:r w:rsidR="001C0C6E">
        <w:rPr>
          <w:rFonts w:ascii="Century Gothic" w:hAnsi="Century Gothic"/>
          <w:sz w:val="20"/>
          <w:szCs w:val="20"/>
          <w:lang w:val="es-MX"/>
        </w:rPr>
        <w:t xml:space="preserve"> como se detalla a continuación</w:t>
      </w:r>
      <w:r w:rsidR="006A08D0" w:rsidRPr="00575537">
        <w:rPr>
          <w:rFonts w:ascii="Century Gothic" w:hAnsi="Century Gothic"/>
          <w:sz w:val="20"/>
          <w:szCs w:val="20"/>
          <w:lang w:val="es-MX"/>
        </w:rPr>
        <w:t xml:space="preserve"> y aprobada por el COAMSS en sesión del 28 de enero de 2016</w:t>
      </w:r>
      <w:r w:rsidR="001C0C6E">
        <w:rPr>
          <w:rFonts w:ascii="Century Gothic" w:hAnsi="Century Gothic"/>
          <w:sz w:val="20"/>
          <w:szCs w:val="20"/>
          <w:lang w:val="es-MX"/>
        </w:rPr>
        <w:t>.</w:t>
      </w:r>
    </w:p>
    <w:p w:rsidR="00770C87" w:rsidRPr="00575537" w:rsidRDefault="00575537" w:rsidP="006A08D0">
      <w:pPr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lastRenderedPageBreak/>
        <w:t xml:space="preserve">Responsable de la </w:t>
      </w:r>
      <w:r w:rsidR="0020168D" w:rsidRPr="00575537">
        <w:rPr>
          <w:rFonts w:ascii="Century Gothic" w:hAnsi="Century Gothic"/>
          <w:sz w:val="20"/>
          <w:szCs w:val="20"/>
          <w:lang w:val="es-MX"/>
        </w:rPr>
        <w:t xml:space="preserve">Unidad de Acceso a la Información Pública y </w:t>
      </w:r>
      <w:r>
        <w:rPr>
          <w:rFonts w:ascii="Century Gothic" w:hAnsi="Century Gothic"/>
          <w:sz w:val="20"/>
          <w:szCs w:val="20"/>
          <w:lang w:val="es-MX"/>
        </w:rPr>
        <w:t>Transparencia.</w:t>
      </w:r>
    </w:p>
    <w:p w:rsidR="00770C87" w:rsidRPr="00575537" w:rsidRDefault="00575537" w:rsidP="006A08D0">
      <w:pPr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Responsable de la </w:t>
      </w:r>
      <w:r w:rsidR="0020168D" w:rsidRPr="00575537">
        <w:rPr>
          <w:rFonts w:ascii="Century Gothic" w:hAnsi="Century Gothic"/>
          <w:sz w:val="20"/>
          <w:szCs w:val="20"/>
          <w:lang w:val="es-MX"/>
        </w:rPr>
        <w:t>Unidad de Comunicaciones</w:t>
      </w:r>
    </w:p>
    <w:p w:rsidR="00770C87" w:rsidRPr="00575537" w:rsidRDefault="00575537" w:rsidP="006A08D0">
      <w:pPr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Responsable de la </w:t>
      </w:r>
      <w:r w:rsidR="0020168D" w:rsidRPr="00575537">
        <w:rPr>
          <w:rFonts w:ascii="Century Gothic" w:hAnsi="Century Gothic"/>
          <w:sz w:val="20"/>
          <w:szCs w:val="20"/>
          <w:lang w:val="es-MX"/>
        </w:rPr>
        <w:t>Subdirección de Desarrol</w:t>
      </w:r>
      <w:r>
        <w:rPr>
          <w:rFonts w:ascii="Century Gothic" w:hAnsi="Century Gothic"/>
          <w:sz w:val="20"/>
          <w:szCs w:val="20"/>
          <w:lang w:val="es-MX"/>
        </w:rPr>
        <w:t>lo Económico y Cohesión Social</w:t>
      </w:r>
    </w:p>
    <w:p w:rsidR="00575537" w:rsidRDefault="00575537" w:rsidP="00450FD9">
      <w:pPr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  <w:r w:rsidRPr="00575537">
        <w:rPr>
          <w:rFonts w:ascii="Century Gothic" w:hAnsi="Century Gothic"/>
          <w:sz w:val="20"/>
          <w:szCs w:val="20"/>
          <w:lang w:val="es-MX"/>
        </w:rPr>
        <w:t xml:space="preserve">Responsable de la Unidad Financiera Institucional </w:t>
      </w:r>
    </w:p>
    <w:p w:rsidR="00770C87" w:rsidRPr="00575537" w:rsidRDefault="00575537" w:rsidP="00450FD9">
      <w:pPr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Responsable de la Escuela Metropolitana</w:t>
      </w:r>
    </w:p>
    <w:p w:rsidR="00770C87" w:rsidRPr="00575537" w:rsidRDefault="0020168D" w:rsidP="001C0C6E">
      <w:pPr>
        <w:numPr>
          <w:ilvl w:val="1"/>
          <w:numId w:val="7"/>
        </w:numPr>
        <w:spacing w:after="0" w:line="360" w:lineRule="auto"/>
        <w:rPr>
          <w:rFonts w:ascii="Century Gothic" w:hAnsi="Century Gothic"/>
          <w:sz w:val="20"/>
          <w:szCs w:val="20"/>
          <w:lang w:val="es-MX"/>
        </w:rPr>
      </w:pPr>
      <w:r w:rsidRPr="00575537">
        <w:rPr>
          <w:rFonts w:ascii="Century Gothic" w:hAnsi="Century Gothic"/>
          <w:sz w:val="20"/>
          <w:szCs w:val="20"/>
          <w:lang w:val="es-MX"/>
        </w:rPr>
        <w:t>Alcalde del Municipio de San Marcos</w:t>
      </w:r>
    </w:p>
    <w:p w:rsidR="00FC6FE7" w:rsidRDefault="001C0630" w:rsidP="001C0C6E">
      <w:pPr>
        <w:pStyle w:val="Prrafodelista"/>
        <w:numPr>
          <w:ilvl w:val="0"/>
          <w:numId w:val="7"/>
        </w:numPr>
        <w:spacing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Elaborado el Informe y Memoria de labores sobre la Rendición de Cuentas</w:t>
      </w:r>
    </w:p>
    <w:p w:rsidR="001C0630" w:rsidRDefault="001C0630" w:rsidP="00EC15C4">
      <w:pPr>
        <w:pStyle w:val="Prrafodelista"/>
        <w:numPr>
          <w:ilvl w:val="0"/>
          <w:numId w:val="7"/>
        </w:numPr>
        <w:spacing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Convocatoria a través de invitación impresa y digital</w:t>
      </w:r>
      <w:r w:rsidR="002723FE">
        <w:rPr>
          <w:rFonts w:ascii="Century Gothic" w:hAnsi="Century Gothic"/>
          <w:sz w:val="20"/>
          <w:szCs w:val="20"/>
          <w:lang w:val="es-MX"/>
        </w:rPr>
        <w:t xml:space="preserve"> a través de mail</w:t>
      </w:r>
    </w:p>
    <w:p w:rsidR="00237B05" w:rsidRPr="001C0630" w:rsidRDefault="00237B05" w:rsidP="00EC15C4">
      <w:pPr>
        <w:pStyle w:val="Prrafodelista"/>
        <w:numPr>
          <w:ilvl w:val="0"/>
          <w:numId w:val="7"/>
        </w:numPr>
        <w:spacing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Divulgado el informe o memoria de labores anexo a la invitación al evento de Rendición de Cuentas</w:t>
      </w:r>
    </w:p>
    <w:p w:rsidR="001C0630" w:rsidRPr="00EA7535" w:rsidRDefault="002723FE" w:rsidP="00EC15C4">
      <w:pPr>
        <w:pStyle w:val="Prrafodelista"/>
        <w:numPr>
          <w:ilvl w:val="0"/>
          <w:numId w:val="7"/>
        </w:numPr>
        <w:spacing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Desarrollada la </w:t>
      </w:r>
      <w:r w:rsidR="001C0630" w:rsidRPr="00EA7535">
        <w:rPr>
          <w:rFonts w:ascii="Century Gothic" w:hAnsi="Century Gothic"/>
          <w:sz w:val="20"/>
          <w:szCs w:val="20"/>
          <w:lang w:val="es-MX"/>
        </w:rPr>
        <w:t>Audiencia pública sobre la Rendición de Cuentas</w:t>
      </w:r>
    </w:p>
    <w:p w:rsidR="001C0630" w:rsidRPr="00EA7535" w:rsidRDefault="001C0630" w:rsidP="00EC15C4">
      <w:pPr>
        <w:pStyle w:val="Prrafodelista"/>
        <w:numPr>
          <w:ilvl w:val="0"/>
          <w:numId w:val="7"/>
        </w:numPr>
        <w:spacing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 w:rsidRPr="00EA7535">
        <w:rPr>
          <w:rFonts w:ascii="Century Gothic" w:hAnsi="Century Gothic"/>
          <w:sz w:val="20"/>
          <w:szCs w:val="20"/>
          <w:lang w:val="es-MX"/>
        </w:rPr>
        <w:t>Presenta</w:t>
      </w:r>
      <w:r w:rsidR="002723FE">
        <w:rPr>
          <w:rFonts w:ascii="Century Gothic" w:hAnsi="Century Gothic"/>
          <w:sz w:val="20"/>
          <w:szCs w:val="20"/>
          <w:lang w:val="es-MX"/>
        </w:rPr>
        <w:t>do</w:t>
      </w:r>
      <w:r w:rsidRPr="00EA7535">
        <w:rPr>
          <w:rFonts w:ascii="Century Gothic" w:hAnsi="Century Gothic"/>
          <w:sz w:val="20"/>
          <w:szCs w:val="20"/>
          <w:lang w:val="es-MX"/>
        </w:rPr>
        <w:t xml:space="preserve"> en pleno de sesión ordinaria de COAMSS</w:t>
      </w:r>
      <w:r w:rsidR="002723FE">
        <w:rPr>
          <w:rFonts w:ascii="Century Gothic" w:hAnsi="Century Gothic"/>
          <w:sz w:val="20"/>
          <w:szCs w:val="20"/>
          <w:lang w:val="es-MX"/>
        </w:rPr>
        <w:t xml:space="preserve"> </w:t>
      </w:r>
      <w:r w:rsidR="00EA7535" w:rsidRPr="00EA7535">
        <w:rPr>
          <w:rFonts w:ascii="Century Gothic" w:hAnsi="Century Gothic"/>
          <w:sz w:val="20"/>
          <w:szCs w:val="20"/>
          <w:lang w:val="es-MX"/>
        </w:rPr>
        <w:t>el informe de Rendición de Cuentas</w:t>
      </w:r>
    </w:p>
    <w:p w:rsidR="00EA7535" w:rsidRPr="00EA7535" w:rsidRDefault="00EA7535" w:rsidP="00EC15C4">
      <w:pPr>
        <w:pStyle w:val="Prrafodelista"/>
        <w:numPr>
          <w:ilvl w:val="0"/>
          <w:numId w:val="7"/>
        </w:numPr>
        <w:spacing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 w:rsidRPr="00EA7535">
        <w:rPr>
          <w:rFonts w:ascii="Century Gothic" w:hAnsi="Century Gothic"/>
          <w:sz w:val="20"/>
          <w:szCs w:val="20"/>
          <w:lang w:val="es-MX"/>
        </w:rPr>
        <w:t>Asistencia ciudadana al evento</w:t>
      </w:r>
    </w:p>
    <w:p w:rsidR="00EA7535" w:rsidRPr="00EA7535" w:rsidRDefault="00EA7535" w:rsidP="00EC15C4">
      <w:pPr>
        <w:pStyle w:val="Prrafodelista"/>
        <w:numPr>
          <w:ilvl w:val="0"/>
          <w:numId w:val="7"/>
        </w:numPr>
        <w:spacing w:line="360" w:lineRule="auto"/>
        <w:ind w:left="714" w:hanging="357"/>
        <w:rPr>
          <w:rFonts w:ascii="Century Gothic" w:hAnsi="Century Gothic"/>
          <w:sz w:val="20"/>
          <w:szCs w:val="20"/>
          <w:lang w:val="es-MX"/>
        </w:rPr>
      </w:pPr>
      <w:r w:rsidRPr="00EA7535">
        <w:rPr>
          <w:rFonts w:ascii="Century Gothic" w:hAnsi="Century Gothic"/>
          <w:sz w:val="20"/>
          <w:szCs w:val="20"/>
          <w:lang w:val="es-MX"/>
        </w:rPr>
        <w:t>Participación ciudadana con preguntas y respuestas in-situ y publicadas en el portal institucional</w:t>
      </w:r>
      <w:r w:rsidR="00237B05">
        <w:rPr>
          <w:rFonts w:ascii="Century Gothic" w:hAnsi="Century Gothic"/>
          <w:sz w:val="20"/>
          <w:szCs w:val="20"/>
          <w:lang w:val="es-MX"/>
        </w:rPr>
        <w:t>, como aportes a la gestión y respuesta institucional.</w:t>
      </w:r>
    </w:p>
    <w:p w:rsidR="00575537" w:rsidRPr="00F64C76" w:rsidRDefault="00575537" w:rsidP="00F64C76">
      <w:pPr>
        <w:pStyle w:val="Ttulo1"/>
      </w:pPr>
      <w:r>
        <w:rPr>
          <w:sz w:val="20"/>
          <w:szCs w:val="20"/>
        </w:rPr>
        <w:t xml:space="preserve"> </w:t>
      </w:r>
      <w:bookmarkStart w:id="5" w:name="_Toc461538890"/>
      <w:r w:rsidRPr="00F64C76">
        <w:t>Evaluación de la Rendición de Cuentas</w:t>
      </w:r>
      <w:bookmarkEnd w:id="5"/>
      <w:r w:rsidRPr="00F64C76">
        <w:t xml:space="preserve"> </w:t>
      </w:r>
    </w:p>
    <w:p w:rsidR="00D63125" w:rsidRPr="0021266E" w:rsidRDefault="00D63125" w:rsidP="00D63125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012935" w:rsidRDefault="001C0C6E" w:rsidP="00EC15C4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Para el </w:t>
      </w:r>
      <w:r w:rsidR="00575537" w:rsidRPr="00F97FDC">
        <w:rPr>
          <w:rFonts w:ascii="Century Gothic" w:hAnsi="Century Gothic"/>
          <w:sz w:val="20"/>
          <w:szCs w:val="20"/>
          <w:lang w:val="es-MX"/>
        </w:rPr>
        <w:t>proceso de evaluación</w:t>
      </w:r>
      <w:r>
        <w:rPr>
          <w:rFonts w:ascii="Century Gothic" w:hAnsi="Century Gothic"/>
          <w:sz w:val="20"/>
          <w:szCs w:val="20"/>
          <w:lang w:val="es-MX"/>
        </w:rPr>
        <w:t xml:space="preserve"> se consideraron</w:t>
      </w:r>
      <w:r w:rsidR="00575537" w:rsidRPr="00F97FDC">
        <w:rPr>
          <w:rFonts w:ascii="Century Gothic" w:hAnsi="Century Gothic"/>
          <w:sz w:val="20"/>
          <w:szCs w:val="20"/>
          <w:lang w:val="es-MX"/>
        </w:rPr>
        <w:t xml:space="preserve"> </w:t>
      </w:r>
      <w:r>
        <w:rPr>
          <w:rFonts w:ascii="Century Gothic" w:hAnsi="Century Gothic"/>
          <w:sz w:val="20"/>
          <w:szCs w:val="20"/>
          <w:lang w:val="es-MX"/>
        </w:rPr>
        <w:t xml:space="preserve">los </w:t>
      </w:r>
      <w:r w:rsidR="00575537" w:rsidRPr="00F97FDC">
        <w:rPr>
          <w:rFonts w:ascii="Century Gothic" w:hAnsi="Century Gothic"/>
          <w:sz w:val="20"/>
          <w:szCs w:val="20"/>
          <w:lang w:val="es-MX"/>
        </w:rPr>
        <w:t xml:space="preserve">tres componentes </w:t>
      </w:r>
      <w:r w:rsidR="005B5F44">
        <w:rPr>
          <w:rFonts w:ascii="Century Gothic" w:hAnsi="Century Gothic"/>
          <w:sz w:val="20"/>
          <w:szCs w:val="20"/>
          <w:lang w:val="es-MX"/>
        </w:rPr>
        <w:t xml:space="preserve">de calificación </w:t>
      </w:r>
      <w:r w:rsidR="00237B05">
        <w:rPr>
          <w:rFonts w:ascii="Century Gothic" w:hAnsi="Century Gothic"/>
          <w:sz w:val="20"/>
          <w:szCs w:val="20"/>
          <w:lang w:val="es-MX"/>
        </w:rPr>
        <w:t xml:space="preserve">de acuerdo a </w:t>
      </w:r>
      <w:r w:rsidR="00575537" w:rsidRPr="00F97FDC">
        <w:rPr>
          <w:rFonts w:ascii="Century Gothic" w:hAnsi="Century Gothic"/>
          <w:sz w:val="20"/>
          <w:szCs w:val="20"/>
          <w:lang w:val="es-MX"/>
        </w:rPr>
        <w:t xml:space="preserve">herramientas </w:t>
      </w:r>
      <w:r w:rsidR="00237B05">
        <w:rPr>
          <w:rFonts w:ascii="Century Gothic" w:hAnsi="Century Gothic"/>
          <w:sz w:val="20"/>
          <w:szCs w:val="20"/>
          <w:lang w:val="es-MX"/>
        </w:rPr>
        <w:t>de la S</w:t>
      </w:r>
      <w:r>
        <w:rPr>
          <w:rFonts w:ascii="Century Gothic" w:hAnsi="Century Gothic"/>
          <w:sz w:val="20"/>
          <w:szCs w:val="20"/>
          <w:lang w:val="es-MX"/>
        </w:rPr>
        <w:t xml:space="preserve">ecretaría de </w:t>
      </w:r>
      <w:r w:rsidR="00237B05">
        <w:rPr>
          <w:rFonts w:ascii="Century Gothic" w:hAnsi="Century Gothic"/>
          <w:sz w:val="20"/>
          <w:szCs w:val="20"/>
          <w:lang w:val="es-MX"/>
        </w:rPr>
        <w:t>P</w:t>
      </w:r>
      <w:r>
        <w:rPr>
          <w:rFonts w:ascii="Century Gothic" w:hAnsi="Century Gothic"/>
          <w:sz w:val="20"/>
          <w:szCs w:val="20"/>
          <w:lang w:val="es-MX"/>
        </w:rPr>
        <w:t>articipación Ciudadana y Anticorrupción - SP</w:t>
      </w:r>
      <w:r w:rsidR="00237B05">
        <w:rPr>
          <w:rFonts w:ascii="Century Gothic" w:hAnsi="Century Gothic"/>
          <w:sz w:val="20"/>
          <w:szCs w:val="20"/>
          <w:lang w:val="es-MX"/>
        </w:rPr>
        <w:t xml:space="preserve">AT, </w:t>
      </w:r>
      <w:r w:rsidR="00575537" w:rsidRPr="00F97FDC">
        <w:rPr>
          <w:rFonts w:ascii="Century Gothic" w:hAnsi="Century Gothic"/>
          <w:sz w:val="20"/>
          <w:szCs w:val="20"/>
          <w:lang w:val="es-MX"/>
        </w:rPr>
        <w:t>siguientes:</w:t>
      </w:r>
    </w:p>
    <w:p w:rsidR="00012935" w:rsidRDefault="00012935" w:rsidP="00EC15C4">
      <w:pPr>
        <w:keepNext/>
        <w:spacing w:after="0" w:line="360" w:lineRule="auto"/>
        <w:jc w:val="center"/>
      </w:pPr>
      <w:r>
        <w:rPr>
          <w:noProof/>
          <w:lang w:eastAsia="es-ES"/>
        </w:rPr>
        <w:drawing>
          <wp:inline distT="0" distB="0" distL="0" distR="0" wp14:anchorId="29403FC2" wp14:editId="20DACBCC">
            <wp:extent cx="4456873" cy="2340592"/>
            <wp:effectExtent l="0" t="0" r="127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527" cy="235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935" w:rsidRDefault="00012935" w:rsidP="00EC15C4">
      <w:pPr>
        <w:pStyle w:val="Descripcin"/>
        <w:spacing w:after="0" w:line="360" w:lineRule="auto"/>
        <w:jc w:val="center"/>
        <w:rPr>
          <w:b/>
          <w:lang w:val="es-SV"/>
        </w:rPr>
      </w:pPr>
      <w:r>
        <w:t>Fuente: Instructivo de Rendición de Cuentas 2016 SPAT</w:t>
      </w:r>
    </w:p>
    <w:p w:rsidR="00575537" w:rsidRDefault="00100AC7" w:rsidP="00100AC7">
      <w:pPr>
        <w:spacing w:after="0" w:line="240" w:lineRule="auto"/>
        <w:rPr>
          <w:b/>
          <w:lang w:val="es-SV"/>
        </w:rPr>
      </w:pPr>
      <w:r>
        <w:rPr>
          <w:noProof/>
          <w:lang w:eastAsia="es-ES"/>
        </w:rPr>
        <w:drawing>
          <wp:inline distT="0" distB="0" distL="0" distR="0" wp14:anchorId="6FE5017F" wp14:editId="3F775F92">
            <wp:extent cx="5282912" cy="57213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72" t="23342" b="3971"/>
                    <a:stretch/>
                  </pic:blipFill>
                  <pic:spPr bwMode="auto">
                    <a:xfrm>
                      <a:off x="0" y="0"/>
                      <a:ext cx="5282912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AC7" w:rsidRDefault="00100AC7" w:rsidP="00100AC7">
      <w:pPr>
        <w:spacing w:after="0" w:line="240" w:lineRule="auto"/>
        <w:rPr>
          <w:b/>
          <w:lang w:val="es-SV"/>
        </w:rPr>
      </w:pPr>
      <w:r>
        <w:rPr>
          <w:noProof/>
          <w:lang w:eastAsia="es-ES"/>
        </w:rPr>
        <w:drawing>
          <wp:inline distT="0" distB="0" distL="0" distR="0" wp14:anchorId="74253F57" wp14:editId="53FBE277">
            <wp:extent cx="5261212" cy="50292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38" t="11930" r="1416" b="5556"/>
                    <a:stretch/>
                  </pic:blipFill>
                  <pic:spPr bwMode="auto">
                    <a:xfrm>
                      <a:off x="0" y="0"/>
                      <a:ext cx="5428970" cy="518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AC7" w:rsidRDefault="00100AC7" w:rsidP="00EC15C4">
      <w:pPr>
        <w:spacing w:after="0" w:line="360" w:lineRule="auto"/>
        <w:rPr>
          <w:b/>
          <w:lang w:val="es-SV"/>
        </w:rPr>
      </w:pPr>
    </w:p>
    <w:p w:rsidR="00012935" w:rsidRPr="00012935" w:rsidRDefault="00012935" w:rsidP="00EC15C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</w:pPr>
      <w:r w:rsidRPr="00012935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>Evaluación interna de la Rendición de Cuentas proporcionado por la SPAT (Formulario 1)</w:t>
      </w:r>
    </w:p>
    <w:p w:rsidR="00012935" w:rsidRPr="00012935" w:rsidRDefault="00012935" w:rsidP="00EC15C4">
      <w:pPr>
        <w:spacing w:after="0" w:line="360" w:lineRule="auto"/>
        <w:rPr>
          <w:rFonts w:ascii="Century Gothic" w:hAnsi="Century Gothic"/>
          <w:b/>
          <w:sz w:val="20"/>
          <w:szCs w:val="20"/>
          <w:lang w:val="es-SV"/>
        </w:rPr>
      </w:pPr>
    </w:p>
    <w:p w:rsidR="00012935" w:rsidRPr="00012935" w:rsidRDefault="00012935" w:rsidP="00EC15C4">
      <w:pPr>
        <w:pStyle w:val="Prrafodelista"/>
        <w:spacing w:after="0" w:line="360" w:lineRule="auto"/>
        <w:rPr>
          <w:rFonts w:ascii="Century Gothic" w:hAnsi="Century Gothic"/>
          <w:sz w:val="20"/>
          <w:szCs w:val="20"/>
          <w:lang w:val="es-MX"/>
        </w:rPr>
      </w:pPr>
      <w:r w:rsidRPr="00012935">
        <w:rPr>
          <w:rFonts w:ascii="Century Gothic" w:hAnsi="Century Gothic"/>
          <w:sz w:val="20"/>
          <w:szCs w:val="20"/>
          <w:lang w:val="es-MX"/>
        </w:rPr>
        <w:t>Este formulario fue completado y remitido a la SPAT (Anexo al presente informe)</w:t>
      </w:r>
    </w:p>
    <w:p w:rsidR="00012935" w:rsidRPr="00012935" w:rsidRDefault="00012935" w:rsidP="00EC15C4">
      <w:pPr>
        <w:spacing w:after="0" w:line="360" w:lineRule="auto"/>
        <w:rPr>
          <w:rFonts w:ascii="Century Gothic" w:hAnsi="Century Gothic"/>
          <w:b/>
          <w:sz w:val="20"/>
          <w:szCs w:val="20"/>
          <w:lang w:val="es-SV"/>
        </w:rPr>
      </w:pPr>
    </w:p>
    <w:p w:rsidR="00012935" w:rsidRPr="00012935" w:rsidRDefault="00012935" w:rsidP="00EC15C4">
      <w:pPr>
        <w:spacing w:after="0" w:line="360" w:lineRule="auto"/>
        <w:rPr>
          <w:rFonts w:ascii="Century Gothic" w:hAnsi="Century Gothic"/>
          <w:b/>
          <w:sz w:val="20"/>
          <w:szCs w:val="20"/>
          <w:lang w:val="es-SV"/>
        </w:rPr>
      </w:pPr>
    </w:p>
    <w:p w:rsidR="00F97FDC" w:rsidRPr="00012935" w:rsidRDefault="00F97FDC" w:rsidP="00EC15C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</w:pPr>
      <w:r w:rsidRPr="00012935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>Evaluación institucional de R</w:t>
      </w:r>
      <w:r w:rsidR="00EC4969" w:rsidRPr="00012935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 xml:space="preserve">endición de </w:t>
      </w:r>
      <w:r w:rsidRPr="00012935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>C</w:t>
      </w:r>
      <w:r w:rsidR="00EC4969" w:rsidRPr="00012935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>uentas realizada por un delegado de la SPTA (Formulario 2)</w:t>
      </w:r>
    </w:p>
    <w:p w:rsidR="00012935" w:rsidRPr="00012935" w:rsidRDefault="00012935" w:rsidP="00EC15C4">
      <w:pPr>
        <w:pStyle w:val="Prrafodelista"/>
        <w:spacing w:after="0" w:line="360" w:lineRule="auto"/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</w:pPr>
    </w:p>
    <w:p w:rsidR="00012935" w:rsidRPr="00012935" w:rsidRDefault="00012935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012935">
        <w:rPr>
          <w:rFonts w:ascii="Century Gothic" w:hAnsi="Century Gothic"/>
          <w:sz w:val="20"/>
          <w:szCs w:val="20"/>
          <w:lang w:val="es-MX"/>
        </w:rPr>
        <w:t xml:space="preserve">La SPTA </w:t>
      </w:r>
      <w:r w:rsidR="009C349F">
        <w:rPr>
          <w:rFonts w:ascii="Century Gothic" w:hAnsi="Century Gothic"/>
          <w:sz w:val="20"/>
          <w:szCs w:val="20"/>
          <w:lang w:val="es-MX"/>
        </w:rPr>
        <w:t xml:space="preserve">designo a la Licda. </w:t>
      </w:r>
      <w:r w:rsidR="009C349F" w:rsidRPr="009C349F">
        <w:rPr>
          <w:rFonts w:ascii="Century Gothic" w:hAnsi="Century Gothic"/>
          <w:sz w:val="20"/>
          <w:szCs w:val="20"/>
          <w:lang w:val="es-MX"/>
        </w:rPr>
        <w:t>Aura Ivette Morales</w:t>
      </w:r>
      <w:r w:rsidR="009C349F">
        <w:rPr>
          <w:rFonts w:ascii="Century Gothic" w:hAnsi="Century Gothic"/>
          <w:sz w:val="20"/>
          <w:szCs w:val="20"/>
          <w:lang w:val="es-MX"/>
        </w:rPr>
        <w:t>,</w:t>
      </w:r>
      <w:r w:rsidR="009C349F" w:rsidRPr="009C349F">
        <w:rPr>
          <w:rFonts w:ascii="Century Gothic" w:hAnsi="Century Gothic"/>
          <w:sz w:val="20"/>
          <w:szCs w:val="20"/>
          <w:lang w:val="es-MX"/>
        </w:rPr>
        <w:t xml:space="preserve"> </w:t>
      </w:r>
      <w:r w:rsidR="009C349F">
        <w:rPr>
          <w:rFonts w:ascii="Century Gothic" w:hAnsi="Century Gothic"/>
          <w:sz w:val="20"/>
          <w:szCs w:val="20"/>
          <w:lang w:val="es-MX"/>
        </w:rPr>
        <w:t xml:space="preserve">Oficial de Información del </w:t>
      </w:r>
      <w:r w:rsidR="009C349F" w:rsidRPr="009C349F">
        <w:rPr>
          <w:rFonts w:ascii="Century Gothic" w:hAnsi="Century Gothic"/>
          <w:sz w:val="20"/>
          <w:szCs w:val="20"/>
          <w:lang w:val="es-MX"/>
        </w:rPr>
        <w:t>Consejo Superior de Salud Pública</w:t>
      </w:r>
      <w:r w:rsidRPr="00012935">
        <w:rPr>
          <w:rFonts w:ascii="Century Gothic" w:hAnsi="Century Gothic"/>
          <w:sz w:val="20"/>
          <w:szCs w:val="20"/>
          <w:lang w:val="es-MX"/>
        </w:rPr>
        <w:t>, para calificar el desarrollo de la Audiencia de Rendición de Cuentas, considerando los criterios que la Secretaria ha establecido.</w:t>
      </w:r>
    </w:p>
    <w:p w:rsidR="00012935" w:rsidRPr="00012935" w:rsidRDefault="00012935" w:rsidP="00EC15C4">
      <w:pPr>
        <w:pStyle w:val="Prrafodelista"/>
        <w:spacing w:after="0" w:line="360" w:lineRule="auto"/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</w:pPr>
      <w:bookmarkStart w:id="6" w:name="_GoBack"/>
      <w:bookmarkEnd w:id="6"/>
    </w:p>
    <w:p w:rsidR="00012935" w:rsidRPr="00012935" w:rsidRDefault="00012935" w:rsidP="00EC15C4">
      <w:pPr>
        <w:pStyle w:val="Prrafodelista"/>
        <w:spacing w:after="0" w:line="360" w:lineRule="auto"/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</w:pPr>
    </w:p>
    <w:p w:rsidR="00F97FDC" w:rsidRPr="00012935" w:rsidRDefault="00F97FDC" w:rsidP="00EC15C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</w:pPr>
      <w:r w:rsidRPr="00012935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>Evaluación Ciudadana</w:t>
      </w:r>
      <w:r w:rsidR="005B5F44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 xml:space="preserve"> </w:t>
      </w:r>
      <w:r w:rsidR="00EC4969" w:rsidRPr="00012935">
        <w:rPr>
          <w:rFonts w:ascii="Century Gothic" w:hAnsi="Century Gothic"/>
          <w:b/>
          <w:color w:val="000000" w:themeColor="text1"/>
          <w:sz w:val="20"/>
          <w:szCs w:val="20"/>
          <w:lang w:val="es-SV"/>
        </w:rPr>
        <w:t>(Formulario 3)</w:t>
      </w:r>
    </w:p>
    <w:p w:rsidR="00EC4969" w:rsidRPr="00F97FDC" w:rsidRDefault="00EC4969" w:rsidP="00EC15C4">
      <w:pPr>
        <w:spacing w:after="0" w:line="360" w:lineRule="auto"/>
        <w:rPr>
          <w:b/>
          <w:color w:val="000000" w:themeColor="text1"/>
          <w:lang w:val="es-SV"/>
        </w:rPr>
      </w:pPr>
    </w:p>
    <w:p w:rsidR="00BF6959" w:rsidRPr="00EC15C4" w:rsidRDefault="00BF6959" w:rsidP="00BF6959">
      <w:pPr>
        <w:shd w:val="clear" w:color="auto" w:fill="FFFFFF"/>
        <w:spacing w:after="0" w:line="360" w:lineRule="auto"/>
        <w:ind w:left="708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Al evento de </w:t>
      </w:r>
      <w:r w:rsidRPr="00EC15C4">
        <w:rPr>
          <w:rFonts w:ascii="Century Gothic" w:hAnsi="Century Gothic"/>
          <w:sz w:val="20"/>
          <w:szCs w:val="20"/>
          <w:lang w:val="es-MX"/>
        </w:rPr>
        <w:t xml:space="preserve">Rendición de Cuentas </w:t>
      </w:r>
      <w:r>
        <w:rPr>
          <w:rFonts w:ascii="Century Gothic" w:hAnsi="Century Gothic"/>
          <w:sz w:val="20"/>
          <w:szCs w:val="20"/>
          <w:lang w:val="es-MX"/>
        </w:rPr>
        <w:t xml:space="preserve">de </w:t>
      </w:r>
      <w:r w:rsidRPr="00EC15C4">
        <w:rPr>
          <w:rFonts w:ascii="Century Gothic" w:hAnsi="Century Gothic"/>
          <w:sz w:val="20"/>
          <w:szCs w:val="20"/>
          <w:lang w:val="es-MX"/>
        </w:rPr>
        <w:t>COAMSS/OPAMSS asistieron alrededor de 400 personas, que incluyeron miembros de los Concejos Municipales, representantes de las gremiales del sector construcción, profesionales inversionistas, desarrolladores de la empresa privada; representantes de organizaciones de la sociedad civil y beneficiarios de los proyectos impulsados desde el COAMSS/OPAMSS.</w:t>
      </w:r>
    </w:p>
    <w:p w:rsidR="00BF6959" w:rsidRDefault="00BF6959" w:rsidP="00EC15C4">
      <w:pPr>
        <w:spacing w:after="0" w:line="360" w:lineRule="auto"/>
        <w:ind w:left="708"/>
        <w:jc w:val="both"/>
        <w:rPr>
          <w:rFonts w:ascii="Century Gothic" w:hAnsi="Century Gothic"/>
          <w:sz w:val="20"/>
          <w:szCs w:val="20"/>
          <w:lang w:val="es-MX"/>
        </w:rPr>
      </w:pPr>
    </w:p>
    <w:p w:rsidR="00F97FDC" w:rsidRDefault="00BF6959" w:rsidP="00EC15C4">
      <w:pPr>
        <w:spacing w:after="0" w:line="360" w:lineRule="auto"/>
        <w:ind w:left="708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A cada uno de los asistentes</w:t>
      </w:r>
      <w:r w:rsidR="00F97FDC" w:rsidRPr="00012935">
        <w:rPr>
          <w:rFonts w:ascii="Century Gothic" w:hAnsi="Century Gothic"/>
          <w:sz w:val="20"/>
          <w:szCs w:val="20"/>
          <w:lang w:val="es-MX"/>
        </w:rPr>
        <w:t xml:space="preserve"> se</w:t>
      </w:r>
      <w:r w:rsidR="001C0630">
        <w:rPr>
          <w:rFonts w:ascii="Century Gothic" w:hAnsi="Century Gothic"/>
          <w:sz w:val="20"/>
          <w:szCs w:val="20"/>
          <w:lang w:val="es-MX"/>
        </w:rPr>
        <w:t xml:space="preserve"> </w:t>
      </w:r>
      <w:r>
        <w:rPr>
          <w:rFonts w:ascii="Century Gothic" w:hAnsi="Century Gothic"/>
          <w:sz w:val="20"/>
          <w:szCs w:val="20"/>
          <w:lang w:val="es-MX"/>
        </w:rPr>
        <w:t xml:space="preserve">le </w:t>
      </w:r>
      <w:r w:rsidR="001C0630">
        <w:rPr>
          <w:rFonts w:ascii="Century Gothic" w:hAnsi="Century Gothic"/>
          <w:sz w:val="20"/>
          <w:szCs w:val="20"/>
          <w:lang w:val="es-MX"/>
        </w:rPr>
        <w:t>proporcionó el</w:t>
      </w:r>
      <w:r w:rsidR="00F97FDC" w:rsidRPr="00012935">
        <w:rPr>
          <w:rFonts w:ascii="Century Gothic" w:hAnsi="Century Gothic"/>
          <w:sz w:val="20"/>
          <w:szCs w:val="20"/>
          <w:lang w:val="es-MX"/>
        </w:rPr>
        <w:t xml:space="preserve"> formulario de evaluación ciudadana sobre la Rendición de Cuentas, del total </w:t>
      </w:r>
      <w:r w:rsidR="001C0630">
        <w:rPr>
          <w:rFonts w:ascii="Century Gothic" w:hAnsi="Century Gothic"/>
          <w:sz w:val="20"/>
          <w:szCs w:val="20"/>
          <w:lang w:val="es-MX"/>
        </w:rPr>
        <w:t xml:space="preserve">se recibieron </w:t>
      </w:r>
      <w:r w:rsidR="00F97FDC" w:rsidRPr="00012935">
        <w:rPr>
          <w:rFonts w:ascii="Century Gothic" w:hAnsi="Century Gothic"/>
          <w:sz w:val="20"/>
          <w:szCs w:val="20"/>
          <w:lang w:val="es-MX"/>
        </w:rPr>
        <w:t>80</w:t>
      </w:r>
      <w:r w:rsidR="001C0630">
        <w:rPr>
          <w:rFonts w:ascii="Century Gothic" w:hAnsi="Century Gothic"/>
          <w:sz w:val="20"/>
          <w:szCs w:val="20"/>
          <w:lang w:val="es-MX"/>
        </w:rPr>
        <w:t xml:space="preserve"> formularios con respuestas</w:t>
      </w:r>
      <w:r w:rsidR="00F97FDC" w:rsidRPr="00012935">
        <w:rPr>
          <w:rFonts w:ascii="Century Gothic" w:hAnsi="Century Gothic"/>
          <w:sz w:val="20"/>
          <w:szCs w:val="20"/>
          <w:lang w:val="es-MX"/>
        </w:rPr>
        <w:t xml:space="preserve">, siendo el resumen tabulado </w:t>
      </w:r>
      <w:r w:rsidR="001C0630">
        <w:rPr>
          <w:rFonts w:ascii="Century Gothic" w:hAnsi="Century Gothic"/>
          <w:sz w:val="20"/>
          <w:szCs w:val="20"/>
          <w:lang w:val="es-MX"/>
        </w:rPr>
        <w:t xml:space="preserve">sobre los resultados, </w:t>
      </w:r>
      <w:r w:rsidR="00F97FDC" w:rsidRPr="00012935">
        <w:rPr>
          <w:rFonts w:ascii="Century Gothic" w:hAnsi="Century Gothic"/>
          <w:sz w:val="20"/>
          <w:szCs w:val="20"/>
          <w:lang w:val="es-MX"/>
        </w:rPr>
        <w:t xml:space="preserve">el </w:t>
      </w:r>
      <w:r w:rsidR="001C0630">
        <w:rPr>
          <w:rFonts w:ascii="Century Gothic" w:hAnsi="Century Gothic"/>
          <w:sz w:val="20"/>
          <w:szCs w:val="20"/>
          <w:lang w:val="es-MX"/>
        </w:rPr>
        <w:t xml:space="preserve">que </w:t>
      </w:r>
      <w:r w:rsidR="00F97FDC" w:rsidRPr="00012935">
        <w:rPr>
          <w:rFonts w:ascii="Century Gothic" w:hAnsi="Century Gothic"/>
          <w:sz w:val="20"/>
          <w:szCs w:val="20"/>
          <w:lang w:val="es-MX"/>
        </w:rPr>
        <w:t>se muestra en las siguientes gráficas:</w:t>
      </w:r>
    </w:p>
    <w:p w:rsidR="00BF6959" w:rsidRPr="00012935" w:rsidRDefault="00BF6959" w:rsidP="00EC15C4">
      <w:pPr>
        <w:spacing w:after="0" w:line="360" w:lineRule="auto"/>
        <w:ind w:left="708"/>
        <w:jc w:val="both"/>
        <w:rPr>
          <w:rFonts w:ascii="Century Gothic" w:hAnsi="Century Gothic"/>
          <w:sz w:val="20"/>
          <w:szCs w:val="20"/>
          <w:lang w:val="es-MX"/>
        </w:rPr>
      </w:pPr>
    </w:p>
    <w:p w:rsidR="00575537" w:rsidRDefault="00F97FDC" w:rsidP="00EC15C4">
      <w:pPr>
        <w:spacing w:after="0" w:line="360" w:lineRule="auto"/>
        <w:jc w:val="center"/>
        <w:rPr>
          <w:b/>
          <w:lang w:val="es-SV"/>
        </w:rPr>
      </w:pPr>
      <w:r>
        <w:rPr>
          <w:noProof/>
          <w:lang w:eastAsia="es-ES"/>
        </w:rPr>
        <w:lastRenderedPageBreak/>
        <w:drawing>
          <wp:inline distT="0" distB="0" distL="0" distR="0" wp14:anchorId="3318F767" wp14:editId="5FD7F173">
            <wp:extent cx="4812381" cy="3078981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798" cy="3083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FDC" w:rsidRDefault="00F97FDC" w:rsidP="00EC15C4">
      <w:pPr>
        <w:spacing w:after="0" w:line="360" w:lineRule="auto"/>
        <w:rPr>
          <w:b/>
          <w:color w:val="FF0000"/>
          <w:lang w:val="es-SV"/>
        </w:rPr>
      </w:pPr>
    </w:p>
    <w:p w:rsidR="00F97FDC" w:rsidRDefault="00F97FDC" w:rsidP="00EC15C4">
      <w:pPr>
        <w:spacing w:after="0" w:line="360" w:lineRule="auto"/>
        <w:rPr>
          <w:b/>
          <w:color w:val="FF0000"/>
          <w:lang w:val="es-SV"/>
        </w:rPr>
      </w:pPr>
    </w:p>
    <w:p w:rsidR="00F97FDC" w:rsidRDefault="00F97FDC" w:rsidP="00EC15C4">
      <w:pPr>
        <w:spacing w:after="0" w:line="360" w:lineRule="auto"/>
        <w:jc w:val="center"/>
        <w:rPr>
          <w:b/>
          <w:color w:val="FF0000"/>
          <w:lang w:val="es-SV"/>
        </w:rPr>
      </w:pPr>
      <w:r>
        <w:rPr>
          <w:noProof/>
          <w:lang w:eastAsia="es-ES"/>
        </w:rPr>
        <w:drawing>
          <wp:inline distT="0" distB="0" distL="0" distR="0" wp14:anchorId="574C3E25" wp14:editId="22F8ECB5">
            <wp:extent cx="3462617" cy="2560813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485" cy="2565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FDC" w:rsidRDefault="00F97FDC" w:rsidP="00EC15C4">
      <w:pPr>
        <w:spacing w:after="0" w:line="360" w:lineRule="auto"/>
        <w:rPr>
          <w:b/>
          <w:color w:val="FF0000"/>
          <w:lang w:val="es-SV"/>
        </w:rPr>
      </w:pPr>
    </w:p>
    <w:p w:rsidR="00F97FDC" w:rsidRDefault="00F97FDC" w:rsidP="00EC15C4">
      <w:pPr>
        <w:spacing w:after="0" w:line="360" w:lineRule="auto"/>
        <w:jc w:val="center"/>
        <w:rPr>
          <w:b/>
          <w:color w:val="FF0000"/>
          <w:lang w:val="es-SV"/>
        </w:rPr>
      </w:pPr>
      <w:r>
        <w:rPr>
          <w:noProof/>
          <w:lang w:eastAsia="es-ES"/>
        </w:rPr>
        <w:drawing>
          <wp:inline distT="0" distB="0" distL="0" distR="0" wp14:anchorId="07DC07DD" wp14:editId="1F26587E">
            <wp:extent cx="3411499" cy="2238926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177" cy="227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FDC" w:rsidRDefault="00F97FDC" w:rsidP="00EC15C4">
      <w:pPr>
        <w:spacing w:after="0" w:line="360" w:lineRule="auto"/>
        <w:rPr>
          <w:b/>
          <w:color w:val="FF0000"/>
          <w:lang w:val="es-SV"/>
        </w:rPr>
      </w:pPr>
    </w:p>
    <w:p w:rsidR="00F97FDC" w:rsidRDefault="00F97FDC" w:rsidP="00EC15C4">
      <w:pPr>
        <w:spacing w:after="0" w:line="360" w:lineRule="auto"/>
        <w:rPr>
          <w:b/>
          <w:color w:val="FF0000"/>
          <w:lang w:val="es-SV"/>
        </w:rPr>
      </w:pPr>
    </w:p>
    <w:p w:rsidR="001C0630" w:rsidRPr="00F64C76" w:rsidRDefault="001C0630" w:rsidP="00F64C76">
      <w:pPr>
        <w:pStyle w:val="Ttulo1"/>
      </w:pPr>
      <w:bookmarkStart w:id="7" w:name="_Toc461538891"/>
      <w:r w:rsidRPr="00F64C76">
        <w:t>Preguntas y Respuestas</w:t>
      </w:r>
      <w:bookmarkEnd w:id="7"/>
      <w:r w:rsidRPr="00F64C76">
        <w:t xml:space="preserve"> </w:t>
      </w:r>
    </w:p>
    <w:p w:rsidR="00575537" w:rsidRDefault="00575537" w:rsidP="00EC15C4">
      <w:pPr>
        <w:spacing w:after="0" w:line="360" w:lineRule="auto"/>
        <w:rPr>
          <w:b/>
          <w:lang w:val="es-SV"/>
        </w:rPr>
      </w:pPr>
    </w:p>
    <w:p w:rsidR="00EC15C4" w:rsidRPr="00EC15C4" w:rsidRDefault="00BF6959" w:rsidP="00BF6959">
      <w:pPr>
        <w:shd w:val="clear" w:color="auto" w:fill="FFFFFF"/>
        <w:spacing w:after="0" w:line="360" w:lineRule="auto"/>
        <w:ind w:left="708"/>
        <w:jc w:val="both"/>
        <w:rPr>
          <w:rFonts w:ascii="Century Gothic" w:hAnsi="Century Gothic"/>
          <w:sz w:val="20"/>
          <w:szCs w:val="20"/>
          <w:lang w:val="es-MX"/>
        </w:rPr>
      </w:pPr>
      <w:r w:rsidRPr="00BB4DCF">
        <w:rPr>
          <w:rFonts w:ascii="Century Gothic" w:hAnsi="Century Gothic"/>
          <w:sz w:val="20"/>
          <w:szCs w:val="20"/>
          <w:lang w:val="es-MX"/>
        </w:rPr>
        <w:t>Al cierre del evento</w:t>
      </w:r>
      <w:r>
        <w:rPr>
          <w:rFonts w:ascii="Century Gothic" w:hAnsi="Century Gothic"/>
          <w:sz w:val="20"/>
          <w:szCs w:val="20"/>
          <w:lang w:val="es-MX"/>
        </w:rPr>
        <w:t xml:space="preserve"> </w:t>
      </w:r>
      <w:r w:rsidR="00EC15C4" w:rsidRPr="00EC15C4">
        <w:rPr>
          <w:rFonts w:ascii="Century Gothic" w:hAnsi="Century Gothic"/>
          <w:sz w:val="20"/>
          <w:szCs w:val="20"/>
          <w:lang w:val="es-MX"/>
        </w:rPr>
        <w:t xml:space="preserve">se abrió un espacio de preguntas y respuestas donde los invitados podían consultar cualquier tema relacionado con el quehacer de la institución. Los Alcaldes que conforman el COAMSS, la Dirección Ejecutiva, Subdirecciones y Jefaturas de la OPAMSS se encargaron de responder a cada una de las consultas de los ciudadanos. El tiempo no fue suficiente para contestar todas las preguntas, por lo que </w:t>
      </w:r>
      <w:r>
        <w:rPr>
          <w:rFonts w:ascii="Century Gothic" w:hAnsi="Century Gothic"/>
          <w:sz w:val="20"/>
          <w:szCs w:val="20"/>
          <w:lang w:val="es-MX"/>
        </w:rPr>
        <w:t>posteriormente se publicaron</w:t>
      </w:r>
      <w:r w:rsidR="00EC15C4" w:rsidRPr="00EC15C4">
        <w:rPr>
          <w:rFonts w:ascii="Century Gothic" w:hAnsi="Century Gothic"/>
          <w:sz w:val="20"/>
          <w:szCs w:val="20"/>
          <w:lang w:val="es-MX"/>
        </w:rPr>
        <w:t xml:space="preserve"> las respuestas </w:t>
      </w:r>
      <w:r>
        <w:rPr>
          <w:rFonts w:ascii="Century Gothic" w:hAnsi="Century Gothic"/>
          <w:sz w:val="20"/>
          <w:szCs w:val="20"/>
          <w:lang w:val="es-MX"/>
        </w:rPr>
        <w:t>en el portal web institucional.</w:t>
      </w:r>
    </w:p>
    <w:p w:rsidR="005B5F44" w:rsidRDefault="005B5F44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B32BFC" w:rsidRDefault="00B32BFC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Anexo cuadro de preguntas y respuestas.</w:t>
      </w:r>
    </w:p>
    <w:p w:rsidR="00EC15C4" w:rsidRDefault="00EC15C4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5B5F44" w:rsidRPr="00F64C76" w:rsidRDefault="005B5F44" w:rsidP="00F64C76">
      <w:pPr>
        <w:pStyle w:val="Ttulo1"/>
      </w:pPr>
      <w:bookmarkStart w:id="8" w:name="_Toc461538892"/>
      <w:r w:rsidRPr="00F64C76">
        <w:t>Recomendaciones</w:t>
      </w:r>
      <w:bookmarkEnd w:id="8"/>
      <w:r w:rsidRPr="00F64C76">
        <w:t xml:space="preserve"> </w:t>
      </w:r>
    </w:p>
    <w:p w:rsidR="005B5F44" w:rsidRDefault="005B5F44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5B5F44" w:rsidRDefault="005B5F44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5B5F44" w:rsidRDefault="005B5F44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Con el objetivo de mejorar el proceso institucional de Rendición de Cuentas, se recomienda la preparación de </w:t>
      </w:r>
      <w:r w:rsidR="00EC15C4">
        <w:rPr>
          <w:rFonts w:ascii="Century Gothic" w:hAnsi="Century Gothic"/>
          <w:sz w:val="20"/>
          <w:szCs w:val="20"/>
          <w:lang w:val="es-MX"/>
        </w:rPr>
        <w:t>éste</w:t>
      </w:r>
      <w:r>
        <w:rPr>
          <w:rFonts w:ascii="Century Gothic" w:hAnsi="Century Gothic"/>
          <w:sz w:val="20"/>
          <w:szCs w:val="20"/>
          <w:lang w:val="es-MX"/>
        </w:rPr>
        <w:t xml:space="preserve"> considerando los lineamientos establecidos por la Secretaría de Participación Ciudadana, </w:t>
      </w:r>
      <w:r w:rsidR="00EC15C4">
        <w:rPr>
          <w:rFonts w:ascii="Century Gothic" w:hAnsi="Century Gothic"/>
          <w:sz w:val="20"/>
          <w:szCs w:val="20"/>
          <w:lang w:val="es-MX"/>
        </w:rPr>
        <w:t xml:space="preserve">Transparencia y Anticorrupción, </w:t>
      </w:r>
      <w:r w:rsidR="00BF6959">
        <w:rPr>
          <w:rFonts w:ascii="Century Gothic" w:hAnsi="Century Gothic"/>
          <w:sz w:val="20"/>
          <w:szCs w:val="20"/>
          <w:lang w:val="es-MX"/>
        </w:rPr>
        <w:t xml:space="preserve">para </w:t>
      </w:r>
      <w:r w:rsidR="00EC15C4">
        <w:rPr>
          <w:rFonts w:ascii="Century Gothic" w:hAnsi="Century Gothic"/>
          <w:sz w:val="20"/>
          <w:szCs w:val="20"/>
          <w:lang w:val="es-MX"/>
        </w:rPr>
        <w:t xml:space="preserve">así mismo tener los mismos parámetros </w:t>
      </w:r>
      <w:r w:rsidR="00BF6959">
        <w:rPr>
          <w:rFonts w:ascii="Century Gothic" w:hAnsi="Century Gothic"/>
          <w:sz w:val="20"/>
          <w:szCs w:val="20"/>
          <w:lang w:val="es-MX"/>
        </w:rPr>
        <w:t xml:space="preserve">de </w:t>
      </w:r>
      <w:r w:rsidR="00EC15C4">
        <w:rPr>
          <w:rFonts w:ascii="Century Gothic" w:hAnsi="Century Gothic"/>
          <w:sz w:val="20"/>
          <w:szCs w:val="20"/>
          <w:lang w:val="es-MX"/>
        </w:rPr>
        <w:t>evaluación de la</w:t>
      </w:r>
      <w:r w:rsidR="00BF6959">
        <w:rPr>
          <w:rFonts w:ascii="Century Gothic" w:hAnsi="Century Gothic"/>
          <w:sz w:val="20"/>
          <w:szCs w:val="20"/>
          <w:lang w:val="es-MX"/>
        </w:rPr>
        <w:t>s</w:t>
      </w:r>
      <w:r w:rsidR="00EC15C4">
        <w:rPr>
          <w:rFonts w:ascii="Century Gothic" w:hAnsi="Century Gothic"/>
          <w:sz w:val="20"/>
          <w:szCs w:val="20"/>
          <w:lang w:val="es-MX"/>
        </w:rPr>
        <w:t xml:space="preserve"> instituci</w:t>
      </w:r>
      <w:r w:rsidR="00BF6959">
        <w:rPr>
          <w:rFonts w:ascii="Century Gothic" w:hAnsi="Century Gothic"/>
          <w:sz w:val="20"/>
          <w:szCs w:val="20"/>
          <w:lang w:val="es-MX"/>
        </w:rPr>
        <w:t>ones de gobierno</w:t>
      </w:r>
      <w:r w:rsidR="00EC15C4">
        <w:rPr>
          <w:rFonts w:ascii="Century Gothic" w:hAnsi="Century Gothic"/>
          <w:sz w:val="20"/>
          <w:szCs w:val="20"/>
          <w:lang w:val="es-MX"/>
        </w:rPr>
        <w:t>.</w:t>
      </w:r>
    </w:p>
    <w:p w:rsidR="005B5F44" w:rsidRDefault="005B5F44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5B5F44" w:rsidRPr="00BB4DCF" w:rsidRDefault="005B5F44" w:rsidP="00EC15C4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Se deberá preparar con anticipación las ac</w:t>
      </w:r>
      <w:r w:rsidR="00EC15C4">
        <w:rPr>
          <w:rFonts w:ascii="Century Gothic" w:hAnsi="Century Gothic"/>
          <w:sz w:val="20"/>
          <w:szCs w:val="20"/>
          <w:lang w:val="es-MX"/>
        </w:rPr>
        <w:t>tividades y responsabilidades</w:t>
      </w:r>
      <w:r w:rsidR="00BF6959">
        <w:rPr>
          <w:rFonts w:ascii="Century Gothic" w:hAnsi="Century Gothic"/>
          <w:sz w:val="20"/>
          <w:szCs w:val="20"/>
          <w:lang w:val="es-MX"/>
        </w:rPr>
        <w:t xml:space="preserve"> de los miembr</w:t>
      </w:r>
      <w:r w:rsidR="00100AC7">
        <w:rPr>
          <w:rFonts w:ascii="Century Gothic" w:hAnsi="Century Gothic"/>
          <w:sz w:val="20"/>
          <w:szCs w:val="20"/>
          <w:lang w:val="es-MX"/>
        </w:rPr>
        <w:t>os de la Comisión Institucional y de los colaboradores.</w:t>
      </w:r>
    </w:p>
    <w:sectPr w:rsidR="005B5F44" w:rsidRPr="00BB4DCF" w:rsidSect="008B6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25" w:rsidRDefault="00D63125" w:rsidP="00D63125">
      <w:pPr>
        <w:spacing w:after="0" w:line="240" w:lineRule="auto"/>
      </w:pPr>
      <w:r>
        <w:separator/>
      </w:r>
    </w:p>
  </w:endnote>
  <w:endnote w:type="continuationSeparator" w:id="0">
    <w:p w:rsidR="00D63125" w:rsidRDefault="00D63125" w:rsidP="00D6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532986"/>
      <w:docPartObj>
        <w:docPartGallery w:val="Page Numbers (Bottom of Page)"/>
        <w:docPartUnique/>
      </w:docPartObj>
    </w:sdtPr>
    <w:sdtEndPr/>
    <w:sdtContent>
      <w:sdt>
        <w:sdtPr>
          <w:id w:val="1920973989"/>
          <w:docPartObj>
            <w:docPartGallery w:val="Page Numbers (Top of Page)"/>
            <w:docPartUnique/>
          </w:docPartObj>
        </w:sdtPr>
        <w:sdtEndPr/>
        <w:sdtContent>
          <w:p w:rsidR="00F64C76" w:rsidRDefault="00F64C7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49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49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BF0" w:rsidRDefault="00175B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25" w:rsidRDefault="00D63125" w:rsidP="00D63125">
      <w:pPr>
        <w:spacing w:after="0" w:line="240" w:lineRule="auto"/>
      </w:pPr>
      <w:r>
        <w:separator/>
      </w:r>
    </w:p>
  </w:footnote>
  <w:footnote w:type="continuationSeparator" w:id="0">
    <w:p w:rsidR="00D63125" w:rsidRDefault="00D63125" w:rsidP="00D6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61D4"/>
    <w:multiLevelType w:val="hybridMultilevel"/>
    <w:tmpl w:val="8AC649D8"/>
    <w:lvl w:ilvl="0" w:tplc="3B9C3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C5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6F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CC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05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4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84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8F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67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112D7F"/>
    <w:multiLevelType w:val="hybridMultilevel"/>
    <w:tmpl w:val="543295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FC6"/>
    <w:multiLevelType w:val="hybridMultilevel"/>
    <w:tmpl w:val="AFCEFB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3737"/>
    <w:multiLevelType w:val="hybridMultilevel"/>
    <w:tmpl w:val="04BAB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0129"/>
    <w:multiLevelType w:val="hybridMultilevel"/>
    <w:tmpl w:val="BF221D00"/>
    <w:lvl w:ilvl="0" w:tplc="4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56BD4824"/>
    <w:multiLevelType w:val="hybridMultilevel"/>
    <w:tmpl w:val="CE820914"/>
    <w:lvl w:ilvl="0" w:tplc="A75E3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7CC3"/>
    <w:multiLevelType w:val="multilevel"/>
    <w:tmpl w:val="DCF05E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6E821FF"/>
    <w:multiLevelType w:val="hybridMultilevel"/>
    <w:tmpl w:val="C602C648"/>
    <w:lvl w:ilvl="0" w:tplc="8CCAA726">
      <w:start w:val="1"/>
      <w:numFmt w:val="lowerLetter"/>
      <w:lvlText w:val="%1)"/>
      <w:lvlJc w:val="left"/>
      <w:pPr>
        <w:ind w:left="59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16" w:hanging="360"/>
      </w:pPr>
    </w:lvl>
    <w:lvl w:ilvl="2" w:tplc="440A001B" w:tentative="1">
      <w:start w:val="1"/>
      <w:numFmt w:val="lowerRoman"/>
      <w:lvlText w:val="%3."/>
      <w:lvlJc w:val="right"/>
      <w:pPr>
        <w:ind w:left="2036" w:hanging="180"/>
      </w:pPr>
    </w:lvl>
    <w:lvl w:ilvl="3" w:tplc="440A000F" w:tentative="1">
      <w:start w:val="1"/>
      <w:numFmt w:val="decimal"/>
      <w:lvlText w:val="%4."/>
      <w:lvlJc w:val="left"/>
      <w:pPr>
        <w:ind w:left="2756" w:hanging="360"/>
      </w:pPr>
    </w:lvl>
    <w:lvl w:ilvl="4" w:tplc="440A0019" w:tentative="1">
      <w:start w:val="1"/>
      <w:numFmt w:val="lowerLetter"/>
      <w:lvlText w:val="%5."/>
      <w:lvlJc w:val="left"/>
      <w:pPr>
        <w:ind w:left="3476" w:hanging="360"/>
      </w:pPr>
    </w:lvl>
    <w:lvl w:ilvl="5" w:tplc="440A001B" w:tentative="1">
      <w:start w:val="1"/>
      <w:numFmt w:val="lowerRoman"/>
      <w:lvlText w:val="%6."/>
      <w:lvlJc w:val="right"/>
      <w:pPr>
        <w:ind w:left="4196" w:hanging="180"/>
      </w:pPr>
    </w:lvl>
    <w:lvl w:ilvl="6" w:tplc="440A000F" w:tentative="1">
      <w:start w:val="1"/>
      <w:numFmt w:val="decimal"/>
      <w:lvlText w:val="%7."/>
      <w:lvlJc w:val="left"/>
      <w:pPr>
        <w:ind w:left="4916" w:hanging="360"/>
      </w:pPr>
    </w:lvl>
    <w:lvl w:ilvl="7" w:tplc="440A0019" w:tentative="1">
      <w:start w:val="1"/>
      <w:numFmt w:val="lowerLetter"/>
      <w:lvlText w:val="%8."/>
      <w:lvlJc w:val="left"/>
      <w:pPr>
        <w:ind w:left="5636" w:hanging="360"/>
      </w:pPr>
    </w:lvl>
    <w:lvl w:ilvl="8" w:tplc="44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8" w15:restartNumberingAfterBreak="0">
    <w:nsid w:val="67B97B13"/>
    <w:multiLevelType w:val="hybridMultilevel"/>
    <w:tmpl w:val="B03C97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80F09"/>
    <w:multiLevelType w:val="hybridMultilevel"/>
    <w:tmpl w:val="B978DE64"/>
    <w:lvl w:ilvl="0" w:tplc="AD588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A3"/>
    <w:rsid w:val="00012935"/>
    <w:rsid w:val="00015720"/>
    <w:rsid w:val="00085D45"/>
    <w:rsid w:val="00100AC7"/>
    <w:rsid w:val="00175BF0"/>
    <w:rsid w:val="001B0192"/>
    <w:rsid w:val="001B1F09"/>
    <w:rsid w:val="001C0630"/>
    <w:rsid w:val="001C0C6E"/>
    <w:rsid w:val="001E1FB2"/>
    <w:rsid w:val="0020168D"/>
    <w:rsid w:val="00237B05"/>
    <w:rsid w:val="00257EA7"/>
    <w:rsid w:val="002723FE"/>
    <w:rsid w:val="0037510B"/>
    <w:rsid w:val="003C5FBB"/>
    <w:rsid w:val="003E7942"/>
    <w:rsid w:val="00406416"/>
    <w:rsid w:val="00436F75"/>
    <w:rsid w:val="004C2598"/>
    <w:rsid w:val="004E21D7"/>
    <w:rsid w:val="00531DFF"/>
    <w:rsid w:val="00557424"/>
    <w:rsid w:val="00575537"/>
    <w:rsid w:val="005B5F44"/>
    <w:rsid w:val="00663923"/>
    <w:rsid w:val="00671BC9"/>
    <w:rsid w:val="006A08D0"/>
    <w:rsid w:val="007418C0"/>
    <w:rsid w:val="00770C87"/>
    <w:rsid w:val="00857B92"/>
    <w:rsid w:val="008B51D6"/>
    <w:rsid w:val="008B6A3B"/>
    <w:rsid w:val="008C06E9"/>
    <w:rsid w:val="009077D6"/>
    <w:rsid w:val="00971AA9"/>
    <w:rsid w:val="009A5681"/>
    <w:rsid w:val="009C349F"/>
    <w:rsid w:val="009D3DE8"/>
    <w:rsid w:val="00A540B7"/>
    <w:rsid w:val="00AB0781"/>
    <w:rsid w:val="00AD071F"/>
    <w:rsid w:val="00AE256B"/>
    <w:rsid w:val="00AE5295"/>
    <w:rsid w:val="00B31697"/>
    <w:rsid w:val="00B31A4C"/>
    <w:rsid w:val="00B32BFC"/>
    <w:rsid w:val="00B61715"/>
    <w:rsid w:val="00B61B41"/>
    <w:rsid w:val="00BB3304"/>
    <w:rsid w:val="00BB4DCF"/>
    <w:rsid w:val="00BE1775"/>
    <w:rsid w:val="00BF6959"/>
    <w:rsid w:val="00C3072D"/>
    <w:rsid w:val="00CD651C"/>
    <w:rsid w:val="00CF3BD0"/>
    <w:rsid w:val="00D0384C"/>
    <w:rsid w:val="00D10277"/>
    <w:rsid w:val="00D1686D"/>
    <w:rsid w:val="00D63125"/>
    <w:rsid w:val="00D72518"/>
    <w:rsid w:val="00EA7535"/>
    <w:rsid w:val="00EC15C4"/>
    <w:rsid w:val="00EC4969"/>
    <w:rsid w:val="00F264CE"/>
    <w:rsid w:val="00F366AB"/>
    <w:rsid w:val="00F64C76"/>
    <w:rsid w:val="00F97FDC"/>
    <w:rsid w:val="00FC35A3"/>
    <w:rsid w:val="00F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72810F"/>
  <w15:chartTrackingRefBased/>
  <w15:docId w15:val="{FEDD375C-64B6-49D4-B0DF-34C3B55B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3125"/>
    <w:pPr>
      <w:keepNext/>
      <w:keepLines/>
      <w:spacing w:before="480" w:after="0" w:line="276" w:lineRule="auto"/>
      <w:outlineLvl w:val="0"/>
    </w:pPr>
    <w:rPr>
      <w:rFonts w:ascii="Century Gothic" w:eastAsiaTheme="majorEastAsia" w:hAnsi="Century Gothic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F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3304"/>
    <w:rPr>
      <w:color w:val="0563C1" w:themeColor="hyperlink"/>
      <w:u w:val="single"/>
    </w:rPr>
  </w:style>
  <w:style w:type="table" w:styleId="Tabladecuadrcula1clara-nfasis1">
    <w:name w:val="Grid Table 1 Light Accent 1"/>
    <w:basedOn w:val="Tablanormal"/>
    <w:uiPriority w:val="46"/>
    <w:rsid w:val="00BB33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BB33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4C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63125"/>
    <w:rPr>
      <w:rFonts w:ascii="Century Gothic" w:eastAsiaTheme="majorEastAsia" w:hAnsi="Century Gothic" w:cstheme="majorBidi"/>
      <w:b/>
      <w:bCs/>
      <w:color w:val="2E74B5" w:themeColor="accent1" w:themeShade="BF"/>
      <w:sz w:val="28"/>
      <w:szCs w:val="28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3125"/>
    <w:pPr>
      <w:spacing w:after="0" w:line="240" w:lineRule="auto"/>
    </w:pPr>
    <w:rPr>
      <w:sz w:val="20"/>
      <w:szCs w:val="20"/>
      <w:lang w:val="es-SV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125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D63125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1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EC49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75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BF0"/>
  </w:style>
  <w:style w:type="paragraph" w:styleId="Piedepgina">
    <w:name w:val="footer"/>
    <w:basedOn w:val="Normal"/>
    <w:link w:val="PiedepginaCar"/>
    <w:uiPriority w:val="99"/>
    <w:unhideWhenUsed/>
    <w:rsid w:val="00175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BF0"/>
  </w:style>
  <w:style w:type="paragraph" w:styleId="TtuloTDC">
    <w:name w:val="TOC Heading"/>
    <w:basedOn w:val="Ttulo1"/>
    <w:next w:val="Normal"/>
    <w:uiPriority w:val="39"/>
    <w:unhideWhenUsed/>
    <w:qFormat/>
    <w:rsid w:val="00F64C7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64C7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41D13C5A-6EBC-44D4-A9A5-2656850FFAE7@opamss.loca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1446-C9D7-47D6-A24A-5D94617E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Solano</dc:creator>
  <cp:keywords/>
  <dc:description/>
  <cp:lastModifiedBy>Marlene Solano</cp:lastModifiedBy>
  <cp:revision>16</cp:revision>
  <dcterms:created xsi:type="dcterms:W3CDTF">2016-09-13T15:54:00Z</dcterms:created>
  <dcterms:modified xsi:type="dcterms:W3CDTF">2016-09-21T14:48:00Z</dcterms:modified>
</cp:coreProperties>
</file>