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tblpXSpec="center" w:tblpY="1"/>
        <w:tblOverlap w:val="never"/>
        <w:tblW w:w="9488" w:type="dxa"/>
        <w:tblCellMar>
          <w:left w:w="0" w:type="dxa"/>
          <w:right w:w="0" w:type="dxa"/>
        </w:tblCellMar>
        <w:tblLook w:val="0620" w:firstRow="1" w:lastRow="0" w:firstColumn="0" w:lastColumn="0" w:noHBand="1" w:noVBand="1"/>
      </w:tblPr>
      <w:tblGrid>
        <w:gridCol w:w="539"/>
        <w:gridCol w:w="2570"/>
        <w:gridCol w:w="1417"/>
        <w:gridCol w:w="4962"/>
      </w:tblGrid>
      <w:tr w:rsidR="00A40832" w:rsidRPr="00F21CB2" w:rsidTr="00D66577">
        <w:trPr>
          <w:tblHeader/>
        </w:trPr>
        <w:tc>
          <w:tcPr>
            <w:tcW w:w="539" w:type="dxa"/>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vAlign w:val="center"/>
            <w:hideMark/>
          </w:tcPr>
          <w:p w:rsidR="00D74390" w:rsidRPr="00F21CB2" w:rsidRDefault="00D74390" w:rsidP="0058209A">
            <w:pPr>
              <w:jc w:val="center"/>
              <w:rPr>
                <w:b/>
              </w:rPr>
            </w:pPr>
            <w:r w:rsidRPr="00F21CB2">
              <w:rPr>
                <w:b/>
              </w:rPr>
              <w:t>No.</w:t>
            </w:r>
          </w:p>
        </w:tc>
        <w:tc>
          <w:tcPr>
            <w:tcW w:w="2570"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vAlign w:val="center"/>
            <w:hideMark/>
          </w:tcPr>
          <w:p w:rsidR="00D74390" w:rsidRPr="00F21CB2" w:rsidRDefault="00D74390" w:rsidP="0058209A">
            <w:pPr>
              <w:jc w:val="center"/>
              <w:rPr>
                <w:b/>
              </w:rPr>
            </w:pPr>
            <w:r w:rsidRPr="00F21CB2">
              <w:rPr>
                <w:b/>
              </w:rPr>
              <w:t>Nombre y Pregunta</w:t>
            </w:r>
          </w:p>
        </w:tc>
        <w:tc>
          <w:tcPr>
            <w:tcW w:w="1417"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vAlign w:val="center"/>
            <w:hideMark/>
          </w:tcPr>
          <w:p w:rsidR="00D74390" w:rsidRPr="00F21CB2" w:rsidRDefault="00D74390" w:rsidP="0058209A">
            <w:pPr>
              <w:jc w:val="center"/>
              <w:rPr>
                <w:b/>
                <w:color w:val="1F497D"/>
              </w:rPr>
            </w:pPr>
            <w:r w:rsidRPr="00F21CB2">
              <w:rPr>
                <w:b/>
              </w:rPr>
              <w:t>Podría responder</w:t>
            </w:r>
          </w:p>
          <w:p w:rsidR="00D74390" w:rsidRPr="00F21CB2" w:rsidRDefault="00D74390" w:rsidP="0058209A">
            <w:pPr>
              <w:jc w:val="center"/>
              <w:rPr>
                <w:b/>
              </w:rPr>
            </w:pPr>
            <w:r w:rsidRPr="00D66577">
              <w:rPr>
                <w:b/>
                <w:sz w:val="20"/>
              </w:rPr>
              <w:t>(selección realizada el día del evento)</w:t>
            </w:r>
          </w:p>
        </w:tc>
        <w:tc>
          <w:tcPr>
            <w:tcW w:w="4962" w:type="dxa"/>
            <w:tcBorders>
              <w:top w:val="single" w:sz="8" w:space="0" w:color="auto"/>
              <w:left w:val="nil"/>
              <w:bottom w:val="single" w:sz="8" w:space="0" w:color="auto"/>
              <w:right w:val="single" w:sz="8" w:space="0" w:color="auto"/>
            </w:tcBorders>
            <w:shd w:val="clear" w:color="auto" w:fill="E7E6E6" w:themeFill="background2"/>
            <w:vAlign w:val="center"/>
            <w:hideMark/>
          </w:tcPr>
          <w:p w:rsidR="00D74390" w:rsidRPr="00F21CB2" w:rsidRDefault="00D74390" w:rsidP="0058209A">
            <w:pPr>
              <w:jc w:val="center"/>
              <w:rPr>
                <w:b/>
              </w:rPr>
            </w:pPr>
            <w:r w:rsidRPr="00F21CB2">
              <w:rPr>
                <w:b/>
              </w:rPr>
              <w:t>Respuesta</w:t>
            </w:r>
          </w:p>
        </w:tc>
      </w:tr>
      <w:tr w:rsidR="00A40832" w:rsidRPr="00F21CB2" w:rsidTr="00D66577">
        <w:trPr>
          <w:cantSplit/>
        </w:trPr>
        <w:tc>
          <w:tcPr>
            <w:tcW w:w="5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4390" w:rsidRPr="0033577D" w:rsidRDefault="00D74390" w:rsidP="004121C3">
            <w:pPr>
              <w:jc w:val="center"/>
              <w:rPr>
                <w:sz w:val="20"/>
                <w:szCs w:val="20"/>
              </w:rPr>
            </w:pPr>
            <w:r w:rsidRPr="0033577D">
              <w:rPr>
                <w:sz w:val="20"/>
                <w:szCs w:val="20"/>
              </w:rPr>
              <w:t>1</w:t>
            </w:r>
          </w:p>
        </w:tc>
        <w:tc>
          <w:tcPr>
            <w:tcW w:w="25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4390" w:rsidRPr="0033577D" w:rsidRDefault="00D74390" w:rsidP="004121C3">
            <w:pPr>
              <w:rPr>
                <w:sz w:val="20"/>
                <w:szCs w:val="20"/>
              </w:rPr>
            </w:pPr>
            <w:r w:rsidRPr="0033577D">
              <w:rPr>
                <w:sz w:val="20"/>
                <w:szCs w:val="20"/>
              </w:rPr>
              <w:t>Orlando Granadino – Ilopango - Alcaldía</w:t>
            </w:r>
          </w:p>
          <w:p w:rsidR="00D74390" w:rsidRPr="0033577D" w:rsidRDefault="00D74390" w:rsidP="004121C3">
            <w:pPr>
              <w:rPr>
                <w:sz w:val="20"/>
                <w:szCs w:val="20"/>
              </w:rPr>
            </w:pPr>
            <w:r w:rsidRPr="0033577D">
              <w:rPr>
                <w:sz w:val="20"/>
                <w:szCs w:val="20"/>
              </w:rPr>
              <w:t>Atendiend</w:t>
            </w:r>
            <w:r w:rsidR="00105F7C" w:rsidRPr="0033577D">
              <w:rPr>
                <w:sz w:val="20"/>
                <w:szCs w:val="20"/>
              </w:rPr>
              <w:t>o a la sostenibilidad buscada ¿n</w:t>
            </w:r>
            <w:r w:rsidRPr="0033577D">
              <w:rPr>
                <w:sz w:val="20"/>
                <w:szCs w:val="20"/>
              </w:rPr>
              <w:t>o creen importante el apoyo de proyectos productivos para mejorar las finanzas de los municipios?</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4390" w:rsidRPr="0033577D" w:rsidRDefault="00D74390" w:rsidP="004121C3">
            <w:pPr>
              <w:jc w:val="center"/>
              <w:rPr>
                <w:sz w:val="20"/>
                <w:szCs w:val="20"/>
              </w:rPr>
            </w:pPr>
            <w:r w:rsidRPr="0033577D">
              <w:rPr>
                <w:sz w:val="20"/>
                <w:szCs w:val="20"/>
              </w:rPr>
              <w:t>Dirección Ejecutiva</w:t>
            </w:r>
          </w:p>
        </w:tc>
        <w:tc>
          <w:tcPr>
            <w:tcW w:w="4962" w:type="dxa"/>
            <w:tcBorders>
              <w:top w:val="nil"/>
              <w:left w:val="nil"/>
              <w:bottom w:val="single" w:sz="8" w:space="0" w:color="auto"/>
              <w:right w:val="single" w:sz="8" w:space="0" w:color="auto"/>
            </w:tcBorders>
            <w:hideMark/>
          </w:tcPr>
          <w:p w:rsidR="00D74390" w:rsidRPr="0033577D" w:rsidRDefault="00D74390" w:rsidP="004121C3">
            <w:pPr>
              <w:jc w:val="center"/>
              <w:rPr>
                <w:sz w:val="20"/>
                <w:szCs w:val="20"/>
              </w:rPr>
            </w:pPr>
            <w:r w:rsidRPr="0033577D">
              <w:rPr>
                <w:sz w:val="20"/>
                <w:szCs w:val="20"/>
              </w:rPr>
              <w:t>Efectivamente creemos que es importante el apoyo de proyectos productivos para mejorar las finanzas de los municipios, por esa razón, en la estrategia de Desarrollo Económico del esquema director del Plan de Desarrollo Territorial del AMSS se ha contemplado la generación de capacidades básicas en torno al tema.  </w:t>
            </w:r>
          </w:p>
        </w:tc>
      </w:tr>
      <w:tr w:rsidR="00A40832" w:rsidRPr="00F21CB2" w:rsidTr="00D66577">
        <w:trPr>
          <w:cantSplit/>
        </w:trPr>
        <w:tc>
          <w:tcPr>
            <w:tcW w:w="5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4390" w:rsidRPr="0033577D" w:rsidRDefault="00D74390" w:rsidP="004121C3">
            <w:pPr>
              <w:jc w:val="center"/>
              <w:rPr>
                <w:sz w:val="20"/>
                <w:szCs w:val="20"/>
              </w:rPr>
            </w:pPr>
            <w:r w:rsidRPr="0033577D">
              <w:rPr>
                <w:sz w:val="20"/>
                <w:szCs w:val="20"/>
              </w:rPr>
              <w:t>2</w:t>
            </w:r>
          </w:p>
        </w:tc>
        <w:tc>
          <w:tcPr>
            <w:tcW w:w="25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4390" w:rsidRPr="0033577D" w:rsidRDefault="00D74390" w:rsidP="004121C3">
            <w:pPr>
              <w:rPr>
                <w:sz w:val="20"/>
                <w:szCs w:val="20"/>
              </w:rPr>
            </w:pPr>
            <w:r w:rsidRPr="0033577D">
              <w:rPr>
                <w:sz w:val="20"/>
                <w:szCs w:val="20"/>
              </w:rPr>
              <w:t>Guadalupe – Apopa</w:t>
            </w:r>
          </w:p>
          <w:p w:rsidR="00D74390" w:rsidRPr="0033577D" w:rsidRDefault="00D74390" w:rsidP="004121C3">
            <w:pPr>
              <w:rPr>
                <w:sz w:val="20"/>
                <w:szCs w:val="20"/>
              </w:rPr>
            </w:pPr>
            <w:r w:rsidRPr="0033577D">
              <w:rPr>
                <w:sz w:val="20"/>
                <w:szCs w:val="20"/>
              </w:rPr>
              <w:t>¿De qué manera piensan seguir apoyando a los beneficiaros de los proyectos que como COAMSS/OPAMSS han estado haciendo, Ejemplo: RESSOC, Capital Semilla</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4390" w:rsidRPr="0033577D" w:rsidRDefault="00A40832" w:rsidP="004121C3">
            <w:pPr>
              <w:jc w:val="center"/>
              <w:rPr>
                <w:sz w:val="20"/>
                <w:szCs w:val="20"/>
              </w:rPr>
            </w:pPr>
            <w:r w:rsidRPr="0033577D">
              <w:rPr>
                <w:sz w:val="20"/>
                <w:szCs w:val="20"/>
              </w:rPr>
              <w:t xml:space="preserve">Subdirección de </w:t>
            </w:r>
            <w:r w:rsidR="00D74390" w:rsidRPr="0033577D">
              <w:rPr>
                <w:sz w:val="20"/>
                <w:szCs w:val="20"/>
              </w:rPr>
              <w:t>Desarrollo Social</w:t>
            </w:r>
            <w:r w:rsidRPr="0033577D">
              <w:rPr>
                <w:sz w:val="20"/>
                <w:szCs w:val="20"/>
              </w:rPr>
              <w:t xml:space="preserve"> y Económico</w:t>
            </w:r>
          </w:p>
        </w:tc>
        <w:tc>
          <w:tcPr>
            <w:tcW w:w="4962" w:type="dxa"/>
            <w:tcBorders>
              <w:top w:val="nil"/>
              <w:left w:val="nil"/>
              <w:bottom w:val="single" w:sz="8" w:space="0" w:color="auto"/>
              <w:right w:val="single" w:sz="8" w:space="0" w:color="auto"/>
            </w:tcBorders>
            <w:hideMark/>
          </w:tcPr>
          <w:p w:rsidR="00D74390" w:rsidRPr="0033577D" w:rsidRDefault="00D74390" w:rsidP="004121C3">
            <w:pPr>
              <w:jc w:val="center"/>
              <w:rPr>
                <w:sz w:val="20"/>
                <w:szCs w:val="20"/>
              </w:rPr>
            </w:pPr>
            <w:r w:rsidRPr="0033577D">
              <w:rPr>
                <w:sz w:val="20"/>
                <w:szCs w:val="20"/>
              </w:rPr>
              <w:t xml:space="preserve">Desde COAMSS/OPAMSS se da seguimiento a beneficiarios de proyectos principalmente en la promoción de sus actividades, la articulación de actores, los procesos de planificación estratégica, operativa y con asesoramiento y acompañamiento a las unidades municipales de desarrollo económico, promoción social, deportes, género, niñez y juventud y Comités Municipales de Prevención de Violencia desde la Unidad de Desarrollo Económico y Cohesión Social de OPAMSS. </w:t>
            </w:r>
          </w:p>
        </w:tc>
      </w:tr>
      <w:tr w:rsidR="00A40832" w:rsidRPr="00F21CB2" w:rsidTr="00D66577">
        <w:trPr>
          <w:cantSplit/>
        </w:trPr>
        <w:tc>
          <w:tcPr>
            <w:tcW w:w="5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4390" w:rsidRPr="0033577D" w:rsidRDefault="00D74390" w:rsidP="004121C3">
            <w:pPr>
              <w:jc w:val="center"/>
              <w:rPr>
                <w:sz w:val="20"/>
                <w:szCs w:val="20"/>
              </w:rPr>
            </w:pPr>
            <w:r w:rsidRPr="0033577D">
              <w:rPr>
                <w:sz w:val="20"/>
                <w:szCs w:val="20"/>
              </w:rPr>
              <w:t>3</w:t>
            </w:r>
          </w:p>
        </w:tc>
        <w:tc>
          <w:tcPr>
            <w:tcW w:w="25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4390" w:rsidRPr="0033577D" w:rsidRDefault="00D74390" w:rsidP="004121C3">
            <w:pPr>
              <w:rPr>
                <w:sz w:val="20"/>
                <w:szCs w:val="20"/>
              </w:rPr>
            </w:pPr>
            <w:r w:rsidRPr="0033577D">
              <w:rPr>
                <w:sz w:val="20"/>
                <w:szCs w:val="20"/>
              </w:rPr>
              <w:t>Ricardo González – Apopa – Alcaldía</w:t>
            </w:r>
          </w:p>
          <w:p w:rsidR="00D74390" w:rsidRPr="0033577D" w:rsidRDefault="00D74390" w:rsidP="004121C3">
            <w:pPr>
              <w:rPr>
                <w:sz w:val="20"/>
                <w:szCs w:val="20"/>
              </w:rPr>
            </w:pPr>
            <w:r w:rsidRPr="0033577D">
              <w:rPr>
                <w:sz w:val="20"/>
                <w:szCs w:val="20"/>
              </w:rPr>
              <w:t>¿Qué acciones se piensan realizar en cuanto a la prevención de violencia y cohesión social?</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4390" w:rsidRPr="0033577D" w:rsidRDefault="00A40832" w:rsidP="004121C3">
            <w:pPr>
              <w:jc w:val="center"/>
              <w:rPr>
                <w:sz w:val="20"/>
                <w:szCs w:val="20"/>
              </w:rPr>
            </w:pPr>
            <w:r w:rsidRPr="0033577D">
              <w:rPr>
                <w:sz w:val="20"/>
                <w:szCs w:val="20"/>
              </w:rPr>
              <w:t>Subdirección de Desarrollo Social y Económico</w:t>
            </w:r>
          </w:p>
        </w:tc>
        <w:tc>
          <w:tcPr>
            <w:tcW w:w="4962" w:type="dxa"/>
            <w:tcBorders>
              <w:top w:val="nil"/>
              <w:left w:val="nil"/>
              <w:bottom w:val="single" w:sz="8" w:space="0" w:color="auto"/>
              <w:right w:val="single" w:sz="8" w:space="0" w:color="auto"/>
            </w:tcBorders>
          </w:tcPr>
          <w:p w:rsidR="00D74390" w:rsidRPr="0033577D" w:rsidRDefault="00D74390" w:rsidP="004121C3">
            <w:pPr>
              <w:jc w:val="center"/>
              <w:rPr>
                <w:sz w:val="20"/>
                <w:szCs w:val="20"/>
              </w:rPr>
            </w:pPr>
            <w:r w:rsidRPr="0033577D">
              <w:rPr>
                <w:sz w:val="20"/>
                <w:szCs w:val="20"/>
              </w:rPr>
              <w:t xml:space="preserve">En la </w:t>
            </w:r>
            <w:r w:rsidR="00105F7C" w:rsidRPr="0033577D">
              <w:rPr>
                <w:sz w:val="20"/>
                <w:szCs w:val="20"/>
              </w:rPr>
              <w:t>actualidad se están ejecutando dos</w:t>
            </w:r>
            <w:r w:rsidRPr="0033577D">
              <w:rPr>
                <w:sz w:val="20"/>
                <w:szCs w:val="20"/>
              </w:rPr>
              <w:t xml:space="preserve"> proyectos, uno vinculado con eco gestión de residuos sólidos financiado por el Área Metropolitana de Barcelona y otro de prevención de violencia y desarrollo económico local en el AMSS financiado por la Agencia Andaluza de Cooperación Internacional para el Desarrollo; adicionalmente se están formulando algunos proyectos que han presentado ante cooperantes como el caso de un proyecto  prevención de violencia de género con el Fondo Fiduciario de ONU Mujeres (sin respuesta a la fecha), y en la actualidad se están formulando 2 proyectos más, uno para reforzar la actuación de los Comités Municipales de Prevención de Violencia y diferentes unidades municipales en torno a la cohesión social y convivencia ciudadana, y otro sobre desarrollo económico, ambos para gestionar financiamiento ante la AACID. </w:t>
            </w:r>
          </w:p>
          <w:p w:rsidR="00D74390" w:rsidRPr="0033577D" w:rsidRDefault="00D74390" w:rsidP="004121C3">
            <w:pPr>
              <w:jc w:val="center"/>
              <w:rPr>
                <w:sz w:val="20"/>
                <w:szCs w:val="20"/>
              </w:rPr>
            </w:pPr>
            <w:bookmarkStart w:id="0" w:name="_GoBack"/>
            <w:bookmarkEnd w:id="0"/>
          </w:p>
          <w:p w:rsidR="00D74390" w:rsidRPr="0033577D" w:rsidRDefault="00D74390" w:rsidP="004121C3">
            <w:pPr>
              <w:jc w:val="center"/>
              <w:rPr>
                <w:sz w:val="20"/>
                <w:szCs w:val="20"/>
              </w:rPr>
            </w:pPr>
            <w:r w:rsidRPr="0033577D">
              <w:rPr>
                <w:sz w:val="20"/>
                <w:szCs w:val="20"/>
              </w:rPr>
              <w:t xml:space="preserve">Adicionalmente se está impulsando esfuerzos de coordinación interinstitucional desde la Mesa de Seguridad Ciudadana del Consejo de Desarrollo Metropolitano (CODEMET) desde la cual se espera impulsar y articular </w:t>
            </w:r>
            <w:r w:rsidRPr="0033577D">
              <w:rPr>
                <w:sz w:val="20"/>
                <w:szCs w:val="20"/>
              </w:rPr>
              <w:lastRenderedPageBreak/>
              <w:t>iniciativas en torno a la prevención de violencia y cohesión social para los 14 municipios del AMSS.  </w:t>
            </w:r>
          </w:p>
        </w:tc>
      </w:tr>
      <w:tr w:rsidR="00A40832" w:rsidRPr="00F21CB2" w:rsidTr="00D66577">
        <w:trPr>
          <w:cantSplit/>
        </w:trPr>
        <w:tc>
          <w:tcPr>
            <w:tcW w:w="5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4390" w:rsidRPr="0033577D" w:rsidRDefault="00D74390" w:rsidP="004121C3">
            <w:pPr>
              <w:jc w:val="center"/>
              <w:rPr>
                <w:sz w:val="20"/>
                <w:szCs w:val="20"/>
              </w:rPr>
            </w:pPr>
            <w:r w:rsidRPr="0033577D">
              <w:rPr>
                <w:sz w:val="20"/>
                <w:szCs w:val="20"/>
              </w:rPr>
              <w:lastRenderedPageBreak/>
              <w:t>4</w:t>
            </w:r>
          </w:p>
        </w:tc>
        <w:tc>
          <w:tcPr>
            <w:tcW w:w="25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4390" w:rsidRPr="0033577D" w:rsidRDefault="00D74390" w:rsidP="004121C3">
            <w:pPr>
              <w:rPr>
                <w:sz w:val="20"/>
                <w:szCs w:val="20"/>
              </w:rPr>
            </w:pPr>
            <w:r w:rsidRPr="0033577D">
              <w:rPr>
                <w:sz w:val="20"/>
                <w:szCs w:val="20"/>
              </w:rPr>
              <w:t>¿Cómo fortalecer capacidades del COAMSS/OPAMSS para impulsar estrategia</w:t>
            </w:r>
            <w:r w:rsidR="00A40832" w:rsidRPr="0033577D">
              <w:rPr>
                <w:sz w:val="20"/>
                <w:szCs w:val="20"/>
              </w:rPr>
              <w:t>s de</w:t>
            </w:r>
            <w:r w:rsidRPr="0033577D">
              <w:rPr>
                <w:sz w:val="20"/>
                <w:szCs w:val="20"/>
              </w:rPr>
              <w:t xml:space="preserve"> D</w:t>
            </w:r>
            <w:r w:rsidR="00A40832" w:rsidRPr="0033577D">
              <w:rPr>
                <w:sz w:val="20"/>
                <w:szCs w:val="20"/>
              </w:rPr>
              <w:t xml:space="preserve">esarrollo </w:t>
            </w:r>
            <w:r w:rsidRPr="0033577D">
              <w:rPr>
                <w:sz w:val="20"/>
                <w:szCs w:val="20"/>
              </w:rPr>
              <w:t>E</w:t>
            </w:r>
            <w:r w:rsidR="00A40832" w:rsidRPr="0033577D">
              <w:rPr>
                <w:sz w:val="20"/>
                <w:szCs w:val="20"/>
              </w:rPr>
              <w:t xml:space="preserve">conómico </w:t>
            </w:r>
            <w:r w:rsidRPr="0033577D">
              <w:rPr>
                <w:sz w:val="20"/>
                <w:szCs w:val="20"/>
              </w:rPr>
              <w:t>T</w:t>
            </w:r>
            <w:r w:rsidR="00A40832" w:rsidRPr="0033577D">
              <w:rPr>
                <w:sz w:val="20"/>
                <w:szCs w:val="20"/>
              </w:rPr>
              <w:t>erritorial coordinado con CODEMET?</w:t>
            </w:r>
            <w:r w:rsidRPr="0033577D">
              <w:rPr>
                <w:sz w:val="20"/>
                <w:szCs w:val="20"/>
              </w:rPr>
              <w:t xml:space="preserve"> ¿</w:t>
            </w:r>
            <w:r w:rsidR="00A40832" w:rsidRPr="0033577D">
              <w:rPr>
                <w:sz w:val="20"/>
                <w:szCs w:val="20"/>
              </w:rPr>
              <w:t>Financiamiento? ¿Talento humano?</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4390" w:rsidRPr="0033577D" w:rsidRDefault="00A40832" w:rsidP="004121C3">
            <w:pPr>
              <w:jc w:val="center"/>
              <w:rPr>
                <w:sz w:val="20"/>
                <w:szCs w:val="20"/>
              </w:rPr>
            </w:pPr>
            <w:r w:rsidRPr="0033577D">
              <w:rPr>
                <w:sz w:val="20"/>
                <w:szCs w:val="20"/>
              </w:rPr>
              <w:t xml:space="preserve">Subdirección de </w:t>
            </w:r>
            <w:r w:rsidR="00D74390" w:rsidRPr="0033577D">
              <w:rPr>
                <w:sz w:val="20"/>
                <w:szCs w:val="20"/>
              </w:rPr>
              <w:t xml:space="preserve">Planificación </w:t>
            </w:r>
            <w:r w:rsidRPr="0033577D">
              <w:rPr>
                <w:sz w:val="20"/>
                <w:szCs w:val="20"/>
              </w:rPr>
              <w:t>e Investigación</w:t>
            </w:r>
          </w:p>
        </w:tc>
        <w:tc>
          <w:tcPr>
            <w:tcW w:w="4962" w:type="dxa"/>
            <w:tcBorders>
              <w:top w:val="nil"/>
              <w:left w:val="nil"/>
              <w:bottom w:val="single" w:sz="8" w:space="0" w:color="auto"/>
              <w:right w:val="single" w:sz="8" w:space="0" w:color="auto"/>
            </w:tcBorders>
            <w:hideMark/>
          </w:tcPr>
          <w:p w:rsidR="00D74390" w:rsidRPr="0033577D" w:rsidRDefault="00D74390" w:rsidP="004121C3">
            <w:pPr>
              <w:jc w:val="center"/>
              <w:rPr>
                <w:sz w:val="20"/>
                <w:szCs w:val="20"/>
              </w:rPr>
            </w:pPr>
            <w:r w:rsidRPr="0033577D">
              <w:rPr>
                <w:sz w:val="20"/>
                <w:szCs w:val="20"/>
              </w:rPr>
              <w:t xml:space="preserve">En primer </w:t>
            </w:r>
            <w:r w:rsidR="00A40832" w:rsidRPr="0033577D">
              <w:rPr>
                <w:sz w:val="20"/>
                <w:szCs w:val="20"/>
              </w:rPr>
              <w:t>lugar,</w:t>
            </w:r>
            <w:r w:rsidRPr="0033577D">
              <w:rPr>
                <w:sz w:val="20"/>
                <w:szCs w:val="20"/>
              </w:rPr>
              <w:t xml:space="preserve"> debe existir una visión clara de qué aspectos deben impulsarse como parte de la estrategia de Desarrollo Económico Territorial, líneas que orienten sobre las acciones de articulación multinivel y sobretodo impulsar el montaje de la Mesa de Desarrollo Económico del CODEMET que pueda movilizar esa visión conjunta y también la comisión de desarrollo económico del COAMSS. Adicional a la visión se debe también fortalecer las competencias del personal vinculado a la Sub Dirección de Desarrollo Social y Económico en torno a esa nueva visión y apuesta por el Desarrollo Económico Territorial. Esa visión clara y talento fortalecido sin duda podrá ayudar a establecer una estrategia de gestión de fondos que permitan tener los recursos necesarios para la implementación de la estrategia. </w:t>
            </w:r>
          </w:p>
        </w:tc>
      </w:tr>
      <w:tr w:rsidR="00A40832" w:rsidRPr="00F21CB2" w:rsidTr="00D66577">
        <w:trPr>
          <w:cantSplit/>
        </w:trPr>
        <w:tc>
          <w:tcPr>
            <w:tcW w:w="539"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D74390" w:rsidRPr="0033577D" w:rsidRDefault="00A40832" w:rsidP="004121C3">
            <w:pPr>
              <w:jc w:val="center"/>
              <w:rPr>
                <w:sz w:val="20"/>
                <w:szCs w:val="20"/>
              </w:rPr>
            </w:pPr>
            <w:r w:rsidRPr="0033577D">
              <w:rPr>
                <w:sz w:val="20"/>
                <w:szCs w:val="20"/>
              </w:rPr>
              <w:t>5</w:t>
            </w:r>
          </w:p>
        </w:tc>
        <w:tc>
          <w:tcPr>
            <w:tcW w:w="2570" w:type="dxa"/>
            <w:tcBorders>
              <w:top w:val="nil"/>
              <w:left w:val="nil"/>
              <w:bottom w:val="nil"/>
              <w:right w:val="single" w:sz="8" w:space="0" w:color="auto"/>
            </w:tcBorders>
            <w:tcMar>
              <w:top w:w="0" w:type="dxa"/>
              <w:left w:w="108" w:type="dxa"/>
              <w:bottom w:w="0" w:type="dxa"/>
              <w:right w:w="108" w:type="dxa"/>
            </w:tcMar>
            <w:vAlign w:val="center"/>
            <w:hideMark/>
          </w:tcPr>
          <w:p w:rsidR="00D74390" w:rsidRPr="0033577D" w:rsidRDefault="00D74390" w:rsidP="004121C3">
            <w:pPr>
              <w:rPr>
                <w:sz w:val="20"/>
                <w:szCs w:val="20"/>
              </w:rPr>
            </w:pPr>
            <w:r w:rsidRPr="0033577D">
              <w:rPr>
                <w:sz w:val="20"/>
                <w:szCs w:val="20"/>
              </w:rPr>
              <w:t>Cooperativas de vivienda por ayuda mutua – San Salvador – ACOOPUALO-ACOVIPRI</w:t>
            </w:r>
          </w:p>
          <w:p w:rsidR="00D74390" w:rsidRPr="0033577D" w:rsidRDefault="00A40832" w:rsidP="004121C3">
            <w:pPr>
              <w:rPr>
                <w:sz w:val="20"/>
                <w:szCs w:val="20"/>
              </w:rPr>
            </w:pPr>
            <w:r w:rsidRPr="0033577D">
              <w:rPr>
                <w:sz w:val="20"/>
                <w:szCs w:val="20"/>
              </w:rPr>
              <w:t>¿Qué</w:t>
            </w:r>
            <w:r w:rsidR="00D74390" w:rsidRPr="0033577D">
              <w:rPr>
                <w:sz w:val="20"/>
                <w:szCs w:val="20"/>
              </w:rPr>
              <w:t xml:space="preserve"> proyecciones tienen pa</w:t>
            </w:r>
            <w:r w:rsidRPr="0033577D">
              <w:rPr>
                <w:sz w:val="20"/>
                <w:szCs w:val="20"/>
              </w:rPr>
              <w:t>ra las cooperativas de vivienda?</w:t>
            </w:r>
          </w:p>
        </w:tc>
        <w:tc>
          <w:tcPr>
            <w:tcW w:w="1417" w:type="dxa"/>
            <w:tcBorders>
              <w:top w:val="nil"/>
              <w:left w:val="nil"/>
              <w:bottom w:val="nil"/>
              <w:right w:val="single" w:sz="8" w:space="0" w:color="auto"/>
            </w:tcBorders>
            <w:tcMar>
              <w:top w:w="0" w:type="dxa"/>
              <w:left w:w="108" w:type="dxa"/>
              <w:bottom w:w="0" w:type="dxa"/>
              <w:right w:w="108" w:type="dxa"/>
            </w:tcMar>
            <w:vAlign w:val="center"/>
            <w:hideMark/>
          </w:tcPr>
          <w:p w:rsidR="00D74390" w:rsidRPr="0033577D" w:rsidRDefault="003C009E" w:rsidP="004121C3">
            <w:pPr>
              <w:jc w:val="center"/>
              <w:rPr>
                <w:sz w:val="20"/>
                <w:szCs w:val="20"/>
              </w:rPr>
            </w:pPr>
            <w:r w:rsidRPr="0033577D">
              <w:rPr>
                <w:sz w:val="20"/>
                <w:szCs w:val="20"/>
              </w:rPr>
              <w:t>Subdirección de Desarrollo Social y Económico</w:t>
            </w:r>
          </w:p>
        </w:tc>
        <w:tc>
          <w:tcPr>
            <w:tcW w:w="4962" w:type="dxa"/>
            <w:tcBorders>
              <w:top w:val="nil"/>
              <w:left w:val="nil"/>
              <w:bottom w:val="nil"/>
              <w:right w:val="single" w:sz="8" w:space="0" w:color="auto"/>
            </w:tcBorders>
            <w:hideMark/>
          </w:tcPr>
          <w:p w:rsidR="00D74390" w:rsidRPr="0033577D" w:rsidRDefault="00D74390" w:rsidP="004121C3">
            <w:pPr>
              <w:jc w:val="center"/>
              <w:rPr>
                <w:sz w:val="20"/>
                <w:szCs w:val="20"/>
              </w:rPr>
            </w:pPr>
            <w:r w:rsidRPr="0033577D">
              <w:rPr>
                <w:sz w:val="20"/>
                <w:szCs w:val="20"/>
              </w:rPr>
              <w:t xml:space="preserve">En este momento, desde OPAMSS no se tienen proyectos sociales vinculados con cooperativas de vivienda. </w:t>
            </w:r>
          </w:p>
        </w:tc>
      </w:tr>
      <w:tr w:rsidR="003C009E" w:rsidRPr="00F21CB2" w:rsidTr="00D66577">
        <w:trPr>
          <w:cantSplit/>
        </w:trPr>
        <w:tc>
          <w:tcPr>
            <w:tcW w:w="5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C009E" w:rsidRPr="0033577D" w:rsidRDefault="003C009E" w:rsidP="004121C3">
            <w:pPr>
              <w:jc w:val="center"/>
              <w:rPr>
                <w:sz w:val="20"/>
                <w:szCs w:val="20"/>
              </w:rPr>
            </w:pPr>
          </w:p>
        </w:tc>
        <w:tc>
          <w:tcPr>
            <w:tcW w:w="2570" w:type="dxa"/>
            <w:tcBorders>
              <w:top w:val="nil"/>
              <w:left w:val="nil"/>
              <w:bottom w:val="single" w:sz="8" w:space="0" w:color="auto"/>
              <w:right w:val="single" w:sz="8" w:space="0" w:color="auto"/>
            </w:tcBorders>
            <w:tcMar>
              <w:top w:w="0" w:type="dxa"/>
              <w:left w:w="108" w:type="dxa"/>
              <w:bottom w:w="0" w:type="dxa"/>
              <w:right w:w="108" w:type="dxa"/>
            </w:tcMar>
            <w:vAlign w:val="center"/>
          </w:tcPr>
          <w:p w:rsidR="003C009E" w:rsidRPr="0033577D" w:rsidRDefault="003C009E" w:rsidP="004121C3">
            <w:pPr>
              <w:rPr>
                <w:sz w:val="20"/>
                <w:szCs w:val="20"/>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tcPr>
          <w:p w:rsidR="003C009E" w:rsidRPr="0033577D" w:rsidRDefault="003C009E" w:rsidP="004121C3">
            <w:pPr>
              <w:jc w:val="center"/>
              <w:rPr>
                <w:sz w:val="20"/>
                <w:szCs w:val="20"/>
              </w:rPr>
            </w:pPr>
          </w:p>
        </w:tc>
        <w:tc>
          <w:tcPr>
            <w:tcW w:w="4962" w:type="dxa"/>
            <w:tcBorders>
              <w:top w:val="nil"/>
              <w:left w:val="nil"/>
              <w:bottom w:val="single" w:sz="8" w:space="0" w:color="auto"/>
              <w:right w:val="single" w:sz="8" w:space="0" w:color="auto"/>
            </w:tcBorders>
          </w:tcPr>
          <w:p w:rsidR="003C009E" w:rsidRPr="0033577D" w:rsidRDefault="003C009E" w:rsidP="004121C3">
            <w:pPr>
              <w:jc w:val="center"/>
              <w:rPr>
                <w:sz w:val="20"/>
                <w:szCs w:val="20"/>
              </w:rPr>
            </w:pPr>
          </w:p>
        </w:tc>
      </w:tr>
      <w:tr w:rsidR="003C009E" w:rsidRPr="00F21CB2" w:rsidTr="00D66577">
        <w:trPr>
          <w:cantSplit/>
        </w:trPr>
        <w:tc>
          <w:tcPr>
            <w:tcW w:w="5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C009E" w:rsidRPr="0033577D" w:rsidRDefault="003C009E" w:rsidP="004121C3">
            <w:pPr>
              <w:jc w:val="center"/>
              <w:rPr>
                <w:sz w:val="20"/>
                <w:szCs w:val="20"/>
              </w:rPr>
            </w:pPr>
            <w:r w:rsidRPr="0033577D">
              <w:rPr>
                <w:sz w:val="20"/>
                <w:szCs w:val="20"/>
              </w:rPr>
              <w:t>6</w:t>
            </w:r>
          </w:p>
        </w:tc>
        <w:tc>
          <w:tcPr>
            <w:tcW w:w="2570" w:type="dxa"/>
            <w:tcBorders>
              <w:top w:val="nil"/>
              <w:left w:val="nil"/>
              <w:bottom w:val="single" w:sz="8" w:space="0" w:color="auto"/>
              <w:right w:val="single" w:sz="8" w:space="0" w:color="auto"/>
            </w:tcBorders>
            <w:tcMar>
              <w:top w:w="0" w:type="dxa"/>
              <w:left w:w="108" w:type="dxa"/>
              <w:bottom w:w="0" w:type="dxa"/>
              <w:right w:w="108" w:type="dxa"/>
            </w:tcMar>
            <w:vAlign w:val="center"/>
          </w:tcPr>
          <w:p w:rsidR="003C009E" w:rsidRPr="0033577D" w:rsidRDefault="003C009E" w:rsidP="003C009E">
            <w:pPr>
              <w:rPr>
                <w:sz w:val="20"/>
                <w:szCs w:val="20"/>
                <w:lang w:val="es-SV"/>
              </w:rPr>
            </w:pPr>
            <w:r w:rsidRPr="0033577D">
              <w:rPr>
                <w:sz w:val="20"/>
                <w:szCs w:val="20"/>
              </w:rPr>
              <w:t>¿</w:t>
            </w:r>
            <w:r w:rsidRPr="0033577D">
              <w:rPr>
                <w:sz w:val="20"/>
                <w:szCs w:val="20"/>
                <w:lang w:val="es-SV"/>
              </w:rPr>
              <w:t>Puede COAMSS/OPAMSS contribuir en el problema social en cuanto a la insuficiencia en el abastecimiento de agua en el Área Metropolitana de San Salvador?</w:t>
            </w:r>
          </w:p>
          <w:p w:rsidR="003C009E" w:rsidRPr="0033577D" w:rsidRDefault="003C009E" w:rsidP="004121C3">
            <w:pPr>
              <w:rPr>
                <w:sz w:val="20"/>
                <w:szCs w:val="20"/>
                <w:lang w:val="es-SV"/>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tcPr>
          <w:p w:rsidR="003C009E" w:rsidRPr="0033577D" w:rsidRDefault="003C009E" w:rsidP="004121C3">
            <w:pPr>
              <w:jc w:val="center"/>
              <w:rPr>
                <w:sz w:val="20"/>
                <w:szCs w:val="20"/>
              </w:rPr>
            </w:pPr>
            <w:r w:rsidRPr="0033577D">
              <w:rPr>
                <w:sz w:val="20"/>
                <w:szCs w:val="20"/>
              </w:rPr>
              <w:t>Subdirección de Planificación e Investigación</w:t>
            </w:r>
          </w:p>
        </w:tc>
        <w:tc>
          <w:tcPr>
            <w:tcW w:w="4962" w:type="dxa"/>
            <w:tcBorders>
              <w:top w:val="nil"/>
              <w:left w:val="nil"/>
              <w:bottom w:val="single" w:sz="8" w:space="0" w:color="auto"/>
              <w:right w:val="single" w:sz="8" w:space="0" w:color="auto"/>
            </w:tcBorders>
          </w:tcPr>
          <w:p w:rsidR="003C009E" w:rsidRPr="0033577D" w:rsidRDefault="003C009E" w:rsidP="003C009E">
            <w:pPr>
              <w:rPr>
                <w:sz w:val="20"/>
                <w:szCs w:val="20"/>
                <w:lang w:val="es-SV"/>
              </w:rPr>
            </w:pPr>
            <w:r w:rsidRPr="0033577D">
              <w:rPr>
                <w:sz w:val="20"/>
                <w:szCs w:val="20"/>
                <w:lang w:val="es-SV"/>
              </w:rPr>
              <w:t>La competencia de la prestación del servicio de abastecimiento de agua potable en el Área Metropolitana de San Salvador es de la Administración Nacional de Acueductos y Alcantarillados, ANDA.</w:t>
            </w:r>
          </w:p>
          <w:p w:rsidR="003C009E" w:rsidRPr="0033577D" w:rsidRDefault="003C009E" w:rsidP="003C009E">
            <w:pPr>
              <w:rPr>
                <w:sz w:val="20"/>
                <w:szCs w:val="20"/>
                <w:lang w:val="es-SV"/>
              </w:rPr>
            </w:pPr>
            <w:r w:rsidRPr="0033577D">
              <w:rPr>
                <w:sz w:val="20"/>
                <w:szCs w:val="20"/>
                <w:lang w:val="es-SV"/>
              </w:rPr>
              <w:t>Es esta instancia la que maneja la infraestructura y distribución de este servicio y quien maneja la condición actual de todo el sistema de abastecimiento.</w:t>
            </w:r>
          </w:p>
          <w:p w:rsidR="003C009E" w:rsidRPr="0033577D" w:rsidRDefault="003C009E" w:rsidP="003C009E">
            <w:pPr>
              <w:rPr>
                <w:sz w:val="20"/>
                <w:szCs w:val="20"/>
                <w:lang w:val="es-SV"/>
              </w:rPr>
            </w:pPr>
          </w:p>
          <w:p w:rsidR="003C009E" w:rsidRPr="0033577D" w:rsidRDefault="003C009E" w:rsidP="003C009E">
            <w:pPr>
              <w:rPr>
                <w:sz w:val="20"/>
                <w:szCs w:val="20"/>
                <w:lang w:val="es-SV"/>
              </w:rPr>
            </w:pPr>
            <w:r w:rsidRPr="0033577D">
              <w:rPr>
                <w:sz w:val="20"/>
                <w:szCs w:val="20"/>
                <w:lang w:val="es-SV"/>
              </w:rPr>
              <w:t xml:space="preserve">Como parte de las acciones a desarrollar en el marco del Consejo de Desarrollo Metropolitano CODEMET, se espera lograr una coordinación interinstitucional con las diferentes entidades del Gobierno Central, entre ellas, ANDA, para poder identificar iniciativas encaminadas a mejorar la cobertura del servicio de agua potable en sectores que tiene déficit de dicho servicio. </w:t>
            </w:r>
          </w:p>
          <w:p w:rsidR="003C009E" w:rsidRPr="0033577D" w:rsidRDefault="003C009E" w:rsidP="004121C3">
            <w:pPr>
              <w:jc w:val="center"/>
              <w:rPr>
                <w:sz w:val="20"/>
                <w:szCs w:val="20"/>
                <w:lang w:val="es-SV"/>
              </w:rPr>
            </w:pPr>
          </w:p>
        </w:tc>
      </w:tr>
    </w:tbl>
    <w:p w:rsidR="00202694" w:rsidRPr="00F21CB2" w:rsidRDefault="004121C3">
      <w:r w:rsidRPr="00F21CB2">
        <w:br w:type="textWrapping" w:clear="all"/>
      </w:r>
    </w:p>
    <w:sectPr w:rsidR="00202694" w:rsidRPr="00F21CB2" w:rsidSect="00D66577">
      <w:headerReference w:type="default" r:id="rId6"/>
      <w:pgSz w:w="11906" w:h="16838"/>
      <w:pgMar w:top="1249" w:right="1701"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B3F" w:rsidRDefault="00247B3F" w:rsidP="00A40832">
      <w:r>
        <w:separator/>
      </w:r>
    </w:p>
  </w:endnote>
  <w:endnote w:type="continuationSeparator" w:id="0">
    <w:p w:rsidR="00247B3F" w:rsidRDefault="00247B3F" w:rsidP="00A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B3F" w:rsidRDefault="00247B3F" w:rsidP="00A40832">
      <w:r>
        <w:separator/>
      </w:r>
    </w:p>
  </w:footnote>
  <w:footnote w:type="continuationSeparator" w:id="0">
    <w:p w:rsidR="00247B3F" w:rsidRDefault="00247B3F" w:rsidP="00A408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832" w:rsidRDefault="00A40832" w:rsidP="00A40832">
    <w:pPr>
      <w:pStyle w:val="Encabezado"/>
      <w:jc w:val="center"/>
    </w:pPr>
    <w:r>
      <w:rPr>
        <w:noProof/>
        <w:lang w:eastAsia="es-ES"/>
      </w:rPr>
      <w:drawing>
        <wp:inline distT="0" distB="0" distL="0" distR="0">
          <wp:extent cx="5342400" cy="1978271"/>
          <wp:effectExtent l="0" t="0" r="0" b="317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rtada redes.jpg"/>
                  <pic:cNvPicPr/>
                </pic:nvPicPr>
                <pic:blipFill>
                  <a:blip r:embed="rId1">
                    <a:extLst>
                      <a:ext uri="{28A0092B-C50C-407E-A947-70E740481C1C}">
                        <a14:useLocalDpi xmlns:a14="http://schemas.microsoft.com/office/drawing/2010/main" val="0"/>
                      </a:ext>
                    </a:extLst>
                  </a:blip>
                  <a:stretch>
                    <a:fillRect/>
                  </a:stretch>
                </pic:blipFill>
                <pic:spPr>
                  <a:xfrm>
                    <a:off x="0" y="0"/>
                    <a:ext cx="5401371" cy="2000108"/>
                  </a:xfrm>
                  <a:prstGeom prst="rect">
                    <a:avLst/>
                  </a:prstGeom>
                </pic:spPr>
              </pic:pic>
            </a:graphicData>
          </a:graphic>
        </wp:inline>
      </w:drawing>
    </w:r>
  </w:p>
  <w:p w:rsidR="00145D57" w:rsidRDefault="00145D57" w:rsidP="00A40832">
    <w:pPr>
      <w:pStyle w:val="Encabezado"/>
      <w:jc w:val="center"/>
    </w:pPr>
    <w:r>
      <w:t>PREGUNTAS Y RESPUESTAS DE LOS PARTICIPANTES EN LA RENDICIÓN DE CUENTAS 2015-2016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390"/>
    <w:rsid w:val="00074FD2"/>
    <w:rsid w:val="00105F7C"/>
    <w:rsid w:val="00145D57"/>
    <w:rsid w:val="00247B3F"/>
    <w:rsid w:val="003068FD"/>
    <w:rsid w:val="0033577D"/>
    <w:rsid w:val="003C009E"/>
    <w:rsid w:val="004121C3"/>
    <w:rsid w:val="0058209A"/>
    <w:rsid w:val="007C76CE"/>
    <w:rsid w:val="008D1600"/>
    <w:rsid w:val="00A40832"/>
    <w:rsid w:val="00D66577"/>
    <w:rsid w:val="00D74390"/>
    <w:rsid w:val="00F21C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E24D8E"/>
  <w15:chartTrackingRefBased/>
  <w15:docId w15:val="{A1630D07-EB83-4BCD-967F-5A873D5A7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390"/>
    <w:pPr>
      <w:spacing w:after="0" w:line="240" w:lineRule="auto"/>
    </w:pPr>
    <w:rPr>
      <w:rFonts w:ascii="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40832"/>
    <w:pPr>
      <w:tabs>
        <w:tab w:val="center" w:pos="4252"/>
        <w:tab w:val="right" w:pos="8504"/>
      </w:tabs>
    </w:pPr>
  </w:style>
  <w:style w:type="character" w:customStyle="1" w:styleId="EncabezadoCar">
    <w:name w:val="Encabezado Car"/>
    <w:basedOn w:val="Fuentedeprrafopredeter"/>
    <w:link w:val="Encabezado"/>
    <w:uiPriority w:val="99"/>
    <w:rsid w:val="00A40832"/>
    <w:rPr>
      <w:rFonts w:ascii="Calibri" w:hAnsi="Calibri" w:cs="Times New Roman"/>
    </w:rPr>
  </w:style>
  <w:style w:type="paragraph" w:styleId="Piedepgina">
    <w:name w:val="footer"/>
    <w:basedOn w:val="Normal"/>
    <w:link w:val="PiedepginaCar"/>
    <w:uiPriority w:val="99"/>
    <w:unhideWhenUsed/>
    <w:rsid w:val="00A40832"/>
    <w:pPr>
      <w:tabs>
        <w:tab w:val="center" w:pos="4252"/>
        <w:tab w:val="right" w:pos="8504"/>
      </w:tabs>
    </w:pPr>
  </w:style>
  <w:style w:type="character" w:customStyle="1" w:styleId="PiedepginaCar">
    <w:name w:val="Pie de página Car"/>
    <w:basedOn w:val="Fuentedeprrafopredeter"/>
    <w:link w:val="Piedepgina"/>
    <w:uiPriority w:val="99"/>
    <w:rsid w:val="00A40832"/>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026412">
      <w:bodyDiv w:val="1"/>
      <w:marLeft w:val="0"/>
      <w:marRight w:val="0"/>
      <w:marTop w:val="0"/>
      <w:marBottom w:val="0"/>
      <w:divBdr>
        <w:top w:val="none" w:sz="0" w:space="0" w:color="auto"/>
        <w:left w:val="none" w:sz="0" w:space="0" w:color="auto"/>
        <w:bottom w:val="none" w:sz="0" w:space="0" w:color="auto"/>
        <w:right w:val="none" w:sz="0" w:space="0" w:color="auto"/>
      </w:divBdr>
    </w:div>
    <w:div w:id="1299216370">
      <w:bodyDiv w:val="1"/>
      <w:marLeft w:val="0"/>
      <w:marRight w:val="0"/>
      <w:marTop w:val="0"/>
      <w:marBottom w:val="0"/>
      <w:divBdr>
        <w:top w:val="none" w:sz="0" w:space="0" w:color="auto"/>
        <w:left w:val="none" w:sz="0" w:space="0" w:color="auto"/>
        <w:bottom w:val="none" w:sz="0" w:space="0" w:color="auto"/>
        <w:right w:val="none" w:sz="0" w:space="0" w:color="auto"/>
      </w:divBdr>
    </w:div>
    <w:div w:id="186312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602</TotalTime>
  <Pages>2</Pages>
  <Words>748</Words>
  <Characters>4120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Beatriz Olmedo</dc:creator>
  <cp:keywords/>
  <dc:description/>
  <cp:lastModifiedBy>Marlene Solano</cp:lastModifiedBy>
  <cp:revision>11</cp:revision>
  <cp:lastPrinted>2016-08-09T14:48:00Z</cp:lastPrinted>
  <dcterms:created xsi:type="dcterms:W3CDTF">2016-08-08T18:26:00Z</dcterms:created>
  <dcterms:modified xsi:type="dcterms:W3CDTF">2016-09-13T20:26:00Z</dcterms:modified>
</cp:coreProperties>
</file>