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2C" w:rsidRPr="0032212C" w:rsidRDefault="0032212C" w:rsidP="0032212C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32212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Informe de participación ciudadana desarrollada</w:t>
      </w:r>
      <w:r w:rsidR="00BB5DCC" w:rsidRPr="00D2569B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en </w:t>
      </w:r>
      <w:r w:rsidR="006704D1" w:rsidRPr="00D2569B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4to. Trimestre </w:t>
      </w:r>
      <w:r w:rsidRPr="0032212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2022</w:t>
      </w:r>
    </w:p>
    <w:p w:rsidR="0032212C" w:rsidRPr="0032212C" w:rsidRDefault="0032212C" w:rsidP="0032212C">
      <w:pPr>
        <w:jc w:val="both"/>
      </w:pPr>
    </w:p>
    <w:p w:rsidR="00193513" w:rsidRPr="0032212C" w:rsidRDefault="00193513" w:rsidP="0032212C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233680</wp:posOffset>
            </wp:positionV>
            <wp:extent cx="6309995" cy="4581525"/>
            <wp:effectExtent l="0" t="0" r="14605" b="9525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668A" w:rsidRDefault="00B9668A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9A1D62" w:rsidRDefault="009A1D62"/>
    <w:p w:rsidR="009A1D62" w:rsidRDefault="009A1D62"/>
    <w:p w:rsidR="009A1D62" w:rsidRDefault="009A1D62"/>
    <w:p w:rsidR="00BB5DCC" w:rsidRDefault="00BB5DCC"/>
    <w:p w:rsidR="00BB5DCC" w:rsidRDefault="00BB5DCC"/>
    <w:p w:rsidR="00BB5DCC" w:rsidRDefault="00BB5DCC"/>
    <w:p w:rsidR="009A1D62" w:rsidRDefault="009A1D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219075</wp:posOffset>
                </wp:positionV>
                <wp:extent cx="5837555" cy="934085"/>
                <wp:effectExtent l="0" t="0" r="10795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D62" w:rsidRDefault="009A1D62" w:rsidP="009A1D62">
                            <w:pPr>
                              <w:jc w:val="both"/>
                            </w:pPr>
                            <w:r>
                              <w:t xml:space="preserve">La gráfica muestra espacios y mecanismos de Participación Ciudadana desarrollados en el 4to. </w:t>
                            </w:r>
                            <w:proofErr w:type="gramStart"/>
                            <w:r w:rsidR="00BB5DCC">
                              <w:t>t</w:t>
                            </w:r>
                            <w:r>
                              <w:t>rimestre</w:t>
                            </w:r>
                            <w:proofErr w:type="gramEnd"/>
                            <w:r>
                              <w:t xml:space="preserve"> de 2022. Predominando la atención de la ciudadanía por vía telefónica</w:t>
                            </w:r>
                            <w:r w:rsidR="00BB5DCC">
                              <w:t xml:space="preserve">; línea fija </w:t>
                            </w:r>
                            <w:r w:rsidR="00A31D29">
                              <w:t>y de celulares del personal de la Gerencia</w:t>
                            </w:r>
                            <w:r w:rsidR="00BB5DCC">
                              <w:t xml:space="preserve">, las cuales están </w:t>
                            </w:r>
                            <w:r w:rsidR="00A31D29">
                              <w:t>a disposición de la ciudadanía incluyendo</w:t>
                            </w:r>
                            <w:r w:rsidR="00BB5DCC">
                              <w:t xml:space="preserve"> la comunicación por medio de </w:t>
                            </w:r>
                            <w:r w:rsidR="00A31D29">
                              <w:t>WhatsApp.</w:t>
                            </w:r>
                          </w:p>
                          <w:p w:rsidR="009A1D62" w:rsidRDefault="009A1D62" w:rsidP="009A1D62">
                            <w:pPr>
                              <w:jc w:val="both"/>
                            </w:pPr>
                          </w:p>
                          <w:p w:rsidR="009A1D62" w:rsidRDefault="009A1D62" w:rsidP="009A1D62">
                            <w:pPr>
                              <w:jc w:val="both"/>
                            </w:pPr>
                          </w:p>
                          <w:p w:rsidR="009A1D62" w:rsidRDefault="009A1D62" w:rsidP="009A1D62">
                            <w:pPr>
                              <w:jc w:val="both"/>
                            </w:pPr>
                          </w:p>
                          <w:p w:rsidR="009A1D62" w:rsidRDefault="009A1D62" w:rsidP="009A1D6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.85pt;margin-top:17.25pt;width:459.65pt;height:73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" strokecolor="#2f5496 [2408]" strokeweight="1.5pt">
                <v:textbox>
                  <w:txbxContent>
                    <w:p w:rsidR="009A1D62" w:rsidRDefault="009A1D62" w:rsidP="009A1D62">
                      <w:pPr>
                        <w:jc w:val="both"/>
                      </w:pPr>
                      <w:r>
                        <w:t xml:space="preserve">La gráfica muestra espacios y mecanismos de Participación Ciudadana desarrollados en el 4to. </w:t>
                      </w:r>
                      <w:proofErr w:type="gramStart"/>
                      <w:r w:rsidR="00BB5DCC">
                        <w:t>t</w:t>
                      </w:r>
                      <w:r>
                        <w:t>rimestre</w:t>
                      </w:r>
                      <w:proofErr w:type="gramEnd"/>
                      <w:r>
                        <w:t xml:space="preserve"> de 2022. Predominando la atención de la ciudadanía por vía telefónica</w:t>
                      </w:r>
                      <w:r w:rsidR="00BB5DCC">
                        <w:t xml:space="preserve">; línea fija </w:t>
                      </w:r>
                      <w:r w:rsidR="00A31D29">
                        <w:t>y de celulares del personal de la Gerencia</w:t>
                      </w:r>
                      <w:r w:rsidR="00BB5DCC">
                        <w:t xml:space="preserve">, las cuales están </w:t>
                      </w:r>
                      <w:r w:rsidR="00A31D29">
                        <w:t>a disposición de la ciudadanía incluyendo</w:t>
                      </w:r>
                      <w:r w:rsidR="00BB5DCC">
                        <w:t xml:space="preserve"> la comunicación por medio de </w:t>
                      </w:r>
                      <w:r w:rsidR="00A31D29">
                        <w:t>WhatsApp.</w:t>
                      </w:r>
                    </w:p>
                    <w:p w:rsidR="009A1D62" w:rsidRDefault="009A1D62" w:rsidP="009A1D62">
                      <w:pPr>
                        <w:jc w:val="both"/>
                      </w:pPr>
                    </w:p>
                    <w:p w:rsidR="009A1D62" w:rsidRDefault="009A1D62" w:rsidP="009A1D62">
                      <w:pPr>
                        <w:jc w:val="both"/>
                      </w:pPr>
                    </w:p>
                    <w:p w:rsidR="009A1D62" w:rsidRDefault="009A1D62" w:rsidP="009A1D62">
                      <w:pPr>
                        <w:jc w:val="both"/>
                      </w:pPr>
                    </w:p>
                    <w:p w:rsidR="009A1D62" w:rsidRDefault="009A1D62" w:rsidP="009A1D62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D62" w:rsidRDefault="009A1D62"/>
    <w:p w:rsidR="009A1D62" w:rsidRDefault="009A1D62"/>
    <w:p w:rsidR="009A1D62" w:rsidRDefault="009A1D62"/>
    <w:p w:rsidR="00BB5DCC" w:rsidRDefault="00BB5DCC"/>
    <w:p w:rsidR="00BB5DCC" w:rsidRDefault="00BB5DCC"/>
    <w:p w:rsidR="00BB5DCC" w:rsidRDefault="00BB5DCC">
      <w:r>
        <w:br w:type="page"/>
      </w:r>
    </w:p>
    <w:p w:rsidR="00BB5DCC" w:rsidRDefault="00BB5DCC"/>
    <w:p w:rsidR="00BB5DCC" w:rsidRDefault="00BB5DCC" w:rsidP="00BB5DCC">
      <w:pPr>
        <w:jc w:val="both"/>
      </w:pPr>
      <w:r w:rsidRPr="0032212C">
        <w:t xml:space="preserve">En el </w:t>
      </w:r>
      <w:r>
        <w:t xml:space="preserve">cuarto </w:t>
      </w:r>
      <w:r w:rsidRPr="0032212C">
        <w:t xml:space="preserve">trimestre de 2022 se han realizado </w:t>
      </w:r>
      <w:r>
        <w:t xml:space="preserve">quinientas cuarenta y ocho (548) actividades </w:t>
      </w:r>
      <w:r w:rsidRPr="0032212C">
        <w:t xml:space="preserve">de participación ciudadana desde la Gerencia de Gestión Social, </w:t>
      </w:r>
      <w:r>
        <w:t>atendiéndose</w:t>
      </w:r>
      <w:r w:rsidRPr="0032212C">
        <w:t xml:space="preserve"> </w:t>
      </w:r>
      <w:r>
        <w:t xml:space="preserve">más de mil quinientas </w:t>
      </w:r>
      <w:r w:rsidRPr="0032212C">
        <w:t xml:space="preserve">personas. El porcentaje de participación de mujeres </w:t>
      </w:r>
      <w:r>
        <w:t xml:space="preserve">se calcula en </w:t>
      </w:r>
      <w:r w:rsidRPr="0032212C">
        <w:t>un 3</w:t>
      </w:r>
      <w:r>
        <w:t>0</w:t>
      </w:r>
      <w:r w:rsidRPr="0032212C">
        <w:t xml:space="preserve">% y el de juventud en promedio </w:t>
      </w:r>
      <w:r>
        <w:t>8</w:t>
      </w:r>
      <w:r w:rsidRPr="0032212C">
        <w:t>%.</w:t>
      </w:r>
    </w:p>
    <w:p w:rsidR="009A1D62" w:rsidRDefault="00BB5DCC"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282575</wp:posOffset>
            </wp:positionV>
            <wp:extent cx="5942965" cy="3789045"/>
            <wp:effectExtent l="0" t="0" r="635" b="1905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6704D1" w:rsidRDefault="006704D1"/>
    <w:p w:rsidR="006704D1" w:rsidRDefault="006704D1"/>
    <w:p w:rsidR="006704D1" w:rsidRDefault="006704D1"/>
    <w:p w:rsidR="001129E6" w:rsidRDefault="00BB5D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B1FCF5" wp14:editId="6C422B27">
                <wp:simplePos x="0" y="0"/>
                <wp:positionH relativeFrom="column">
                  <wp:posOffset>546735</wp:posOffset>
                </wp:positionH>
                <wp:positionV relativeFrom="paragraph">
                  <wp:posOffset>274955</wp:posOffset>
                </wp:positionV>
                <wp:extent cx="5679440" cy="934085"/>
                <wp:effectExtent l="0" t="0" r="16510" b="184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9440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DCC" w:rsidRDefault="00BB5DCC" w:rsidP="00BB5DCC">
                            <w:pPr>
                              <w:jc w:val="both"/>
                            </w:pPr>
                            <w:r>
                              <w:t xml:space="preserve">La gráfica muestra </w:t>
                            </w:r>
                            <w:r w:rsidR="006704D1">
                              <w:t xml:space="preserve">el total de </w:t>
                            </w:r>
                            <w:r>
                              <w:t xml:space="preserve">espacios y mecanismos de Participación Ciudadana desarrollados </w:t>
                            </w:r>
                            <w:r w:rsidR="006704D1">
                              <w:t xml:space="preserve">mensualmente durante el cuarto trimestre </w:t>
                            </w:r>
                            <w:r>
                              <w:t xml:space="preserve">de 2022. </w:t>
                            </w:r>
                            <w:r w:rsidR="006704D1">
                              <w:t>Reflejando el dato mayor en octubre (262) y el menor en diciembre (99), haciendo un acumulado trimestral de 548.</w:t>
                            </w:r>
                          </w:p>
                          <w:p w:rsidR="00BB5DCC" w:rsidRDefault="00BB5DCC" w:rsidP="00BB5DCC">
                            <w:pPr>
                              <w:jc w:val="both"/>
                            </w:pPr>
                          </w:p>
                          <w:p w:rsidR="00BB5DCC" w:rsidRDefault="00BB5DCC" w:rsidP="00BB5DCC">
                            <w:pPr>
                              <w:jc w:val="both"/>
                            </w:pPr>
                          </w:p>
                          <w:p w:rsidR="00BB5DCC" w:rsidRDefault="00BB5DCC" w:rsidP="00BB5DCC">
                            <w:pPr>
                              <w:jc w:val="both"/>
                            </w:pPr>
                          </w:p>
                          <w:p w:rsidR="00BB5DCC" w:rsidRDefault="00BB5DCC" w:rsidP="00BB5DC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1FCF5" id="_x0000_s1027" type="#_x0000_t202" style="position:absolute;margin-left:43.05pt;margin-top:21.65pt;width:447.2pt;height:7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" strokecolor="#2f5597" strokeweight="1.5pt">
                <v:textbox>
                  <w:txbxContent>
                    <w:p w:rsidR="00BB5DCC" w:rsidRDefault="00BB5DCC" w:rsidP="00BB5DCC">
                      <w:pPr>
                        <w:jc w:val="both"/>
                      </w:pPr>
                      <w:r>
                        <w:t xml:space="preserve">La gráfica muestra </w:t>
                      </w:r>
                      <w:r w:rsidR="006704D1">
                        <w:t xml:space="preserve">el total de </w:t>
                      </w:r>
                      <w:r>
                        <w:t xml:space="preserve">espacios y mecanismos de Participación Ciudadana desarrollados </w:t>
                      </w:r>
                      <w:r w:rsidR="006704D1">
                        <w:t xml:space="preserve">mensualmente durante el cuarto trimestre </w:t>
                      </w:r>
                      <w:r>
                        <w:t xml:space="preserve">de 2022. </w:t>
                      </w:r>
                      <w:r w:rsidR="006704D1">
                        <w:t>Reflejando el dato mayor en octubre (262) y el menor en diciembre (99), haciendo un acumulado trimestral de 548.</w:t>
                      </w:r>
                    </w:p>
                    <w:p w:rsidR="00BB5DCC" w:rsidRDefault="00BB5DCC" w:rsidP="00BB5DCC">
                      <w:pPr>
                        <w:jc w:val="both"/>
                      </w:pPr>
                    </w:p>
                    <w:p w:rsidR="00BB5DCC" w:rsidRDefault="00BB5DCC" w:rsidP="00BB5DCC">
                      <w:pPr>
                        <w:jc w:val="both"/>
                      </w:pPr>
                    </w:p>
                    <w:p w:rsidR="00BB5DCC" w:rsidRDefault="00BB5DCC" w:rsidP="00BB5DCC">
                      <w:pPr>
                        <w:jc w:val="both"/>
                      </w:pPr>
                    </w:p>
                    <w:p w:rsidR="00BB5DCC" w:rsidRDefault="00BB5DCC" w:rsidP="00BB5DC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BB5DCC" w:rsidRDefault="00BB5DCC">
      <w:r>
        <w:br w:type="page"/>
      </w:r>
    </w:p>
    <w:p w:rsidR="00BB5DCC" w:rsidRDefault="00BB5DCC"/>
    <w:p w:rsidR="00BB5DCC" w:rsidRDefault="00BB5DCC"/>
    <w:p w:rsidR="001129E6" w:rsidRDefault="00BB5DCC"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281305</wp:posOffset>
            </wp:positionV>
            <wp:extent cx="5897880" cy="3587115"/>
            <wp:effectExtent l="0" t="0" r="7620" b="13335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1129E6"/>
    <w:p w:rsidR="001129E6" w:rsidRDefault="006704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F9A022" wp14:editId="36810681">
                <wp:simplePos x="0" y="0"/>
                <wp:positionH relativeFrom="column">
                  <wp:posOffset>694592</wp:posOffset>
                </wp:positionH>
                <wp:positionV relativeFrom="paragraph">
                  <wp:posOffset>75809</wp:posOffset>
                </wp:positionV>
                <wp:extent cx="5679440" cy="934085"/>
                <wp:effectExtent l="0" t="0" r="16510" b="1841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9440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4D1" w:rsidRDefault="006704D1" w:rsidP="006704D1">
                            <w:pPr>
                              <w:jc w:val="both"/>
                            </w:pPr>
                            <w:r>
                              <w:t xml:space="preserve">La gráfica muestra </w:t>
                            </w:r>
                            <w:r>
                              <w:t xml:space="preserve">el </w:t>
                            </w:r>
                            <w:r>
                              <w:t xml:space="preserve">total de espacios y mecanismos de Participación Ciudadana desarrollados </w:t>
                            </w:r>
                            <w:r>
                              <w:t xml:space="preserve">en cada uno de los trimestres del año 2022, que en total hacen 1957. La línea </w:t>
                            </w:r>
                            <w:r w:rsidR="00D2569B">
                              <w:t xml:space="preserve">gráfica </w:t>
                            </w:r>
                            <w:r>
                              <w:t xml:space="preserve">muestra el segundo trimestre como el de menor actividad </w:t>
                            </w:r>
                            <w:r w:rsidR="00C31942">
                              <w:t xml:space="preserve">(207 acciones) </w:t>
                            </w:r>
                            <w:r>
                              <w:t xml:space="preserve">y el tercer trimestre como el de mayor desarrollo de actividades </w:t>
                            </w:r>
                            <w:r w:rsidR="00C31942">
                              <w:t>(686).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9A022" id="_x0000_s1028" type="#_x0000_t202" style="position:absolute;margin-left:54.7pt;margin-top:5.95pt;width:447.2pt;height:73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" strokecolor="#2f5597" strokeweight="1.5pt">
                <v:textbox>
                  <w:txbxContent>
                    <w:p w:rsidR="006704D1" w:rsidRDefault="006704D1" w:rsidP="006704D1">
                      <w:pPr>
                        <w:jc w:val="both"/>
                      </w:pPr>
                      <w:r>
                        <w:t xml:space="preserve">La gráfica muestra </w:t>
                      </w:r>
                      <w:r>
                        <w:t xml:space="preserve">el </w:t>
                      </w:r>
                      <w:r>
                        <w:t xml:space="preserve">total de espacios y mecanismos de Participación Ciudadana desarrollados </w:t>
                      </w:r>
                      <w:r>
                        <w:t xml:space="preserve">en cada uno de los trimestres del año 2022, que en total hacen 1957. La línea </w:t>
                      </w:r>
                      <w:r w:rsidR="00D2569B">
                        <w:t xml:space="preserve">gráfica </w:t>
                      </w:r>
                      <w:r>
                        <w:t xml:space="preserve">muestra el segundo trimestre como el de menor actividad </w:t>
                      </w:r>
                      <w:r w:rsidR="00C31942">
                        <w:t xml:space="preserve">(207 acciones) </w:t>
                      </w:r>
                      <w:r>
                        <w:t xml:space="preserve">y el tercer trimestre como el de mayor desarrollo de actividades </w:t>
                      </w:r>
                      <w:r w:rsidR="00C31942">
                        <w:t>(686).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29E6" w:rsidRDefault="001129E6"/>
    <w:p w:rsidR="001129E6" w:rsidRDefault="001129E6"/>
    <w:p w:rsidR="001129E6" w:rsidRDefault="001129E6"/>
    <w:p w:rsidR="001129E6" w:rsidRDefault="001129E6"/>
    <w:p w:rsidR="001129E6" w:rsidRDefault="001129E6">
      <w:bookmarkStart w:id="0" w:name="_GoBack"/>
      <w:bookmarkEnd w:id="0"/>
    </w:p>
    <w:sectPr w:rsidR="001129E6" w:rsidSect="001B02D8">
      <w:footerReference w:type="default" r:id="rId9"/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DC" w:rsidRDefault="000B64DC" w:rsidP="00C31942">
      <w:pPr>
        <w:spacing w:after="0" w:line="240" w:lineRule="auto"/>
      </w:pPr>
      <w:r>
        <w:separator/>
      </w:r>
    </w:p>
  </w:endnote>
  <w:endnote w:type="continuationSeparator" w:id="0">
    <w:p w:rsidR="000B64DC" w:rsidRDefault="000B64DC" w:rsidP="00C3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654093"/>
      <w:docPartObj>
        <w:docPartGallery w:val="Page Numbers (Bottom of Page)"/>
        <w:docPartUnique/>
      </w:docPartObj>
    </w:sdtPr>
    <w:sdtContent>
      <w:p w:rsidR="00C31942" w:rsidRDefault="00C319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9B" w:rsidRPr="00D2569B">
          <w:rPr>
            <w:noProof/>
            <w:lang w:val="es-ES"/>
          </w:rPr>
          <w:t>3</w:t>
        </w:r>
        <w:r>
          <w:fldChar w:fldCharType="end"/>
        </w:r>
      </w:p>
    </w:sdtContent>
  </w:sdt>
  <w:p w:rsidR="00C31942" w:rsidRDefault="00C319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DC" w:rsidRDefault="000B64DC" w:rsidP="00C31942">
      <w:pPr>
        <w:spacing w:after="0" w:line="240" w:lineRule="auto"/>
      </w:pPr>
      <w:r>
        <w:separator/>
      </w:r>
    </w:p>
  </w:footnote>
  <w:footnote w:type="continuationSeparator" w:id="0">
    <w:p w:rsidR="000B64DC" w:rsidRDefault="000B64DC" w:rsidP="00C31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E6"/>
    <w:rsid w:val="000B64DC"/>
    <w:rsid w:val="001129E6"/>
    <w:rsid w:val="0016186C"/>
    <w:rsid w:val="00193513"/>
    <w:rsid w:val="001B02D8"/>
    <w:rsid w:val="0032212C"/>
    <w:rsid w:val="006704D1"/>
    <w:rsid w:val="00820301"/>
    <w:rsid w:val="009A1D62"/>
    <w:rsid w:val="00A31D29"/>
    <w:rsid w:val="00B9668A"/>
    <w:rsid w:val="00BB5DCC"/>
    <w:rsid w:val="00C31942"/>
    <w:rsid w:val="00D2569B"/>
    <w:rsid w:val="00EB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3714F0-02E9-41E7-B4C4-6A37D18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942"/>
  </w:style>
  <w:style w:type="paragraph" w:styleId="Piedepgina">
    <w:name w:val="footer"/>
    <w:basedOn w:val="Normal"/>
    <w:link w:val="PiedepginaCar"/>
    <w:uiPriority w:val="99"/>
    <w:unhideWhenUsed/>
    <w:rsid w:val="00C31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4to%20trimestre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4to%20trimestre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4to%20trimestre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Espacios y mecanismos</a:t>
            </a:r>
            <a:r>
              <a:rPr lang="es-SV" b="1" baseline="0"/>
              <a:t> de Participación Ciudadana desarrollados en 4to. trimestre 2022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151714066334436E-2"/>
          <c:y val="0.15388054934525711"/>
          <c:w val="0.93684828593366554"/>
          <c:h val="0.485485254138825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'4to. trim 2022'!$B$1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'4to. trim 2022'!$A$2:$A$16</c:f>
              <c:strCache>
                <c:ptCount val="15"/>
                <c:pt idx="0">
                  <c:v>Asesoría teléfonica </c:v>
                </c:pt>
                <c:pt idx="1">
                  <c:v>Acompañamiento a titular</c:v>
                </c:pt>
                <c:pt idx="2">
                  <c:v>Actividad con Comité de Obra Pública</c:v>
                </c:pt>
                <c:pt idx="3">
                  <c:v>Atención a casos derivados de redes sociales</c:v>
                </c:pt>
                <c:pt idx="4">
                  <c:v>Atención a casos reportados por equipo GGS en WhatsApp</c:v>
                </c:pt>
                <c:pt idx="5">
                  <c:v>Reunión con empresas ejecutoras</c:v>
                </c:pt>
                <c:pt idx="6">
                  <c:v>Atención personalizada en oficina</c:v>
                </c:pt>
                <c:pt idx="7">
                  <c:v>Censos locales (focalizados)</c:v>
                </c:pt>
                <c:pt idx="8">
                  <c:v>Consultas ciudadanas</c:v>
                </c:pt>
                <c:pt idx="9">
                  <c:v>Inspección Técnica Social</c:v>
                </c:pt>
                <c:pt idx="10">
                  <c:v>Reunión virtual de trabajo</c:v>
                </c:pt>
                <c:pt idx="11">
                  <c:v>Reuniones con ADESCOS</c:v>
                </c:pt>
                <c:pt idx="12">
                  <c:v>Reunión con Gobernaciones</c:v>
                </c:pt>
                <c:pt idx="13">
                  <c:v>Resolución de conflictos</c:v>
                </c:pt>
                <c:pt idx="14">
                  <c:v>Reunión con municipalidades</c:v>
                </c:pt>
              </c:strCache>
            </c:strRef>
          </c:cat>
          <c:val>
            <c:numRef>
              <c:f>'4to. trim 2022'!$B$2:$B$16</c:f>
              <c:numCache>
                <c:formatCode>General</c:formatCode>
                <c:ptCount val="15"/>
                <c:pt idx="0">
                  <c:v>115</c:v>
                </c:pt>
                <c:pt idx="1">
                  <c:v>7</c:v>
                </c:pt>
                <c:pt idx="2">
                  <c:v>36</c:v>
                </c:pt>
                <c:pt idx="3">
                  <c:v>20</c:v>
                </c:pt>
                <c:pt idx="4">
                  <c:v>183</c:v>
                </c:pt>
                <c:pt idx="5">
                  <c:v>14</c:v>
                </c:pt>
                <c:pt idx="6">
                  <c:v>23</c:v>
                </c:pt>
                <c:pt idx="7">
                  <c:v>5</c:v>
                </c:pt>
                <c:pt idx="8">
                  <c:v>14</c:v>
                </c:pt>
                <c:pt idx="9">
                  <c:v>69</c:v>
                </c:pt>
                <c:pt idx="10">
                  <c:v>8</c:v>
                </c:pt>
                <c:pt idx="11">
                  <c:v>16</c:v>
                </c:pt>
                <c:pt idx="12">
                  <c:v>6</c:v>
                </c:pt>
                <c:pt idx="13">
                  <c:v>6</c:v>
                </c:pt>
                <c:pt idx="14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859024"/>
        <c:axId val="146855760"/>
        <c:axId val="0"/>
      </c:bar3DChart>
      <c:catAx>
        <c:axId val="14685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9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s-SV"/>
          </a:p>
        </c:txPr>
        <c:crossAx val="146855760"/>
        <c:crosses val="autoZero"/>
        <c:auto val="1"/>
        <c:lblAlgn val="ctr"/>
        <c:lblOffset val="100"/>
        <c:noMultiLvlLbl val="0"/>
      </c:catAx>
      <c:valAx>
        <c:axId val="14685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685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Total de espacios</a:t>
            </a:r>
            <a:r>
              <a:rPr lang="es-SV" b="1" baseline="0"/>
              <a:t> y mecanismos de Participación Ciudadana desarrollados en el 4to. trimestre 2022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'4to. trim 2022'!$B$67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'4to. trim 2022'!$A$68</c:f>
              <c:strCache>
                <c:ptCount val="1"/>
                <c:pt idx="0">
                  <c:v>Total de espacios y mecanismos desarrollados</c:v>
                </c:pt>
              </c:strCache>
            </c:strRef>
          </c:cat>
          <c:val>
            <c:numRef>
              <c:f>'4to. trim 2022'!$B$68</c:f>
              <c:numCache>
                <c:formatCode>General</c:formatCode>
                <c:ptCount val="1"/>
                <c:pt idx="0">
                  <c:v>262</c:v>
                </c:pt>
              </c:numCache>
            </c:numRef>
          </c:val>
        </c:ser>
        <c:ser>
          <c:idx val="1"/>
          <c:order val="1"/>
          <c:tx>
            <c:strRef>
              <c:f>'4to. trim 2022'!$C$67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'4to. trim 2022'!$A$68</c:f>
              <c:strCache>
                <c:ptCount val="1"/>
                <c:pt idx="0">
                  <c:v>Total de espacios y mecanismos desarrollados</c:v>
                </c:pt>
              </c:strCache>
            </c:strRef>
          </c:cat>
          <c:val>
            <c:numRef>
              <c:f>'4to. trim 2022'!$C$68</c:f>
              <c:numCache>
                <c:formatCode>General</c:formatCode>
                <c:ptCount val="1"/>
                <c:pt idx="0">
                  <c:v>187</c:v>
                </c:pt>
              </c:numCache>
            </c:numRef>
          </c:val>
        </c:ser>
        <c:ser>
          <c:idx val="2"/>
          <c:order val="2"/>
          <c:tx>
            <c:strRef>
              <c:f>'4to. trim 2022'!$D$67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'4to. trim 2022'!$A$68</c:f>
              <c:strCache>
                <c:ptCount val="1"/>
                <c:pt idx="0">
                  <c:v>Total de espacios y mecanismos desarrollados</c:v>
                </c:pt>
              </c:strCache>
            </c:strRef>
          </c:cat>
          <c:val>
            <c:numRef>
              <c:f>'4to. trim 2022'!$D$68</c:f>
              <c:numCache>
                <c:formatCode>General</c:formatCode>
                <c:ptCount val="1"/>
                <c:pt idx="0">
                  <c:v>99</c:v>
                </c:pt>
              </c:numCache>
            </c:numRef>
          </c:val>
        </c:ser>
        <c:ser>
          <c:idx val="3"/>
          <c:order val="3"/>
          <c:tx>
            <c:strRef>
              <c:f>'4to. trim 2022'!$E$67</c:f>
              <c:strCache>
                <c:ptCount val="1"/>
                <c:pt idx="0">
                  <c:v>Acumulado 4to. 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'4to. trim 2022'!$A$68</c:f>
              <c:strCache>
                <c:ptCount val="1"/>
                <c:pt idx="0">
                  <c:v>Total de espacios y mecanismos desarrollados</c:v>
                </c:pt>
              </c:strCache>
            </c:strRef>
          </c:cat>
          <c:val>
            <c:numRef>
              <c:f>'4to. trim 2022'!$E$68</c:f>
              <c:numCache>
                <c:formatCode>General</c:formatCode>
                <c:ptCount val="1"/>
                <c:pt idx="0">
                  <c:v>548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868272"/>
        <c:axId val="146865008"/>
      </c:barChart>
      <c:catAx>
        <c:axId val="1468682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6865008"/>
        <c:crosses val="autoZero"/>
        <c:auto val="1"/>
        <c:lblAlgn val="ctr"/>
        <c:lblOffset val="100"/>
        <c:noMultiLvlLbl val="0"/>
      </c:catAx>
      <c:valAx>
        <c:axId val="146865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686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304133858267717"/>
          <c:y val="0.89409667541557303"/>
          <c:w val="0.8569586614173228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'4to. trim 2022'!$A$83</c:f>
              <c:strCache>
                <c:ptCount val="1"/>
                <c:pt idx="0">
                  <c:v>Espacios y Mecanismos desarrollados en el 2022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50000"/>
                </a:schemeClr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'4to. trim 2022'!$B$82:$F$82</c:f>
              <c:strCache>
                <c:ptCount val="5"/>
                <c:pt idx="0">
                  <c:v>1er. Trimestre</c:v>
                </c:pt>
                <c:pt idx="1">
                  <c:v>2do. Trimestre</c:v>
                </c:pt>
                <c:pt idx="2">
                  <c:v>3er. Trimestre</c:v>
                </c:pt>
                <c:pt idx="3">
                  <c:v>4to. Trimestre</c:v>
                </c:pt>
                <c:pt idx="4">
                  <c:v>Total EMP en 2022</c:v>
                </c:pt>
              </c:strCache>
            </c:strRef>
          </c:cat>
          <c:val>
            <c:numRef>
              <c:f>'4to. trim 2022'!$B$83:$F$83</c:f>
              <c:numCache>
                <c:formatCode>General</c:formatCode>
                <c:ptCount val="5"/>
                <c:pt idx="0">
                  <c:v>516</c:v>
                </c:pt>
                <c:pt idx="1">
                  <c:v>207</c:v>
                </c:pt>
                <c:pt idx="2">
                  <c:v>686</c:v>
                </c:pt>
                <c:pt idx="3">
                  <c:v>548</c:v>
                </c:pt>
                <c:pt idx="4">
                  <c:v>1957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856848"/>
        <c:axId val="146868816"/>
      </c:lineChart>
      <c:catAx>
        <c:axId val="14685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6868816"/>
        <c:crosses val="autoZero"/>
        <c:auto val="1"/>
        <c:lblAlgn val="ctr"/>
        <c:lblOffset val="100"/>
        <c:noMultiLvlLbl val="0"/>
      </c:catAx>
      <c:valAx>
        <c:axId val="14686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6856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5</cp:revision>
  <dcterms:created xsi:type="dcterms:W3CDTF">2023-01-13T14:22:00Z</dcterms:created>
  <dcterms:modified xsi:type="dcterms:W3CDTF">2023-01-13T16:04:00Z</dcterms:modified>
</cp:coreProperties>
</file>