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960" w:rsidRDefault="00137960"/>
    <w:p w:rsidR="00180E43" w:rsidRPr="007D340A" w:rsidRDefault="007D340A" w:rsidP="007D340A">
      <w:pPr>
        <w:pStyle w:val="Ttulo1"/>
        <w:jc w:val="center"/>
        <w:rPr>
          <w:b/>
          <w:color w:val="auto"/>
        </w:rPr>
      </w:pPr>
      <w:r>
        <w:rPr>
          <w:b/>
          <w:color w:val="auto"/>
        </w:rPr>
        <w:t xml:space="preserve">INFORME DE </w:t>
      </w:r>
      <w:r w:rsidRPr="007D340A">
        <w:rPr>
          <w:b/>
          <w:color w:val="auto"/>
        </w:rPr>
        <w:t>MECANISMOS Y ESPACIOS DE PARTICIPACIÓN CIUDADANA</w:t>
      </w:r>
      <w:r>
        <w:rPr>
          <w:b/>
          <w:color w:val="auto"/>
        </w:rPr>
        <w:t xml:space="preserve"> DESARROLLADOS EN PRIMER TRIMESTRE 2022</w:t>
      </w:r>
    </w:p>
    <w:p w:rsidR="007D340A" w:rsidRDefault="007D340A" w:rsidP="007D340A"/>
    <w:p w:rsidR="007D340A" w:rsidRPr="007D340A" w:rsidRDefault="007D340A" w:rsidP="007D340A"/>
    <w:p w:rsidR="00A3360E" w:rsidRDefault="00934EC0" w:rsidP="007D340A">
      <w:pPr>
        <w:jc w:val="both"/>
      </w:pPr>
      <w:r>
        <w:t>La gestión socia</w:t>
      </w:r>
      <w:r w:rsidR="007D340A">
        <w:t xml:space="preserve">l </w:t>
      </w:r>
      <w:r>
        <w:t xml:space="preserve">desarrollada </w:t>
      </w:r>
      <w:r w:rsidR="007D340A">
        <w:t>en el primer trimestre del año 2022, implicó el desarrollo de los siguientes mecanismos y espacios en los que la ciudadanía tiene una participación en l</w:t>
      </w:r>
      <w:r w:rsidR="00BB4EA4">
        <w:t>a</w:t>
      </w:r>
      <w:r w:rsidR="007D340A">
        <w:t xml:space="preserve">s diferentes </w:t>
      </w:r>
      <w:r w:rsidR="00BB4EA4">
        <w:t xml:space="preserve">etapas </w:t>
      </w:r>
      <w:r w:rsidR="007D340A">
        <w:t>de</w:t>
      </w:r>
      <w:r w:rsidR="001C2055">
        <w:t xml:space="preserve"> </w:t>
      </w:r>
      <w:r w:rsidR="00BB4EA4">
        <w:t>l</w:t>
      </w:r>
      <w:r w:rsidR="001C2055">
        <w:t xml:space="preserve">a gestión </w:t>
      </w:r>
      <w:r w:rsidR="007D340A">
        <w:t>de la obra pública.</w:t>
      </w:r>
      <w:r w:rsidR="00425EB3">
        <w:t xml:space="preserve"> Se estima un contacto con </w:t>
      </w:r>
      <w:r w:rsidR="005D07CD">
        <w:t>2,</w:t>
      </w:r>
      <w:r w:rsidR="001E2081">
        <w:t>4</w:t>
      </w:r>
      <w:r w:rsidR="009F1C3F">
        <w:t>2</w:t>
      </w:r>
      <w:r w:rsidR="001E2081">
        <w:t xml:space="preserve">4 </w:t>
      </w:r>
      <w:r w:rsidR="005D07CD">
        <w:t>personas de las cuales es un 80% hombres.</w:t>
      </w:r>
    </w:p>
    <w:p w:rsidR="001E2081" w:rsidRDefault="00027428" w:rsidP="007D340A">
      <w:pPr>
        <w:jc w:val="both"/>
      </w:pPr>
      <w:r>
        <w:rPr>
          <w:noProof/>
          <w:lang w:eastAsia="es-SV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212090</wp:posOffset>
            </wp:positionH>
            <wp:positionV relativeFrom="paragraph">
              <wp:posOffset>224057</wp:posOffset>
            </wp:positionV>
            <wp:extent cx="5380355" cy="3278505"/>
            <wp:effectExtent l="0" t="0" r="10795" b="17145"/>
            <wp:wrapSquare wrapText="bothSides"/>
            <wp:docPr id="26" name="Gráfico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V relativeFrom="margin">
              <wp14:pctHeight>0</wp14:pctHeight>
            </wp14:sizeRelV>
          </wp:anchor>
        </w:drawing>
      </w:r>
    </w:p>
    <w:p w:rsidR="00027428" w:rsidRDefault="00027428" w:rsidP="00027428">
      <w:pPr>
        <w:jc w:val="both"/>
      </w:pPr>
      <w:r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212090</wp:posOffset>
                </wp:positionH>
                <wp:positionV relativeFrom="paragraph">
                  <wp:posOffset>3517265</wp:posOffset>
                </wp:positionV>
                <wp:extent cx="5379720" cy="1404620"/>
                <wp:effectExtent l="0" t="0" r="11430" b="2730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97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5BC1" w:rsidRDefault="007D340A" w:rsidP="00365BC1">
                            <w:pPr>
                              <w:jc w:val="both"/>
                            </w:pPr>
                            <w:r>
                              <w:t>La gráfica muestra el total de los espacios y mecanismos desarrollados mensualmente, durante e</w:t>
                            </w:r>
                            <w:r w:rsidR="00596F83">
                              <w:t>l primer trimestre de 2022.</w:t>
                            </w:r>
                            <w:r w:rsidR="00365BC1">
                              <w:t xml:space="preserve"> (Este dato no incluye las llamadas telefónicas directas del espacio “Teléfono abierto”).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6.7pt;margin-top:276.95pt;width:423.6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">
                <v:textbox style="mso-fit-shape-to-text:t">
                  <w:txbxContent>
                    <w:p w:rsidR="00365BC1" w:rsidRDefault="007D340A" w:rsidP="00365BC1">
                      <w:pPr>
                        <w:jc w:val="both"/>
                      </w:pPr>
                      <w:r>
                        <w:t>La gráfica muestra el total de los espacios y mecanismos desarrollados mensualmente, durante e</w:t>
                      </w:r>
                      <w:r w:rsidR="00596F83">
                        <w:t>l primer trimestre de 2022.</w:t>
                      </w:r>
                      <w:r w:rsidR="00365BC1">
                        <w:t xml:space="preserve"> (Este dato no incluye las llamadas telefónicas directas del espacio “Teléfono abierto”).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27428" w:rsidRDefault="00027428" w:rsidP="00027428">
      <w:pPr>
        <w:jc w:val="both"/>
      </w:pPr>
    </w:p>
    <w:p w:rsidR="00027428" w:rsidRDefault="00027428" w:rsidP="00027428">
      <w:pPr>
        <w:jc w:val="both"/>
      </w:pPr>
      <w:r>
        <w:br w:type="page"/>
      </w:r>
    </w:p>
    <w:p w:rsidR="00FE03F1" w:rsidRDefault="00FE03F1"/>
    <w:p w:rsidR="00A3360E" w:rsidRDefault="00025DC2">
      <w:r>
        <w:rPr>
          <w:noProof/>
          <w:lang w:eastAsia="es-SV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387985</wp:posOffset>
            </wp:positionH>
            <wp:positionV relativeFrom="paragraph">
              <wp:posOffset>89486</wp:posOffset>
            </wp:positionV>
            <wp:extent cx="5240020" cy="3462020"/>
            <wp:effectExtent l="0" t="0" r="17780" b="5080"/>
            <wp:wrapSquare wrapText="bothSides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</wp:anchor>
        </w:drawing>
      </w:r>
    </w:p>
    <w:p w:rsidR="00A3360E" w:rsidRDefault="00A3360E"/>
    <w:p w:rsidR="001E57B1" w:rsidRDefault="001E57B1">
      <w:pPr>
        <w:rPr>
          <w:rFonts w:ascii="Calibri" w:eastAsia="Times New Roman" w:hAnsi="Calibri" w:cs="Calibri"/>
          <w:color w:val="000000"/>
          <w:lang w:eastAsia="es-SV"/>
        </w:rPr>
      </w:pPr>
    </w:p>
    <w:p w:rsidR="00A3360E" w:rsidRDefault="00A3360E"/>
    <w:p w:rsidR="00025DC2" w:rsidRDefault="00025DC2"/>
    <w:p w:rsidR="00025DC2" w:rsidRDefault="00025DC2"/>
    <w:p w:rsidR="00025DC2" w:rsidRDefault="00025DC2"/>
    <w:p w:rsidR="00025DC2" w:rsidRDefault="00025DC2"/>
    <w:p w:rsidR="00025DC2" w:rsidRDefault="00025DC2"/>
    <w:p w:rsidR="00025DC2" w:rsidRDefault="00025DC2"/>
    <w:p w:rsidR="00025DC2" w:rsidRDefault="00025DC2"/>
    <w:p w:rsidR="00025DC2" w:rsidRDefault="00025DC2"/>
    <w:p w:rsidR="00025DC2" w:rsidRDefault="00025DC2">
      <w:r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07000FE" wp14:editId="43E30097">
                <wp:simplePos x="0" y="0"/>
                <wp:positionH relativeFrom="column">
                  <wp:posOffset>308610</wp:posOffset>
                </wp:positionH>
                <wp:positionV relativeFrom="paragraph">
                  <wp:posOffset>435610</wp:posOffset>
                </wp:positionV>
                <wp:extent cx="5318760" cy="1450340"/>
                <wp:effectExtent l="0" t="0" r="15240" b="1651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8760" cy="145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2E4" w:rsidRDefault="00EB12E4" w:rsidP="00AF67C8">
                            <w:pPr>
                              <w:jc w:val="both"/>
                            </w:pPr>
                            <w:r>
                              <w:t xml:space="preserve">La gráfica muestra </w:t>
                            </w:r>
                            <w:r w:rsidRPr="009F1C3F">
                              <w:rPr>
                                <w:b/>
                              </w:rPr>
                              <w:t xml:space="preserve">el total de los </w:t>
                            </w:r>
                            <w:r w:rsidR="00921062" w:rsidRPr="009F1C3F">
                              <w:rPr>
                                <w:b/>
                              </w:rPr>
                              <w:t xml:space="preserve">mecanismos </w:t>
                            </w:r>
                            <w:r>
                              <w:t>desarrollados mensualmente, durante el primer trimestre de 2022, haciendo un total de</w:t>
                            </w:r>
                            <w:r w:rsidR="00921062">
                              <w:t xml:space="preserve"> </w:t>
                            </w:r>
                            <w:r w:rsidR="00921062" w:rsidRPr="009F1C3F">
                              <w:rPr>
                                <w:b/>
                              </w:rPr>
                              <w:t>3</w:t>
                            </w:r>
                            <w:r w:rsidR="00025DC2" w:rsidRPr="009F1C3F">
                              <w:rPr>
                                <w:b/>
                              </w:rPr>
                              <w:t>5</w:t>
                            </w:r>
                            <w:r w:rsidR="00921062" w:rsidRPr="009F1C3F">
                              <w:rPr>
                                <w:b/>
                              </w:rPr>
                              <w:t>.</w:t>
                            </w:r>
                            <w:r>
                              <w:t xml:space="preserve"> </w:t>
                            </w:r>
                            <w:r w:rsidR="00921062">
                              <w:t>Se incluye</w:t>
                            </w:r>
                            <w:r w:rsidR="002F3093">
                              <w:t>n</w:t>
                            </w:r>
                            <w:r w:rsidR="00921062">
                              <w:t xml:space="preserve"> grupos de WhatsApp</w:t>
                            </w:r>
                            <w:r w:rsidR="009A4F9C">
                              <w:t>, con los cuales se mantiene una comunicación permanente para el monitoreo de los trabajos que el MOPT realiza en sus comunidades, complementa</w:t>
                            </w:r>
                            <w:r w:rsidR="002F3093">
                              <w:t>n</w:t>
                            </w:r>
                            <w:r w:rsidR="00365BC1">
                              <w:t>do</w:t>
                            </w:r>
                            <w:r w:rsidR="009A4F9C">
                              <w:t xml:space="preserve"> las reuniones in situ que se tienen con los Comité de Obra Pública. En el trimestre se realizaron dos consultas ciudadanas </w:t>
                            </w:r>
                            <w:r w:rsidR="00AF67C8">
                              <w:t>sobre</w:t>
                            </w:r>
                            <w:r w:rsidR="00365BC1">
                              <w:t>:</w:t>
                            </w:r>
                            <w:r w:rsidR="00AF67C8">
                              <w:t xml:space="preserve"> </w:t>
                            </w:r>
                            <w:r w:rsidR="002371AE" w:rsidRPr="001E57B1">
                              <w:rPr>
                                <w:rFonts w:ascii="Calibri" w:eastAsia="Times New Roman" w:hAnsi="Calibri" w:cs="Calibri"/>
                                <w:color w:val="000000"/>
                                <w:lang w:eastAsia="es-SV"/>
                              </w:rPr>
                              <w:t>puente Manuel José Arce en cantón la Hachadura,</w:t>
                            </w:r>
                            <w:r w:rsidR="002371AE">
                              <w:rPr>
                                <w:rFonts w:ascii="Calibri" w:eastAsia="Times New Roman" w:hAnsi="Calibri" w:cs="Calibri"/>
                                <w:color w:val="000000"/>
                                <w:lang w:eastAsia="es-SV"/>
                              </w:rPr>
                              <w:t xml:space="preserve"> Ahuachapán</w:t>
                            </w:r>
                            <w:r w:rsidR="00AF67C8">
                              <w:t xml:space="preserve">, y </w:t>
                            </w:r>
                            <w:r w:rsidR="00365BC1">
                              <w:t xml:space="preserve">sobre </w:t>
                            </w:r>
                            <w:r w:rsidR="00AF67C8">
                              <w:t>obra de Mitigación</w:t>
                            </w:r>
                            <w:r w:rsidR="002371AE">
                              <w:t xml:space="preserve"> en reparto las cañas Ilopango, </w:t>
                            </w:r>
                            <w:r w:rsidR="00AF67C8">
                              <w:t>San Salvador.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000FE" id="_x0000_s1027" type="#_x0000_t202" style="position:absolute;margin-left:24.3pt;margin-top:34.3pt;width:418.8pt;height:114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">
                <v:textbox>
                  <w:txbxContent>
                    <w:p w:rsidR="00EB12E4" w:rsidRDefault="00EB12E4" w:rsidP="00AF67C8">
                      <w:pPr>
                        <w:jc w:val="both"/>
                      </w:pPr>
                      <w:r>
                        <w:t xml:space="preserve">La gráfica muestra </w:t>
                      </w:r>
                      <w:r w:rsidRPr="009F1C3F">
                        <w:rPr>
                          <w:b/>
                        </w:rPr>
                        <w:t xml:space="preserve">el total de los </w:t>
                      </w:r>
                      <w:r w:rsidR="00921062" w:rsidRPr="009F1C3F">
                        <w:rPr>
                          <w:b/>
                        </w:rPr>
                        <w:t xml:space="preserve">mecanismos </w:t>
                      </w:r>
                      <w:r>
                        <w:t>desarrollados mensualmente, durante el primer trimestre de 2022, haciendo un total de</w:t>
                      </w:r>
                      <w:r w:rsidR="00921062">
                        <w:t xml:space="preserve"> </w:t>
                      </w:r>
                      <w:r w:rsidR="00921062" w:rsidRPr="009F1C3F">
                        <w:rPr>
                          <w:b/>
                        </w:rPr>
                        <w:t>3</w:t>
                      </w:r>
                      <w:r w:rsidR="00025DC2" w:rsidRPr="009F1C3F">
                        <w:rPr>
                          <w:b/>
                        </w:rPr>
                        <w:t>5</w:t>
                      </w:r>
                      <w:r w:rsidR="00921062" w:rsidRPr="009F1C3F">
                        <w:rPr>
                          <w:b/>
                        </w:rPr>
                        <w:t>.</w:t>
                      </w:r>
                      <w:r>
                        <w:t xml:space="preserve"> </w:t>
                      </w:r>
                      <w:r w:rsidR="00921062">
                        <w:t>Se incluye</w:t>
                      </w:r>
                      <w:r w:rsidR="002F3093">
                        <w:t>n</w:t>
                      </w:r>
                      <w:r w:rsidR="00921062">
                        <w:t xml:space="preserve"> grupos de WhatsApp</w:t>
                      </w:r>
                      <w:r w:rsidR="009A4F9C">
                        <w:t>, con los cuales se mantiene una comunicación permanente para el monitoreo de los trabajos que el MOPT realiza en sus comunidades, complementa</w:t>
                      </w:r>
                      <w:r w:rsidR="002F3093">
                        <w:t>n</w:t>
                      </w:r>
                      <w:r w:rsidR="00365BC1">
                        <w:t>do</w:t>
                      </w:r>
                      <w:r w:rsidR="009A4F9C">
                        <w:t xml:space="preserve"> las reuniones in situ que se tienen con los Comité de Obra Pública. En el trimestre se realizaron dos consultas ciudadanas </w:t>
                      </w:r>
                      <w:r w:rsidR="00AF67C8">
                        <w:t>sobre</w:t>
                      </w:r>
                      <w:r w:rsidR="00365BC1">
                        <w:t>:</w:t>
                      </w:r>
                      <w:r w:rsidR="00AF67C8">
                        <w:t xml:space="preserve"> </w:t>
                      </w:r>
                      <w:r w:rsidR="002371AE" w:rsidRPr="001E57B1">
                        <w:rPr>
                          <w:rFonts w:ascii="Calibri" w:eastAsia="Times New Roman" w:hAnsi="Calibri" w:cs="Calibri"/>
                          <w:color w:val="000000"/>
                          <w:lang w:eastAsia="es-SV"/>
                        </w:rPr>
                        <w:t xml:space="preserve">puente Manuel José Arce en cantón la </w:t>
                      </w:r>
                      <w:proofErr w:type="spellStart"/>
                      <w:r w:rsidR="002371AE" w:rsidRPr="001E57B1">
                        <w:rPr>
                          <w:rFonts w:ascii="Calibri" w:eastAsia="Times New Roman" w:hAnsi="Calibri" w:cs="Calibri"/>
                          <w:color w:val="000000"/>
                          <w:lang w:eastAsia="es-SV"/>
                        </w:rPr>
                        <w:t>Hachadura</w:t>
                      </w:r>
                      <w:proofErr w:type="spellEnd"/>
                      <w:r w:rsidR="002371AE" w:rsidRPr="001E57B1">
                        <w:rPr>
                          <w:rFonts w:ascii="Calibri" w:eastAsia="Times New Roman" w:hAnsi="Calibri" w:cs="Calibri"/>
                          <w:color w:val="000000"/>
                          <w:lang w:eastAsia="es-SV"/>
                        </w:rPr>
                        <w:t>,</w:t>
                      </w:r>
                      <w:r w:rsidR="002371AE">
                        <w:rPr>
                          <w:rFonts w:ascii="Calibri" w:eastAsia="Times New Roman" w:hAnsi="Calibri" w:cs="Calibri"/>
                          <w:color w:val="000000"/>
                          <w:lang w:eastAsia="es-SV"/>
                        </w:rPr>
                        <w:t xml:space="preserve"> Ahuachapán</w:t>
                      </w:r>
                      <w:r w:rsidR="00AF67C8">
                        <w:t xml:space="preserve">, y </w:t>
                      </w:r>
                      <w:r w:rsidR="00365BC1">
                        <w:t xml:space="preserve">sobre </w:t>
                      </w:r>
                      <w:r w:rsidR="00AF67C8">
                        <w:t>obra de Mitigación</w:t>
                      </w:r>
                      <w:r w:rsidR="002371AE">
                        <w:t xml:space="preserve"> en reparto las cañas Ilopango, </w:t>
                      </w:r>
                      <w:r w:rsidR="00AF67C8">
                        <w:t>San Salvador.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25DC2" w:rsidRDefault="00025DC2"/>
    <w:p w:rsidR="00025DC2" w:rsidRDefault="00025DC2"/>
    <w:p w:rsidR="001E57B1" w:rsidRPr="001E57B1" w:rsidRDefault="00AF67C8" w:rsidP="001E57B1">
      <w:pPr>
        <w:rPr>
          <w:rFonts w:ascii="Calibri" w:eastAsia="Times New Roman" w:hAnsi="Calibri" w:cs="Calibri"/>
          <w:color w:val="000000"/>
          <w:lang w:eastAsia="es-SV"/>
        </w:rPr>
      </w:pPr>
      <w:r>
        <w:br w:type="page"/>
      </w:r>
    </w:p>
    <w:p w:rsidR="00AF67C8" w:rsidRDefault="00AF67C8"/>
    <w:p w:rsidR="00A3360E" w:rsidRDefault="001E2081">
      <w:r>
        <w:rPr>
          <w:noProof/>
          <w:lang w:eastAsia="es-SV"/>
        </w:rPr>
        <w:drawing>
          <wp:inline distT="0" distB="0" distL="0" distR="0" wp14:anchorId="2F98B1C8" wp14:editId="7DA959F6">
            <wp:extent cx="5794033" cy="4272915"/>
            <wp:effectExtent l="0" t="0" r="16510" b="13335"/>
            <wp:docPr id="24" name="Gráfico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3360E" w:rsidRDefault="009F1C3F">
      <w:r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727682E" wp14:editId="7DD47696">
                <wp:simplePos x="0" y="0"/>
                <wp:positionH relativeFrom="column">
                  <wp:posOffset>247015</wp:posOffset>
                </wp:positionH>
                <wp:positionV relativeFrom="paragraph">
                  <wp:posOffset>245110</wp:posOffset>
                </wp:positionV>
                <wp:extent cx="5477510" cy="465455"/>
                <wp:effectExtent l="0" t="0" r="27940" b="10795"/>
                <wp:wrapSquare wrapText="bothSides"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7510" cy="465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7C8" w:rsidRDefault="00365BC1" w:rsidP="00AF67C8">
                            <w:pPr>
                              <w:jc w:val="both"/>
                            </w:pPr>
                            <w:r>
                              <w:t xml:space="preserve">La gráfica muestra el total </w:t>
                            </w:r>
                            <w:r w:rsidR="00AF67C8">
                              <w:t xml:space="preserve">de </w:t>
                            </w:r>
                            <w:r>
                              <w:t xml:space="preserve">cada uno de </w:t>
                            </w:r>
                            <w:r w:rsidR="009F1C3F">
                              <w:t xml:space="preserve">siete </w:t>
                            </w:r>
                            <w:r w:rsidR="00AF67C8" w:rsidRPr="009F1C3F">
                              <w:rPr>
                                <w:b/>
                              </w:rPr>
                              <w:t>espacios de participación ciudadana</w:t>
                            </w:r>
                            <w:r w:rsidR="00AF67C8">
                              <w:t xml:space="preserve"> desarrollados</w:t>
                            </w:r>
                            <w:r>
                              <w:t xml:space="preserve"> </w:t>
                            </w:r>
                            <w:r w:rsidR="00AF67C8">
                              <w:t xml:space="preserve">durante el primer trimestre de 2022, haciendo un </w:t>
                            </w:r>
                            <w:r w:rsidR="00AF67C8" w:rsidRPr="009F1C3F">
                              <w:rPr>
                                <w:b/>
                              </w:rPr>
                              <w:t>total de 4</w:t>
                            </w:r>
                            <w:r w:rsidR="005954F0" w:rsidRPr="009F1C3F">
                              <w:rPr>
                                <w:b/>
                              </w:rPr>
                              <w:t>81</w:t>
                            </w:r>
                            <w:r w:rsidR="00AF67C8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7682E" id="_x0000_s1028" type="#_x0000_t202" style="position:absolute;margin-left:19.45pt;margin-top:19.3pt;width:431.3pt;height:36.6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">
                <v:textbox>
                  <w:txbxContent>
                    <w:p w:rsidR="00AF67C8" w:rsidRDefault="00365BC1" w:rsidP="00AF67C8">
                      <w:pPr>
                        <w:jc w:val="both"/>
                      </w:pPr>
                      <w:r>
                        <w:t xml:space="preserve">La gráfica muestra el total </w:t>
                      </w:r>
                      <w:r w:rsidR="00AF67C8">
                        <w:t xml:space="preserve">de </w:t>
                      </w:r>
                      <w:r>
                        <w:t xml:space="preserve">cada uno de </w:t>
                      </w:r>
                      <w:r w:rsidR="009F1C3F">
                        <w:t xml:space="preserve">siete </w:t>
                      </w:r>
                      <w:r w:rsidR="00AF67C8" w:rsidRPr="009F1C3F">
                        <w:rPr>
                          <w:b/>
                        </w:rPr>
                        <w:t>espacios de participación ciudadana</w:t>
                      </w:r>
                      <w:r w:rsidR="00AF67C8">
                        <w:t xml:space="preserve"> desarrollados</w:t>
                      </w:r>
                      <w:r>
                        <w:t xml:space="preserve"> </w:t>
                      </w:r>
                      <w:r w:rsidR="00AF67C8">
                        <w:t xml:space="preserve">durante el primer trimestre de 2022, haciendo un </w:t>
                      </w:r>
                      <w:r w:rsidR="00AF67C8" w:rsidRPr="009F1C3F">
                        <w:rPr>
                          <w:b/>
                        </w:rPr>
                        <w:t>total de 4</w:t>
                      </w:r>
                      <w:r w:rsidR="005954F0" w:rsidRPr="009F1C3F">
                        <w:rPr>
                          <w:b/>
                        </w:rPr>
                        <w:t>81</w:t>
                      </w:r>
                      <w:r w:rsidR="00AF67C8"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65BC1" w:rsidRDefault="00365BC1"/>
    <w:p w:rsidR="00365BC1" w:rsidRDefault="00365BC1"/>
    <w:p w:rsidR="00365BC1" w:rsidRDefault="00365BC1"/>
    <w:p w:rsidR="00365BC1" w:rsidRDefault="00365BC1"/>
    <w:p w:rsidR="00AF67C8" w:rsidRDefault="00AF67C8">
      <w:r>
        <w:br w:type="page"/>
      </w:r>
    </w:p>
    <w:p w:rsidR="006474C1" w:rsidRDefault="006474C1">
      <w:r>
        <w:rPr>
          <w:noProof/>
          <w:lang w:eastAsia="es-SV"/>
        </w:rPr>
        <w:lastRenderedPageBreak/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177165</wp:posOffset>
            </wp:positionH>
            <wp:positionV relativeFrom="paragraph">
              <wp:posOffset>236855</wp:posOffset>
            </wp:positionV>
            <wp:extent cx="5617845" cy="3754120"/>
            <wp:effectExtent l="0" t="0" r="1905" b="17780"/>
            <wp:wrapSquare wrapText="bothSides"/>
            <wp:docPr id="27" name="Gráfico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474C1" w:rsidRDefault="006474C1">
      <w:r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71D0140" wp14:editId="6EC5C41F">
                <wp:simplePos x="0" y="0"/>
                <wp:positionH relativeFrom="column">
                  <wp:posOffset>177165</wp:posOffset>
                </wp:positionH>
                <wp:positionV relativeFrom="paragraph">
                  <wp:posOffset>4065905</wp:posOffset>
                </wp:positionV>
                <wp:extent cx="5617845" cy="2918460"/>
                <wp:effectExtent l="0" t="0" r="20955" b="1524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7845" cy="2918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18A3" w:rsidRDefault="00AA18A3" w:rsidP="0056232C">
                            <w:pPr>
                              <w:jc w:val="both"/>
                            </w:pPr>
                            <w:r>
                              <w:t xml:space="preserve">La gráfica muestra el total </w:t>
                            </w:r>
                            <w:r w:rsidR="00365BC1">
                              <w:t xml:space="preserve">mensual </w:t>
                            </w:r>
                            <w:r>
                              <w:t xml:space="preserve">de acciones </w:t>
                            </w:r>
                            <w:r w:rsidR="0056232C">
                              <w:t xml:space="preserve">vía </w:t>
                            </w:r>
                            <w:r>
                              <w:t xml:space="preserve">teléfono en lo </w:t>
                            </w:r>
                            <w:r w:rsidR="0056232C">
                              <w:t>siguiente: Atención de casos reportados vía redes MOPT, seguimiento a casos por el equipo de trabajo DGS y/o monitoreo de proyectos, coordinación con otras instituciones</w:t>
                            </w:r>
                            <w:r w:rsidR="00596F83">
                              <w:t xml:space="preserve"> </w:t>
                            </w:r>
                            <w:r w:rsidR="0056232C">
                              <w:t>(MIVI, ANDA, Protección Civil, PNC, etc.) para resolver casos</w:t>
                            </w:r>
                            <w:r w:rsidR="00596F83">
                              <w:t xml:space="preserve">, atención de quejas, reclamos, </w:t>
                            </w:r>
                            <w:r w:rsidR="0056232C">
                              <w:t xml:space="preserve">emergencias, </w:t>
                            </w:r>
                            <w:r w:rsidR="00596F83">
                              <w:t>desarrollo de r</w:t>
                            </w:r>
                            <w:r w:rsidR="0056232C">
                              <w:t xml:space="preserve">euniones </w:t>
                            </w:r>
                            <w:r w:rsidR="00596F83">
                              <w:t>v</w:t>
                            </w:r>
                            <w:r w:rsidR="0056232C">
                              <w:t>irtuales</w:t>
                            </w:r>
                            <w:r w:rsidR="00596F83">
                              <w:t>.</w:t>
                            </w:r>
                          </w:p>
                          <w:p w:rsidR="002C7739" w:rsidRDefault="00365BC1" w:rsidP="00AA18A3">
                            <w:pPr>
                              <w:jc w:val="both"/>
                            </w:pPr>
                            <w:r>
                              <w:t xml:space="preserve">No se incluye </w:t>
                            </w:r>
                            <w:r w:rsidR="003272FC">
                              <w:t>a</w:t>
                            </w:r>
                            <w:r w:rsidR="00AC1055">
                              <w:t xml:space="preserve">l </w:t>
                            </w:r>
                            <w:r w:rsidR="003272FC">
                              <w:t>resultado</w:t>
                            </w:r>
                            <w:r w:rsidR="00AC1055">
                              <w:t xml:space="preserve"> de la gráfica</w:t>
                            </w:r>
                            <w:r>
                              <w:t xml:space="preserve">; </w:t>
                            </w:r>
                            <w:r w:rsidR="003272FC">
                              <w:t xml:space="preserve">las llamadas directas por teléfonos celulares asignados a cada persona </w:t>
                            </w:r>
                            <w:r w:rsidR="00B96EDB">
                              <w:t>del equipo de Gestión Social y</w:t>
                            </w:r>
                            <w:r w:rsidR="002C7739">
                              <w:t>/o</w:t>
                            </w:r>
                            <w:r w:rsidR="00B96EDB">
                              <w:t xml:space="preserve"> líneas fijas. </w:t>
                            </w:r>
                            <w:r w:rsidR="002C7739">
                              <w:t>(Para no exceder los datos).</w:t>
                            </w:r>
                          </w:p>
                          <w:p w:rsidR="00CB316C" w:rsidRDefault="00596F83" w:rsidP="00AA18A3">
                            <w:pPr>
                              <w:jc w:val="both"/>
                            </w:pPr>
                            <w:r>
                              <w:t xml:space="preserve">En el caso de las llamadas directas, se hace un promedio de </w:t>
                            </w:r>
                            <w:r w:rsidR="00CB316C">
                              <w:t>4</w:t>
                            </w:r>
                            <w:r>
                              <w:t xml:space="preserve"> llamadas </w:t>
                            </w:r>
                            <w:r w:rsidR="00CB316C">
                              <w:t>para la planificación y/o coordinación de</w:t>
                            </w:r>
                            <w:r w:rsidR="00B96EDB">
                              <w:t>l trabajo, d</w:t>
                            </w:r>
                            <w:r w:rsidR="00CB316C">
                              <w:t>e</w:t>
                            </w:r>
                            <w:r w:rsidR="00AC1055">
                              <w:t xml:space="preserve">l </w:t>
                            </w:r>
                            <w:r w:rsidR="00CB316C">
                              <w:t xml:space="preserve">total de </w:t>
                            </w:r>
                            <w:r w:rsidR="00ED1C42">
                              <w:t>5</w:t>
                            </w:r>
                            <w:r w:rsidR="009F1C3F">
                              <w:t>16</w:t>
                            </w:r>
                            <w:r w:rsidR="00B96EDB">
                              <w:t xml:space="preserve"> mecanismos y espacios de participación ciudadana</w:t>
                            </w:r>
                            <w:r w:rsidR="00CB316C">
                              <w:t xml:space="preserve">, se estarían realizando aproximadamente </w:t>
                            </w:r>
                            <w:r w:rsidR="00ED1C42">
                              <w:t>2</w:t>
                            </w:r>
                            <w:r w:rsidR="00CB316C">
                              <w:t>,</w:t>
                            </w:r>
                            <w:r w:rsidR="009F1C3F">
                              <w:t>064</w:t>
                            </w:r>
                            <w:r w:rsidR="00CB316C">
                              <w:t xml:space="preserve"> en el trimestre.</w:t>
                            </w:r>
                          </w:p>
                          <w:p w:rsidR="003272FC" w:rsidRDefault="00AC1055" w:rsidP="00AA18A3">
                            <w:pPr>
                              <w:jc w:val="both"/>
                            </w:pPr>
                            <w:r>
                              <w:t xml:space="preserve">En este mismo periodo, </w:t>
                            </w:r>
                            <w:r w:rsidR="003272FC">
                              <w:t xml:space="preserve">se recibieron 115 solicitudes por escrito, lo que implica dos llamadas como mínimo por cada </w:t>
                            </w:r>
                            <w:r w:rsidR="00B96EDB">
                              <w:t>una, haciendo u</w:t>
                            </w:r>
                            <w:r w:rsidR="003272FC">
                              <w:t>n aproximado de 230 llamadas</w:t>
                            </w:r>
                            <w:r>
                              <w:t xml:space="preserve"> se ha</w:t>
                            </w:r>
                            <w:r w:rsidR="00B96EDB">
                              <w:t>n</w:t>
                            </w:r>
                            <w:r>
                              <w:t xml:space="preserve"> realizado </w:t>
                            </w:r>
                            <w:r w:rsidR="003272FC">
                              <w:t xml:space="preserve">para dar seguimiento a las solicitudes recibidas por escrito. Haciendo un total </w:t>
                            </w:r>
                            <w:r>
                              <w:t>genera</w:t>
                            </w:r>
                            <w:r w:rsidR="00931CA2">
                              <w:t>l de</w:t>
                            </w:r>
                            <w:r>
                              <w:t xml:space="preserve"> </w:t>
                            </w:r>
                            <w:r w:rsidR="00931CA2" w:rsidRPr="003272FC">
                              <w:rPr>
                                <w:b/>
                              </w:rPr>
                              <w:t>2,</w:t>
                            </w:r>
                            <w:r w:rsidR="009F1C3F">
                              <w:rPr>
                                <w:b/>
                              </w:rPr>
                              <w:t>294</w:t>
                            </w:r>
                            <w:r w:rsidR="00931CA2">
                              <w:rPr>
                                <w:b/>
                              </w:rPr>
                              <w:t xml:space="preserve"> </w:t>
                            </w:r>
                            <w:r w:rsidR="00931CA2">
                              <w:t>llamadas directas.</w:t>
                            </w:r>
                          </w:p>
                          <w:p w:rsidR="003272FC" w:rsidRDefault="003272FC" w:rsidP="00AA18A3">
                            <w:pPr>
                              <w:jc w:val="both"/>
                            </w:pPr>
                          </w:p>
                          <w:p w:rsidR="003272FC" w:rsidRDefault="003272FC" w:rsidP="00AA18A3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D0140" id="_x0000_s1029" type="#_x0000_t202" style="position:absolute;margin-left:13.95pt;margin-top:320.15pt;width:442.35pt;height:229.8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">
                <v:textbox>
                  <w:txbxContent>
                    <w:p w:rsidR="00AA18A3" w:rsidRDefault="00AA18A3" w:rsidP="0056232C">
                      <w:pPr>
                        <w:jc w:val="both"/>
                      </w:pPr>
                      <w:r>
                        <w:t xml:space="preserve">La gráfica muestra el total </w:t>
                      </w:r>
                      <w:r w:rsidR="00365BC1">
                        <w:t xml:space="preserve">mensual </w:t>
                      </w:r>
                      <w:r>
                        <w:t xml:space="preserve">de acciones </w:t>
                      </w:r>
                      <w:r w:rsidR="0056232C">
                        <w:t xml:space="preserve">vía </w:t>
                      </w:r>
                      <w:r>
                        <w:t xml:space="preserve">teléfono en lo </w:t>
                      </w:r>
                      <w:r w:rsidR="0056232C">
                        <w:t>siguiente: Atención de casos reportados vía redes MOPT, seguimiento a casos por el equipo de trabajo DGS y/o monitoreo de proyectos, coordinación con otras instituciones</w:t>
                      </w:r>
                      <w:r w:rsidR="00596F83">
                        <w:t xml:space="preserve"> </w:t>
                      </w:r>
                      <w:r w:rsidR="0056232C">
                        <w:t>(MIVI, ANDA, Protección Civil, PNC, etc.) para resolver casos</w:t>
                      </w:r>
                      <w:r w:rsidR="00596F83">
                        <w:t xml:space="preserve">, atención de quejas, reclamos, </w:t>
                      </w:r>
                      <w:r w:rsidR="0056232C">
                        <w:t xml:space="preserve">emergencias, </w:t>
                      </w:r>
                      <w:r w:rsidR="00596F83">
                        <w:t>desarrollo de r</w:t>
                      </w:r>
                      <w:r w:rsidR="0056232C">
                        <w:t xml:space="preserve">euniones </w:t>
                      </w:r>
                      <w:r w:rsidR="00596F83">
                        <w:t>v</w:t>
                      </w:r>
                      <w:r w:rsidR="0056232C">
                        <w:t>irtuales</w:t>
                      </w:r>
                      <w:r w:rsidR="00596F83">
                        <w:t>.</w:t>
                      </w:r>
                    </w:p>
                    <w:p w:rsidR="002C7739" w:rsidRDefault="00365BC1" w:rsidP="00AA18A3">
                      <w:pPr>
                        <w:jc w:val="both"/>
                      </w:pPr>
                      <w:r>
                        <w:t xml:space="preserve">No se incluye </w:t>
                      </w:r>
                      <w:r w:rsidR="003272FC">
                        <w:t>a</w:t>
                      </w:r>
                      <w:r w:rsidR="00AC1055">
                        <w:t xml:space="preserve">l </w:t>
                      </w:r>
                      <w:r w:rsidR="003272FC">
                        <w:t>resultado</w:t>
                      </w:r>
                      <w:r w:rsidR="00AC1055">
                        <w:t xml:space="preserve"> de la gráfica</w:t>
                      </w:r>
                      <w:r>
                        <w:t xml:space="preserve">; </w:t>
                      </w:r>
                      <w:r w:rsidR="003272FC">
                        <w:t xml:space="preserve">las llamadas directas por teléfonos celulares asignados a cada persona </w:t>
                      </w:r>
                      <w:r w:rsidR="00B96EDB">
                        <w:t>del equipo de Gestión Social y</w:t>
                      </w:r>
                      <w:r w:rsidR="002C7739">
                        <w:t>/o</w:t>
                      </w:r>
                      <w:r w:rsidR="00B96EDB">
                        <w:t xml:space="preserve"> líneas fijas. </w:t>
                      </w:r>
                      <w:r w:rsidR="002C7739">
                        <w:t>(Para no exceder los datos).</w:t>
                      </w:r>
                    </w:p>
                    <w:p w:rsidR="00CB316C" w:rsidRDefault="00596F83" w:rsidP="00AA18A3">
                      <w:pPr>
                        <w:jc w:val="both"/>
                      </w:pPr>
                      <w:r>
                        <w:t xml:space="preserve">En el caso de las llamadas directas, se hace un promedio de </w:t>
                      </w:r>
                      <w:r w:rsidR="00CB316C">
                        <w:t>4</w:t>
                      </w:r>
                      <w:r>
                        <w:t xml:space="preserve"> llamadas </w:t>
                      </w:r>
                      <w:r w:rsidR="00CB316C">
                        <w:t>para la planificación y/o coordinación de</w:t>
                      </w:r>
                      <w:r w:rsidR="00B96EDB">
                        <w:t>l trabajo, d</w:t>
                      </w:r>
                      <w:r w:rsidR="00CB316C">
                        <w:t>e</w:t>
                      </w:r>
                      <w:r w:rsidR="00AC1055">
                        <w:t xml:space="preserve">l </w:t>
                      </w:r>
                      <w:r w:rsidR="00CB316C">
                        <w:t xml:space="preserve">total de </w:t>
                      </w:r>
                      <w:r w:rsidR="00ED1C42">
                        <w:t>5</w:t>
                      </w:r>
                      <w:r w:rsidR="009F1C3F">
                        <w:t>16</w:t>
                      </w:r>
                      <w:r w:rsidR="00B96EDB">
                        <w:t xml:space="preserve"> mecanismos y espacios de participación ciudadana</w:t>
                      </w:r>
                      <w:r w:rsidR="00CB316C">
                        <w:t xml:space="preserve">, se estarían realizando aproximadamente </w:t>
                      </w:r>
                      <w:r w:rsidR="00ED1C42">
                        <w:t>2</w:t>
                      </w:r>
                      <w:r w:rsidR="00CB316C">
                        <w:t>,</w:t>
                      </w:r>
                      <w:r w:rsidR="009F1C3F">
                        <w:t>064</w:t>
                      </w:r>
                      <w:r w:rsidR="00CB316C">
                        <w:t xml:space="preserve"> en el trimestre.</w:t>
                      </w:r>
                    </w:p>
                    <w:p w:rsidR="003272FC" w:rsidRDefault="00AC1055" w:rsidP="00AA18A3">
                      <w:pPr>
                        <w:jc w:val="both"/>
                      </w:pPr>
                      <w:r>
                        <w:t xml:space="preserve">En este mismo periodo, </w:t>
                      </w:r>
                      <w:r w:rsidR="003272FC">
                        <w:t xml:space="preserve">se recibieron 115 solicitudes por escrito, lo que implica dos llamadas como mínimo por cada </w:t>
                      </w:r>
                      <w:r w:rsidR="00B96EDB">
                        <w:t>una, haciendo u</w:t>
                      </w:r>
                      <w:r w:rsidR="003272FC">
                        <w:t>n aproximado de 230 llamadas</w:t>
                      </w:r>
                      <w:r>
                        <w:t xml:space="preserve"> se ha</w:t>
                      </w:r>
                      <w:r w:rsidR="00B96EDB">
                        <w:t>n</w:t>
                      </w:r>
                      <w:r>
                        <w:t xml:space="preserve"> realizado </w:t>
                      </w:r>
                      <w:r w:rsidR="003272FC">
                        <w:t xml:space="preserve">para dar seguimiento a las solicitudes recibidas por escrito. </w:t>
                      </w:r>
                      <w:r w:rsidR="003272FC">
                        <w:t xml:space="preserve">Haciendo un total </w:t>
                      </w:r>
                      <w:r>
                        <w:t>genera</w:t>
                      </w:r>
                      <w:r w:rsidR="00931CA2">
                        <w:t>l de</w:t>
                      </w:r>
                      <w:r>
                        <w:t xml:space="preserve"> </w:t>
                      </w:r>
                      <w:r w:rsidR="00931CA2" w:rsidRPr="003272FC">
                        <w:rPr>
                          <w:b/>
                        </w:rPr>
                        <w:t>2,</w:t>
                      </w:r>
                      <w:r w:rsidR="009F1C3F">
                        <w:rPr>
                          <w:b/>
                        </w:rPr>
                        <w:t>294</w:t>
                      </w:r>
                      <w:bookmarkStart w:id="1" w:name="_GoBack"/>
                      <w:bookmarkEnd w:id="1"/>
                      <w:r w:rsidR="00931CA2">
                        <w:rPr>
                          <w:b/>
                        </w:rPr>
                        <w:t xml:space="preserve"> </w:t>
                      </w:r>
                      <w:r w:rsidR="00931CA2">
                        <w:t>llamadas directas.</w:t>
                      </w:r>
                    </w:p>
                    <w:p w:rsidR="003272FC" w:rsidRDefault="003272FC" w:rsidP="00AA18A3">
                      <w:pPr>
                        <w:jc w:val="both"/>
                      </w:pPr>
                    </w:p>
                    <w:p w:rsidR="003272FC" w:rsidRDefault="003272FC" w:rsidP="00AA18A3">
                      <w:pPr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31CA2" w:rsidRDefault="00931CA2"/>
    <w:p w:rsidR="006474C1" w:rsidRDefault="006474C1">
      <w:r>
        <w:br w:type="page"/>
      </w:r>
    </w:p>
    <w:p w:rsidR="00AF67C8" w:rsidRDefault="00AF67C8"/>
    <w:p w:rsidR="00AF67C8" w:rsidRDefault="00AF67C8"/>
    <w:p w:rsidR="00A3360E" w:rsidRDefault="00934EC0">
      <w:r>
        <w:rPr>
          <w:noProof/>
          <w:lang w:eastAsia="es-SV"/>
        </w:rPr>
        <w:drawing>
          <wp:inline distT="0" distB="0" distL="0" distR="0" wp14:anchorId="3B7D7DD5" wp14:editId="3F1EB83B">
            <wp:extent cx="5715000" cy="3719146"/>
            <wp:effectExtent l="0" t="0" r="0" b="1524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34EC0" w:rsidRDefault="002C7739">
      <w:r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0C1E5FD" wp14:editId="39A0FBA5">
                <wp:simplePos x="0" y="0"/>
                <wp:positionH relativeFrom="column">
                  <wp:posOffset>344170</wp:posOffset>
                </wp:positionH>
                <wp:positionV relativeFrom="paragraph">
                  <wp:posOffset>274320</wp:posOffset>
                </wp:positionV>
                <wp:extent cx="5266055" cy="1169035"/>
                <wp:effectExtent l="0" t="0" r="10795" b="12065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6055" cy="1169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78AD" w:rsidRDefault="002C7739" w:rsidP="002C7739">
                            <w:pPr>
                              <w:jc w:val="both"/>
                            </w:pPr>
                            <w:r>
                              <w:t xml:space="preserve">La gráfica muestra el total de inspecciones realizadas en el trimestre que fue de </w:t>
                            </w:r>
                            <w:r w:rsidR="00ED1C42">
                              <w:t>130</w:t>
                            </w:r>
                            <w:r>
                              <w:t>, realizándose de éstas un total de 65 durante el mes de febrero.</w:t>
                            </w:r>
                          </w:p>
                          <w:p w:rsidR="002C7739" w:rsidRDefault="004878AD" w:rsidP="002C7739">
                            <w:pPr>
                              <w:jc w:val="both"/>
                            </w:pPr>
                            <w:r>
                              <w:t>En el trimestre s</w:t>
                            </w:r>
                            <w:r w:rsidR="00507604">
                              <w:t>e realizaron inspecciones</w:t>
                            </w:r>
                            <w:r>
                              <w:t xml:space="preserve"> a centros escolares como apoyo al  “Plan Nacional de Infraestructura Educativa”.</w:t>
                            </w:r>
                            <w:r w:rsidR="00AB008B">
                              <w:t xml:space="preserve"> Y otras inspecciones para monitoreo de realización de censos locales realizados por terceros.</w:t>
                            </w:r>
                            <w:r w:rsidR="00954F1F">
                              <w:t xml:space="preserve"> </w:t>
                            </w:r>
                          </w:p>
                          <w:p w:rsidR="00EE28E0" w:rsidRDefault="00EE28E0" w:rsidP="002C7739">
                            <w:pPr>
                              <w:jc w:val="both"/>
                            </w:pPr>
                          </w:p>
                          <w:p w:rsidR="00EE28E0" w:rsidRDefault="00EE28E0" w:rsidP="002C7739">
                            <w:pPr>
                              <w:jc w:val="both"/>
                            </w:pPr>
                          </w:p>
                          <w:p w:rsidR="00EE28E0" w:rsidRDefault="00EE28E0" w:rsidP="002C7739">
                            <w:pPr>
                              <w:jc w:val="both"/>
                            </w:pPr>
                          </w:p>
                          <w:p w:rsidR="00EE28E0" w:rsidRDefault="00EE28E0" w:rsidP="002C7739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1E5FD" id="_x0000_s1030" type="#_x0000_t202" style="position:absolute;margin-left:27.1pt;margin-top:21.6pt;width:414.65pt;height:92.0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">
                <v:textbox>
                  <w:txbxContent>
                    <w:p w:rsidR="004878AD" w:rsidRDefault="002C7739" w:rsidP="002C7739">
                      <w:pPr>
                        <w:jc w:val="both"/>
                      </w:pPr>
                      <w:r>
                        <w:t xml:space="preserve">La gráfica muestra el total de inspecciones realizadas en el trimestre que fue de </w:t>
                      </w:r>
                      <w:r w:rsidR="00ED1C42">
                        <w:t>130</w:t>
                      </w:r>
                      <w:r>
                        <w:t>, realizándose de éstas un total de 65 durante el mes de febrero.</w:t>
                      </w:r>
                    </w:p>
                    <w:p w:rsidR="002C7739" w:rsidRDefault="004878AD" w:rsidP="002C7739">
                      <w:pPr>
                        <w:jc w:val="both"/>
                      </w:pPr>
                      <w:r>
                        <w:t>En el trimestre s</w:t>
                      </w:r>
                      <w:r w:rsidR="00507604">
                        <w:t>e realizaron inspecciones</w:t>
                      </w:r>
                      <w:r>
                        <w:t xml:space="preserve"> a centros escolares como apoyo al  “Plan Nacional de Infraestructura Educativa”.</w:t>
                      </w:r>
                      <w:r w:rsidR="00AB008B">
                        <w:t xml:space="preserve"> Y otras inspecciones para monitoreo de realización de censos locales realizados por terceros.</w:t>
                      </w:r>
                      <w:r w:rsidR="00954F1F">
                        <w:t xml:space="preserve"> </w:t>
                      </w:r>
                    </w:p>
                    <w:p w:rsidR="00EE28E0" w:rsidRDefault="00EE28E0" w:rsidP="002C7739">
                      <w:pPr>
                        <w:jc w:val="both"/>
                      </w:pPr>
                    </w:p>
                    <w:p w:rsidR="00EE28E0" w:rsidRDefault="00EE28E0" w:rsidP="002C7739">
                      <w:pPr>
                        <w:jc w:val="both"/>
                      </w:pPr>
                    </w:p>
                    <w:p w:rsidR="00EE28E0" w:rsidRDefault="00EE28E0" w:rsidP="002C7739">
                      <w:pPr>
                        <w:jc w:val="both"/>
                      </w:pPr>
                    </w:p>
                    <w:p w:rsidR="00EE28E0" w:rsidRDefault="00EE28E0" w:rsidP="002C7739">
                      <w:pPr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34EC0" w:rsidRDefault="00934EC0"/>
    <w:p w:rsidR="00934EC0" w:rsidRDefault="00934EC0"/>
    <w:p w:rsidR="00934EC0" w:rsidRDefault="00934EC0"/>
    <w:p w:rsidR="00934EC0" w:rsidRDefault="00934EC0"/>
    <w:p w:rsidR="00934EC0" w:rsidRDefault="00934EC0"/>
    <w:p w:rsidR="00934EC0" w:rsidRDefault="00934EC0"/>
    <w:p w:rsidR="00A3360E" w:rsidRDefault="00A3360E"/>
    <w:p w:rsidR="00A3360E" w:rsidRDefault="00A3360E"/>
    <w:p w:rsidR="00FE03F1" w:rsidRDefault="00FE03F1">
      <w:r>
        <w:br w:type="page"/>
      </w:r>
    </w:p>
    <w:p w:rsidR="00934EC0" w:rsidRDefault="00934EC0"/>
    <w:p w:rsidR="00934EC0" w:rsidRDefault="00FE03F1">
      <w:r>
        <w:rPr>
          <w:noProof/>
          <w:lang w:eastAsia="es-SV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212090</wp:posOffset>
            </wp:positionH>
            <wp:positionV relativeFrom="paragraph">
              <wp:posOffset>267335</wp:posOffset>
            </wp:positionV>
            <wp:extent cx="5829300" cy="3947160"/>
            <wp:effectExtent l="0" t="0" r="0" b="15240"/>
            <wp:wrapSquare wrapText="bothSides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</wp:anchor>
        </w:drawing>
      </w:r>
    </w:p>
    <w:p w:rsidR="00A3360E" w:rsidRDefault="00A3360E"/>
    <w:p w:rsidR="00A3360E" w:rsidRDefault="00A3360E"/>
    <w:p w:rsidR="00A3360E" w:rsidRDefault="00F23904">
      <w:r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0C1E5FD" wp14:editId="39A0FBA5">
                <wp:simplePos x="0" y="0"/>
                <wp:positionH relativeFrom="column">
                  <wp:posOffset>370205</wp:posOffset>
                </wp:positionH>
                <wp:positionV relativeFrom="paragraph">
                  <wp:posOffset>3810</wp:posOffset>
                </wp:positionV>
                <wp:extent cx="5477510" cy="492125"/>
                <wp:effectExtent l="0" t="0" r="27940" b="22225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7510" cy="49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3904" w:rsidRDefault="00A64DC9" w:rsidP="00F23904">
                            <w:pPr>
                              <w:jc w:val="both"/>
                            </w:pPr>
                            <w:r>
                              <w:t xml:space="preserve">En la actualidad </w:t>
                            </w:r>
                            <w:r w:rsidR="00F23904">
                              <w:t xml:space="preserve">las visitas de la ciudadanía a las oficinas de la Dirección de Gestión Social han disminuido, en el </w:t>
                            </w:r>
                            <w:r>
                              <w:t xml:space="preserve">primer </w:t>
                            </w:r>
                            <w:r w:rsidR="00F23904">
                              <w:t>trimestre del año 2022, se atendieron 15 visit</w:t>
                            </w:r>
                            <w:r>
                              <w:t>as</w:t>
                            </w:r>
                            <w:r w:rsidR="00F23904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1E5FD" id="_x0000_s1031" type="#_x0000_t202" style="position:absolute;margin-left:29.15pt;margin-top:.3pt;width:431.3pt;height:38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">
                <v:textbox>
                  <w:txbxContent>
                    <w:p w:rsidR="00F23904" w:rsidRDefault="00A64DC9" w:rsidP="00F23904">
                      <w:pPr>
                        <w:jc w:val="both"/>
                      </w:pPr>
                      <w:r>
                        <w:t xml:space="preserve">En la actualidad </w:t>
                      </w:r>
                      <w:r w:rsidR="00F23904">
                        <w:t xml:space="preserve">las visitas de la ciudadanía a las oficinas de la Dirección de Gestión Social han disminuido, en el </w:t>
                      </w:r>
                      <w:r>
                        <w:t xml:space="preserve">primer </w:t>
                      </w:r>
                      <w:r w:rsidR="00F23904">
                        <w:t>trimestre del año 2022, se atendieron 15 visit</w:t>
                      </w:r>
                      <w:r>
                        <w:t>as</w:t>
                      </w:r>
                      <w:r w:rsidR="00F23904"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34EC0" w:rsidRDefault="00934EC0"/>
    <w:p w:rsidR="00934EC0" w:rsidRDefault="00934EC0"/>
    <w:p w:rsidR="00FE03F1" w:rsidRDefault="00FE03F1">
      <w:r>
        <w:br w:type="page"/>
      </w:r>
    </w:p>
    <w:p w:rsidR="00934EC0" w:rsidRDefault="00934EC0"/>
    <w:p w:rsidR="00934EC0" w:rsidRDefault="00934EC0"/>
    <w:p w:rsidR="00934EC0" w:rsidRDefault="00FE03F1">
      <w:r>
        <w:rPr>
          <w:noProof/>
          <w:lang w:eastAsia="es-SV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537259</wp:posOffset>
            </wp:positionH>
            <wp:positionV relativeFrom="paragraph">
              <wp:posOffset>95738</wp:posOffset>
            </wp:positionV>
            <wp:extent cx="5187315" cy="2874645"/>
            <wp:effectExtent l="0" t="0" r="13335" b="1905"/>
            <wp:wrapSquare wrapText="bothSides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34EC0" w:rsidRDefault="00934EC0"/>
    <w:p w:rsidR="00934EC0" w:rsidRDefault="00934EC0"/>
    <w:p w:rsidR="00934EC0" w:rsidRDefault="00934EC0"/>
    <w:p w:rsidR="00934EC0" w:rsidRDefault="00934EC0"/>
    <w:p w:rsidR="00934EC0" w:rsidRDefault="00934EC0"/>
    <w:p w:rsidR="00934EC0" w:rsidRDefault="00934EC0"/>
    <w:p w:rsidR="00934EC0" w:rsidRDefault="00934EC0"/>
    <w:p w:rsidR="00FE03F1" w:rsidRDefault="00FE03F1"/>
    <w:p w:rsidR="00FE03F1" w:rsidRDefault="00FE03F1"/>
    <w:p w:rsidR="00FE03F1" w:rsidRDefault="00FE03F1"/>
    <w:p w:rsidR="00FE03F1" w:rsidRDefault="00FE03F1"/>
    <w:p w:rsidR="00FE03F1" w:rsidRDefault="00A64DC9">
      <w:r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5355CEF" wp14:editId="3B3AF505">
                <wp:simplePos x="0" y="0"/>
                <wp:positionH relativeFrom="column">
                  <wp:posOffset>589915</wp:posOffset>
                </wp:positionH>
                <wp:positionV relativeFrom="paragraph">
                  <wp:posOffset>106680</wp:posOffset>
                </wp:positionV>
                <wp:extent cx="5134610" cy="509905"/>
                <wp:effectExtent l="0" t="0" r="27940" b="23495"/>
                <wp:wrapSquare wrapText="bothSides"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461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4DC9" w:rsidRDefault="00A64DC9" w:rsidP="00A64DC9">
                            <w:pPr>
                              <w:jc w:val="both"/>
                            </w:pPr>
                            <w:r>
                              <w:t>La gráfica muestra que en el mes de febrero únicamente, se dieron atenciones en el territorio en un total de cinco.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55CEF" id="_x0000_s1032" type="#_x0000_t202" style="position:absolute;margin-left:46.45pt;margin-top:8.4pt;width:404.3pt;height:40.1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">
                <v:textbox>
                  <w:txbxContent>
                    <w:p w:rsidR="00A64DC9" w:rsidRDefault="00A64DC9" w:rsidP="00A64DC9">
                      <w:pPr>
                        <w:jc w:val="both"/>
                      </w:pPr>
                      <w:r>
                        <w:t>La gráfica muestra que en el mes de febrero únicamente, se dieron atenciones en el territorio en un total de cinco.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E03F1" w:rsidRDefault="00FE03F1"/>
    <w:p w:rsidR="00FE03F1" w:rsidRDefault="00FE03F1"/>
    <w:p w:rsidR="00FE03F1" w:rsidRDefault="00FE03F1"/>
    <w:p w:rsidR="00FE03F1" w:rsidRDefault="00FE03F1"/>
    <w:p w:rsidR="00FE03F1" w:rsidRDefault="00FE03F1"/>
    <w:p w:rsidR="00FE03F1" w:rsidRDefault="00FE03F1"/>
    <w:p w:rsidR="00FE03F1" w:rsidRDefault="00FE03F1"/>
    <w:p w:rsidR="00FE03F1" w:rsidRDefault="00FE03F1">
      <w:r>
        <w:br w:type="page"/>
      </w:r>
    </w:p>
    <w:p w:rsidR="00945D8E" w:rsidRDefault="00945D8E"/>
    <w:p w:rsidR="00945D8E" w:rsidRDefault="00945D8E"/>
    <w:p w:rsidR="00945D8E" w:rsidRDefault="00945D8E"/>
    <w:p w:rsidR="00945D8E" w:rsidRDefault="00945D8E">
      <w:r>
        <w:rPr>
          <w:noProof/>
          <w:lang w:eastAsia="es-SV"/>
        </w:rPr>
        <w:drawing>
          <wp:inline distT="0" distB="0" distL="0" distR="0" wp14:anchorId="5C325447" wp14:editId="2744CFB5">
            <wp:extent cx="5829300" cy="3754316"/>
            <wp:effectExtent l="0" t="0" r="0" b="17780"/>
            <wp:docPr id="16" name="Gráfico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45D8E" w:rsidRDefault="00945D8E">
      <w:r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6D2DEF1" wp14:editId="32BF7322">
                <wp:simplePos x="0" y="0"/>
                <wp:positionH relativeFrom="column">
                  <wp:posOffset>431800</wp:posOffset>
                </wp:positionH>
                <wp:positionV relativeFrom="paragraph">
                  <wp:posOffset>275590</wp:posOffset>
                </wp:positionV>
                <wp:extent cx="5134610" cy="817245"/>
                <wp:effectExtent l="0" t="0" r="27940" b="20955"/>
                <wp:wrapSquare wrapText="bothSides"/>
                <wp:docPr id="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4610" cy="817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5D8E" w:rsidRDefault="00945D8E" w:rsidP="00945D8E">
                            <w:pPr>
                              <w:jc w:val="both"/>
                            </w:pPr>
                            <w:r>
                              <w:t xml:space="preserve">La gráfica muestra las ocasiones en las cuales el director </w:t>
                            </w:r>
                            <w:r w:rsidR="00124F58">
                              <w:t xml:space="preserve">brindó </w:t>
                            </w:r>
                            <w:r>
                              <w:t xml:space="preserve">atención </w:t>
                            </w:r>
                            <w:r w:rsidR="00124F58">
                              <w:t xml:space="preserve">en oficina hacia </w:t>
                            </w:r>
                            <w:r>
                              <w:t xml:space="preserve"> representantes de las municipalidades</w:t>
                            </w:r>
                            <w:r w:rsidR="00124F58">
                              <w:t xml:space="preserve"> o los mismos alcaldes u alcaldesas, para coordinar actividades en los municipios de interés compartido.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2DEF1" id="_x0000_s1033" type="#_x0000_t202" style="position:absolute;margin-left:34pt;margin-top:21.7pt;width:404.3pt;height:64.3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">
                <v:textbox>
                  <w:txbxContent>
                    <w:p w:rsidR="00945D8E" w:rsidRDefault="00945D8E" w:rsidP="00945D8E">
                      <w:pPr>
                        <w:jc w:val="both"/>
                      </w:pPr>
                      <w:r>
                        <w:t xml:space="preserve">La gráfica muestra </w:t>
                      </w:r>
                      <w:r>
                        <w:t xml:space="preserve">las ocasiones en las cuales el director </w:t>
                      </w:r>
                      <w:r w:rsidR="00124F58">
                        <w:t xml:space="preserve">brindó </w:t>
                      </w:r>
                      <w:r>
                        <w:t xml:space="preserve">atención </w:t>
                      </w:r>
                      <w:r w:rsidR="00124F58">
                        <w:t xml:space="preserve">en oficina hacia </w:t>
                      </w:r>
                      <w:r>
                        <w:t xml:space="preserve"> representantes de las municipalidades</w:t>
                      </w:r>
                      <w:r w:rsidR="00124F58">
                        <w:t xml:space="preserve"> o los mismos alcaldes u alcaldesas, para coordinar actividades en los municipios de interés compartido.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45D8E" w:rsidRDefault="00945D8E"/>
    <w:p w:rsidR="00945D8E" w:rsidRDefault="00945D8E"/>
    <w:p w:rsidR="00945D8E" w:rsidRDefault="00945D8E"/>
    <w:p w:rsidR="00945D8E" w:rsidRDefault="00945D8E"/>
    <w:p w:rsidR="00945D8E" w:rsidRDefault="00945D8E"/>
    <w:p w:rsidR="00945D8E" w:rsidRDefault="00945D8E"/>
    <w:p w:rsidR="00945D8E" w:rsidRDefault="00945D8E">
      <w:r>
        <w:br w:type="page"/>
      </w:r>
    </w:p>
    <w:p w:rsidR="00945D8E" w:rsidRDefault="00945D8E"/>
    <w:p w:rsidR="00FE03F1" w:rsidRDefault="00FE03F1"/>
    <w:p w:rsidR="00FE03F1" w:rsidRDefault="00FE03F1">
      <w:r>
        <w:rPr>
          <w:noProof/>
          <w:lang w:eastAsia="es-SV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387985</wp:posOffset>
            </wp:positionH>
            <wp:positionV relativeFrom="paragraph">
              <wp:posOffset>74295</wp:posOffset>
            </wp:positionV>
            <wp:extent cx="5327650" cy="4070350"/>
            <wp:effectExtent l="0" t="0" r="6350" b="6350"/>
            <wp:wrapSquare wrapText="bothSides"/>
            <wp:docPr id="11" name="Grá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34EC0" w:rsidRDefault="00934EC0"/>
    <w:p w:rsidR="00934EC0" w:rsidRDefault="00934EC0"/>
    <w:p w:rsidR="00FE03F1" w:rsidRDefault="00FE03F1"/>
    <w:p w:rsidR="00FE03F1" w:rsidRDefault="00FE03F1"/>
    <w:p w:rsidR="00FE03F1" w:rsidRDefault="00FE03F1"/>
    <w:p w:rsidR="00FE03F1" w:rsidRDefault="00FE03F1"/>
    <w:p w:rsidR="00FE03F1" w:rsidRDefault="00FE03F1"/>
    <w:p w:rsidR="00FE03F1" w:rsidRDefault="00FE03F1"/>
    <w:p w:rsidR="00FE03F1" w:rsidRDefault="00FE03F1"/>
    <w:p w:rsidR="00FE03F1" w:rsidRDefault="00FE03F1"/>
    <w:p w:rsidR="00FE03F1" w:rsidRDefault="00FE03F1"/>
    <w:p w:rsidR="00FE03F1" w:rsidRDefault="00FE03F1"/>
    <w:p w:rsidR="00FE03F1" w:rsidRDefault="00FE03F1"/>
    <w:p w:rsidR="00FE03F1" w:rsidRDefault="00FE03F1"/>
    <w:p w:rsidR="00FE03F1" w:rsidRDefault="00A64DC9">
      <w:r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5355CEF" wp14:editId="3B3AF505">
                <wp:simplePos x="0" y="0"/>
                <wp:positionH relativeFrom="column">
                  <wp:posOffset>387985</wp:posOffset>
                </wp:positionH>
                <wp:positionV relativeFrom="paragraph">
                  <wp:posOffset>1270</wp:posOffset>
                </wp:positionV>
                <wp:extent cx="5196205" cy="676910"/>
                <wp:effectExtent l="0" t="0" r="23495" b="27940"/>
                <wp:wrapSquare wrapText="bothSides"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6205" cy="676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4DC9" w:rsidRDefault="00A64DC9" w:rsidP="00A64DC9">
                            <w:pPr>
                              <w:jc w:val="both"/>
                            </w:pPr>
                            <w:r>
                              <w:t>El gr</w:t>
                            </w:r>
                            <w:r w:rsidR="00562C0F">
                              <w:t>á</w:t>
                            </w:r>
                            <w:r>
                              <w:t xml:space="preserve">fico </w:t>
                            </w:r>
                            <w:r w:rsidR="00562C0F">
                              <w:t xml:space="preserve">muestra el ascenso mensual que se dio </w:t>
                            </w:r>
                            <w:r>
                              <w:t xml:space="preserve">en el primer trimestre del año 2022, </w:t>
                            </w:r>
                            <w:r w:rsidR="00562C0F">
                              <w:t>en relación al desarrollo de reuniones con la ciudadanía de carácter informativo y/o resolutivo sobre el trabajo realizado por el MOPT.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55CEF" id="_x0000_s1034" type="#_x0000_t202" style="position:absolute;margin-left:30.55pt;margin-top:.1pt;width:409.15pt;height:53.3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">
                <v:textbox>
                  <w:txbxContent>
                    <w:p w:rsidR="00A64DC9" w:rsidRDefault="00A64DC9" w:rsidP="00A64DC9">
                      <w:pPr>
                        <w:jc w:val="both"/>
                      </w:pPr>
                      <w:r>
                        <w:t>El gr</w:t>
                      </w:r>
                      <w:r w:rsidR="00562C0F">
                        <w:t>á</w:t>
                      </w:r>
                      <w:r>
                        <w:t xml:space="preserve">fico </w:t>
                      </w:r>
                      <w:r w:rsidR="00562C0F">
                        <w:t xml:space="preserve">muestra el ascenso mensual que se dio </w:t>
                      </w:r>
                      <w:r>
                        <w:t xml:space="preserve">en el primer trimestre del año 2022, </w:t>
                      </w:r>
                      <w:r w:rsidR="00562C0F">
                        <w:t>en relación al desarrollo de reuniones con la ciudadanía de carácter informativo y/o resolutivo sobre el trabajo realizado por el MOPT.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64DC9" w:rsidRDefault="00A64DC9"/>
    <w:p w:rsidR="00A64DC9" w:rsidRDefault="00A64DC9"/>
    <w:p w:rsidR="00A64DC9" w:rsidRDefault="00A64DC9"/>
    <w:p w:rsidR="00A64DC9" w:rsidRDefault="00A64DC9"/>
    <w:p w:rsidR="00FE03F1" w:rsidRDefault="00FE03F1">
      <w:r>
        <w:br w:type="page"/>
      </w:r>
    </w:p>
    <w:p w:rsidR="00934EC0" w:rsidRDefault="00934EC0"/>
    <w:p w:rsidR="00A3360E" w:rsidRDefault="00577C8F">
      <w:r>
        <w:rPr>
          <w:noProof/>
          <w:lang w:eastAsia="es-SV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308610</wp:posOffset>
            </wp:positionH>
            <wp:positionV relativeFrom="paragraph">
              <wp:posOffset>285115</wp:posOffset>
            </wp:positionV>
            <wp:extent cx="5494655" cy="3604260"/>
            <wp:effectExtent l="0" t="0" r="10795" b="15240"/>
            <wp:wrapSquare wrapText="bothSides"/>
            <wp:docPr id="23" name="Gráfico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360E" w:rsidRDefault="008C7020">
      <w:r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0DD31D1" wp14:editId="70CD0AE5">
                <wp:simplePos x="0" y="0"/>
                <wp:positionH relativeFrom="column">
                  <wp:posOffset>659618</wp:posOffset>
                </wp:positionH>
                <wp:positionV relativeFrom="paragraph">
                  <wp:posOffset>3790853</wp:posOffset>
                </wp:positionV>
                <wp:extent cx="4791710" cy="457200"/>
                <wp:effectExtent l="0" t="0" r="27940" b="19050"/>
                <wp:wrapSquare wrapText="bothSides"/>
                <wp:docPr id="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71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676D" w:rsidRDefault="0016676D" w:rsidP="0016676D">
                            <w:pPr>
                              <w:jc w:val="both"/>
                            </w:pPr>
                            <w:r>
                              <w:t>El gráfico representa una mesa interinstitucional</w:t>
                            </w:r>
                            <w:r w:rsidR="00A82AE5">
                              <w:t xml:space="preserve"> para dar seguimiento a proyecto caso Ilopango, </w:t>
                            </w:r>
                            <w:r w:rsidR="00863432">
                              <w:t>establecido</w:t>
                            </w:r>
                            <w:r>
                              <w:t xml:space="preserve"> en el primer trimestre del año 2022</w:t>
                            </w:r>
                            <w:r w:rsidR="008637CC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D31D1" id="_x0000_s1035" type="#_x0000_t202" style="position:absolute;margin-left:51.95pt;margin-top:298.5pt;width:377.3pt;height:36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">
                <v:textbox>
                  <w:txbxContent>
                    <w:p w:rsidR="0016676D" w:rsidRDefault="0016676D" w:rsidP="0016676D">
                      <w:pPr>
                        <w:jc w:val="both"/>
                      </w:pPr>
                      <w:r>
                        <w:t>El gráfico representa una mesa interinstitucional</w:t>
                      </w:r>
                      <w:r w:rsidR="00A82AE5">
                        <w:t xml:space="preserve"> para dar seguimiento a proyecto caso Ilopango, </w:t>
                      </w:r>
                      <w:r w:rsidR="00863432">
                        <w:t>establecido</w:t>
                      </w:r>
                      <w:r>
                        <w:t xml:space="preserve"> en el primer trimestre del año 2022</w:t>
                      </w:r>
                      <w:r w:rsidR="008637CC"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34EC0" w:rsidRDefault="00934EC0"/>
    <w:p w:rsidR="00934EC0" w:rsidRDefault="00934EC0"/>
    <w:p w:rsidR="008C7020" w:rsidRDefault="008C7020">
      <w:bookmarkStart w:id="0" w:name="_GoBack"/>
      <w:bookmarkEnd w:id="0"/>
    </w:p>
    <w:tbl>
      <w:tblPr>
        <w:tblW w:w="93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3"/>
      </w:tblGrid>
      <w:tr w:rsidR="00CF166B" w:rsidRPr="00CF166B" w:rsidTr="008C7020">
        <w:trPr>
          <w:trHeight w:val="1916"/>
        </w:trPr>
        <w:tc>
          <w:tcPr>
            <w:tcW w:w="9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166B" w:rsidRPr="00CF166B" w:rsidRDefault="00CF166B" w:rsidP="0083027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t>L</w:t>
            </w:r>
            <w:r w:rsidR="00EE28E0">
              <w:t>a Dirección de Gestión Social ha dado seguimiento a proyecto</w:t>
            </w:r>
            <w:r w:rsidR="004B6556">
              <w:t>s</w:t>
            </w:r>
            <w:r w:rsidR="00EE28E0">
              <w:t xml:space="preserve"> nacionales, para lo cual mantiene una comunicación y coordinación permanente con otras áreas del MOPT y actores locale</w:t>
            </w:r>
            <w:r>
              <w:t xml:space="preserve">s que se requiera. Por ejemplo: </w:t>
            </w:r>
            <w:r w:rsidR="0083027D">
              <w:t xml:space="preserve">1. </w:t>
            </w:r>
            <w:r>
              <w:t>C</w:t>
            </w:r>
            <w:r w:rsidR="00EE28E0">
              <w:t xml:space="preserve">onstrucción del </w:t>
            </w:r>
            <w:r w:rsidR="004B6556">
              <w:t>A</w:t>
            </w:r>
            <w:r w:rsidR="00EE28E0">
              <w:t>eropuerto del Pac</w:t>
            </w:r>
            <w:r w:rsidR="004B6556">
              <w:t>í</w:t>
            </w:r>
            <w:r w:rsidR="00EE28E0">
              <w:t>fico en el oriente del país</w:t>
            </w:r>
            <w:r w:rsidR="004B6556">
              <w:t xml:space="preserve"> -</w:t>
            </w:r>
            <w:r w:rsidR="00EE28E0">
              <w:t xml:space="preserve"> Conchagua La Unión</w:t>
            </w:r>
            <w:r w:rsidR="004B6556">
              <w:t xml:space="preserve"> (c</w:t>
            </w:r>
            <w:r w:rsidR="00EE28E0">
              <w:t>on énfasis en el estudio de impacto social</w:t>
            </w:r>
            <w:r w:rsidR="004B6556">
              <w:t>)</w:t>
            </w:r>
            <w:r w:rsidR="0083027D">
              <w:t>; 2.</w:t>
            </w:r>
            <w:r>
              <w:t xml:space="preserve"> </w:t>
            </w:r>
            <w:r w:rsidRPr="00CF166B">
              <w:rPr>
                <w:rFonts w:ascii="Calibri" w:eastAsia="Times New Roman" w:hAnsi="Calibri" w:cs="Calibri"/>
                <w:color w:val="000000"/>
                <w:lang w:eastAsia="es-SV"/>
              </w:rPr>
              <w:t>Gestión de proyecto de co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n</w:t>
            </w:r>
            <w:r w:rsidRPr="00CF166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strucción 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P</w:t>
            </w:r>
            <w:r w:rsidRPr="00CF166B">
              <w:rPr>
                <w:rFonts w:ascii="Calibri" w:eastAsia="Times New Roman" w:hAnsi="Calibri" w:cs="Calibri"/>
                <w:color w:val="000000"/>
                <w:lang w:eastAsia="es-SV"/>
              </w:rPr>
              <w:t>u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e</w:t>
            </w:r>
            <w:r w:rsidRPr="00CF166B">
              <w:rPr>
                <w:rFonts w:ascii="Calibri" w:eastAsia="Times New Roman" w:hAnsi="Calibri" w:cs="Calibri"/>
                <w:color w:val="000000"/>
                <w:lang w:eastAsia="es-SV"/>
              </w:rPr>
              <w:t>nte Manuel José Arce, La Hachadura. Ahuachapán</w:t>
            </w:r>
            <w:r w:rsidR="0083027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; 3. 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C</w:t>
            </w:r>
            <w:r w:rsidRPr="00CF166B">
              <w:rPr>
                <w:rFonts w:ascii="Calibri" w:eastAsia="Times New Roman" w:hAnsi="Calibri" w:cs="Calibri"/>
                <w:color w:val="000000"/>
                <w:lang w:eastAsia="es-SV"/>
              </w:rPr>
              <w:t>o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n</w:t>
            </w:r>
            <w:r w:rsidRPr="00CF166B">
              <w:rPr>
                <w:rFonts w:ascii="Calibri" w:eastAsia="Times New Roman" w:hAnsi="Calibri" w:cs="Calibri"/>
                <w:color w:val="000000"/>
                <w:lang w:eastAsia="es-SV"/>
              </w:rPr>
              <w:t>strucción de viaducto y ampliación de carretera tramo los chorros</w:t>
            </w:r>
            <w:r w:rsidR="0083027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; 4. </w:t>
            </w:r>
            <w:r w:rsidR="008C7020">
              <w:rPr>
                <w:rFonts w:ascii="Calibri" w:eastAsia="Times New Roman" w:hAnsi="Calibri" w:cs="Calibri"/>
                <w:color w:val="000000"/>
                <w:lang w:eastAsia="es-SV"/>
              </w:rPr>
              <w:t>Elaboración del Plan de Consulta Ciudadana de Proyectos con fondos BID</w:t>
            </w:r>
            <w:r w:rsidR="0083027D">
              <w:rPr>
                <w:rFonts w:ascii="Calibri" w:eastAsia="Times New Roman" w:hAnsi="Calibri" w:cs="Calibri"/>
                <w:color w:val="000000"/>
                <w:lang w:eastAsia="es-SV"/>
              </w:rPr>
              <w:t>; 5. P</w:t>
            </w:r>
            <w:r w:rsidR="008C7020">
              <w:rPr>
                <w:rFonts w:ascii="Calibri" w:eastAsia="Times New Roman" w:hAnsi="Calibri" w:cs="Calibri"/>
                <w:color w:val="000000"/>
                <w:lang w:eastAsia="es-SV"/>
              </w:rPr>
              <w:t>royecto de tren del pacífico (Occidente)</w:t>
            </w:r>
            <w:r w:rsidR="0083027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; 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entre otros.</w:t>
            </w:r>
            <w:r w:rsidR="008C702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</w:tr>
    </w:tbl>
    <w:p w:rsidR="00934EC0" w:rsidRDefault="00934EC0" w:rsidP="008C7020">
      <w:pPr>
        <w:jc w:val="both"/>
      </w:pPr>
    </w:p>
    <w:sectPr w:rsidR="00934EC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97F" w:rsidRDefault="0089197F" w:rsidP="006C23E5">
      <w:pPr>
        <w:spacing w:after="0" w:line="240" w:lineRule="auto"/>
      </w:pPr>
      <w:r>
        <w:separator/>
      </w:r>
    </w:p>
  </w:endnote>
  <w:endnote w:type="continuationSeparator" w:id="0">
    <w:p w:rsidR="0089197F" w:rsidRDefault="0089197F" w:rsidP="006C2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830" w:rsidRDefault="000A083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2629959"/>
      <w:docPartObj>
        <w:docPartGallery w:val="Page Numbers (Bottom of Page)"/>
        <w:docPartUnique/>
      </w:docPartObj>
    </w:sdtPr>
    <w:sdtEndPr/>
    <w:sdtContent>
      <w:p w:rsidR="0016676D" w:rsidRDefault="0016676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25EA" w:rsidRPr="002925EA">
          <w:rPr>
            <w:noProof/>
            <w:lang w:val="es-ES"/>
          </w:rPr>
          <w:t>10</w:t>
        </w:r>
        <w:r>
          <w:fldChar w:fldCharType="end"/>
        </w:r>
      </w:p>
    </w:sdtContent>
  </w:sdt>
  <w:p w:rsidR="0016676D" w:rsidRDefault="0016676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830" w:rsidRDefault="000A083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97F" w:rsidRDefault="0089197F" w:rsidP="006C23E5">
      <w:pPr>
        <w:spacing w:after="0" w:line="240" w:lineRule="auto"/>
      </w:pPr>
      <w:r>
        <w:separator/>
      </w:r>
    </w:p>
  </w:footnote>
  <w:footnote w:type="continuationSeparator" w:id="0">
    <w:p w:rsidR="0089197F" w:rsidRDefault="0089197F" w:rsidP="006C2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830" w:rsidRDefault="000A083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3E5" w:rsidRDefault="006C23E5" w:rsidP="006C23E5">
    <w:pPr>
      <w:pStyle w:val="Encabezado"/>
      <w:jc w:val="center"/>
    </w:pPr>
    <w:r>
      <w:rPr>
        <w:noProof/>
        <w:lang w:eastAsia="es-SV"/>
      </w:rPr>
      <w:drawing>
        <wp:inline distT="0" distB="0" distL="0" distR="0" wp14:anchorId="467EBD09" wp14:editId="0726E51B">
          <wp:extent cx="2235200" cy="895985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5200" cy="8959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830" w:rsidRDefault="000A083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3E5"/>
    <w:rsid w:val="00025DC2"/>
    <w:rsid w:val="00027428"/>
    <w:rsid w:val="000A0830"/>
    <w:rsid w:val="000C260B"/>
    <w:rsid w:val="000F6026"/>
    <w:rsid w:val="00124F58"/>
    <w:rsid w:val="00137960"/>
    <w:rsid w:val="0016676D"/>
    <w:rsid w:val="00180E43"/>
    <w:rsid w:val="001C2055"/>
    <w:rsid w:val="001E2081"/>
    <w:rsid w:val="001E57B1"/>
    <w:rsid w:val="002371AE"/>
    <w:rsid w:val="002925EA"/>
    <w:rsid w:val="002C7739"/>
    <w:rsid w:val="002F3093"/>
    <w:rsid w:val="003272FC"/>
    <w:rsid w:val="00365BC1"/>
    <w:rsid w:val="00405A66"/>
    <w:rsid w:val="00425EB3"/>
    <w:rsid w:val="004878AD"/>
    <w:rsid w:val="004B6556"/>
    <w:rsid w:val="00507604"/>
    <w:rsid w:val="005535AD"/>
    <w:rsid w:val="0056232C"/>
    <w:rsid w:val="00562C0F"/>
    <w:rsid w:val="0057572B"/>
    <w:rsid w:val="00577C8F"/>
    <w:rsid w:val="005954F0"/>
    <w:rsid w:val="00596F83"/>
    <w:rsid w:val="005D07CD"/>
    <w:rsid w:val="006474C1"/>
    <w:rsid w:val="006C23E5"/>
    <w:rsid w:val="006C5C96"/>
    <w:rsid w:val="007D340A"/>
    <w:rsid w:val="0083027D"/>
    <w:rsid w:val="00862D0B"/>
    <w:rsid w:val="00863432"/>
    <w:rsid w:val="008637CC"/>
    <w:rsid w:val="0089197F"/>
    <w:rsid w:val="008C7020"/>
    <w:rsid w:val="008D5AC3"/>
    <w:rsid w:val="008E12F7"/>
    <w:rsid w:val="00921062"/>
    <w:rsid w:val="00931CA2"/>
    <w:rsid w:val="00934EC0"/>
    <w:rsid w:val="00945D8E"/>
    <w:rsid w:val="00954F1F"/>
    <w:rsid w:val="009A4F9C"/>
    <w:rsid w:val="009C68AE"/>
    <w:rsid w:val="009F1C3F"/>
    <w:rsid w:val="00A3360E"/>
    <w:rsid w:val="00A64DC9"/>
    <w:rsid w:val="00A82AE5"/>
    <w:rsid w:val="00A8480E"/>
    <w:rsid w:val="00AA18A3"/>
    <w:rsid w:val="00AB008B"/>
    <w:rsid w:val="00AC1055"/>
    <w:rsid w:val="00AF67C8"/>
    <w:rsid w:val="00B408EE"/>
    <w:rsid w:val="00B76BAA"/>
    <w:rsid w:val="00B96EDB"/>
    <w:rsid w:val="00BB4EA4"/>
    <w:rsid w:val="00CB316C"/>
    <w:rsid w:val="00CC6D30"/>
    <w:rsid w:val="00CE3CBD"/>
    <w:rsid w:val="00CF166B"/>
    <w:rsid w:val="00D3512F"/>
    <w:rsid w:val="00D573A4"/>
    <w:rsid w:val="00EB12E4"/>
    <w:rsid w:val="00ED1C42"/>
    <w:rsid w:val="00EE28E0"/>
    <w:rsid w:val="00F23904"/>
    <w:rsid w:val="00F536C8"/>
    <w:rsid w:val="00FC517B"/>
    <w:rsid w:val="00FE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A924B145-BB22-477F-B223-86666E571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D34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C23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23E5"/>
  </w:style>
  <w:style w:type="paragraph" w:styleId="Piedepgina">
    <w:name w:val="footer"/>
    <w:basedOn w:val="Normal"/>
    <w:link w:val="PiedepginaCar"/>
    <w:uiPriority w:val="99"/>
    <w:unhideWhenUsed/>
    <w:rsid w:val="006C23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23E5"/>
  </w:style>
  <w:style w:type="character" w:customStyle="1" w:styleId="Ttulo1Car">
    <w:name w:val="Título 1 Car"/>
    <w:basedOn w:val="Fuentedeprrafopredeter"/>
    <w:link w:val="Ttulo1"/>
    <w:uiPriority w:val="9"/>
    <w:rsid w:val="007D34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fontTable" Target="fontTable.xml"/><Relationship Id="rId10" Type="http://schemas.openxmlformats.org/officeDocument/2006/relationships/chart" Target="charts/chart4.xm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maria.parada\Documents\A&#241;o%202022\Procesamiento%20EMPC\MPC%20control%20anual%202022%20%20v19042022.xlsx" TargetMode="Externa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oleObject" Target="file:///C:\Users\maria.parada\Documents\A&#241;o%202022\Procesamiento%20EMPC\MPC%20control%20anual%202022%20%20v19042022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ocuments\A&#241;o%202022\Procesamiento%20EMPC\MPC%20control%20anual%202022%20%20v1904202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C:\Users\maria.parada\Documents\A&#241;o%202022\Procesamiento%20EMPC\MPC%20control%20anual%202022%20%20v19042022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ocuments\A&#241;o%202022\Procesamiento%20EMPC\MPC%20control%20anual%202022%20%20v19042022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ocuments\A&#241;o%202022\Procesamiento%20EMPC\MPC%20control%20anual%202021%20(Autoguardado)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ocuments\A&#241;o%202022\Procesamiento%20EMPC\MPC%20control%20anual%202021%20(Autoguardado)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ocuments\A&#241;o%202022\Procesamiento%20EMPC\MPC%20control%20anual%202021%20(Autoguardado)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ocuments\A&#241;o%202022\Procesamiento%20EMPC\MPC%20control%20anual%202022%20%20v19042022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ocuments\A&#241;o%202022\Procesamiento%20EMPC\MPC%20control%20anual%202021%20(Autoguardado)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/>
              <a:t>Total</a:t>
            </a:r>
            <a:r>
              <a:rPr lang="en-US" sz="1400" baseline="0"/>
              <a:t> acciones con participación ciudadana desarrolladas </a:t>
            </a:r>
            <a:r>
              <a:rPr lang="en-US" sz="1400"/>
              <a:t>en el primer trimestre de 2022</a:t>
            </a:r>
          </a:p>
        </c:rich>
      </c:tx>
      <c:layout>
        <c:manualLayout>
          <c:xMode val="edge"/>
          <c:yMode val="edge"/>
          <c:x val="0.13625678040244971"/>
          <c:y val="5.09259259259259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'1er trimestre 2022'!$A$43</c:f>
              <c:strCache>
                <c:ptCount val="1"/>
                <c:pt idx="0">
                  <c:v>Total de espacios y mecanismos desarrollados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'1er trimestre 2022'!$B$42:$E$42</c:f>
              <c:strCache>
                <c:ptCount val="4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Acumulado</c:v>
                </c:pt>
              </c:strCache>
            </c:strRef>
          </c:cat>
          <c:val>
            <c:numRef>
              <c:f>'1er trimestre 2022'!$B$43:$E$43</c:f>
              <c:numCache>
                <c:formatCode>General</c:formatCode>
                <c:ptCount val="4"/>
                <c:pt idx="0">
                  <c:v>133</c:v>
                </c:pt>
                <c:pt idx="1">
                  <c:v>207</c:v>
                </c:pt>
                <c:pt idx="2">
                  <c:v>176</c:v>
                </c:pt>
                <c:pt idx="3">
                  <c:v>516</c:v>
                </c:pt>
              </c:numCache>
            </c:numRef>
          </c:val>
          <c:smooth val="0"/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-413117536"/>
        <c:axId val="-413116992"/>
      </c:lineChart>
      <c:catAx>
        <c:axId val="-413117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413116992"/>
        <c:crosses val="autoZero"/>
        <c:auto val="1"/>
        <c:lblAlgn val="ctr"/>
        <c:lblOffset val="100"/>
        <c:noMultiLvlLbl val="0"/>
      </c:catAx>
      <c:valAx>
        <c:axId val="-413116992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-4131175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areaChart>
        <c:grouping val="standard"/>
        <c:varyColors val="0"/>
        <c:ser>
          <c:idx val="0"/>
          <c:order val="0"/>
          <c:tx>
            <c:strRef>
              <c:f>'1er trimestre 2022'!$A$93</c:f>
              <c:strCache>
                <c:ptCount val="1"/>
                <c:pt idx="0">
                  <c:v>Mesas interinstitucionales y ciudadanas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7.4999999999999997E-2"/>
                  <c:y val="8.33333333333333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7.7777777777777779E-2"/>
                  <c:y val="0.1064814814814814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accent4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'1er trimestre 2022'!$B$92:$E$92</c:f>
              <c:strCache>
                <c:ptCount val="4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Total</c:v>
                </c:pt>
              </c:strCache>
            </c:strRef>
          </c:cat>
          <c:val>
            <c:numRef>
              <c:f>'1er trimestre 2022'!$B$93:$E$93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564075856"/>
        <c:axId val="-554013840"/>
      </c:areaChart>
      <c:catAx>
        <c:axId val="-5640758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554013840"/>
        <c:crosses val="autoZero"/>
        <c:auto val="1"/>
        <c:lblAlgn val="ctr"/>
        <c:lblOffset val="100"/>
        <c:noMultiLvlLbl val="0"/>
      </c:catAx>
      <c:valAx>
        <c:axId val="-5540138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564075856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200"/>
              <a:t>Mecanismos de participación</a:t>
            </a:r>
            <a:r>
              <a:rPr lang="es-SV" sz="1200" baseline="0"/>
              <a:t> ciudadana desarrollados en 1er. trimestre 2022</a:t>
            </a:r>
            <a:endParaRPr lang="es-SV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'1er trimestre 2022'!$B$1</c:f>
              <c:strCache>
                <c:ptCount val="1"/>
                <c:pt idx="0">
                  <c:v>enero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'1er trimestre 2022'!$A$2:$A$6</c:f>
              <c:strCache>
                <c:ptCount val="5"/>
                <c:pt idx="0">
                  <c:v>Reuniones con Comité de Obra Pública </c:v>
                </c:pt>
                <c:pt idx="1">
                  <c:v>Grupos de WhatsApp</c:v>
                </c:pt>
                <c:pt idx="2">
                  <c:v>Contraloría Ciudadana</c:v>
                </c:pt>
                <c:pt idx="3">
                  <c:v>Rendición de Cuentas</c:v>
                </c:pt>
                <c:pt idx="4">
                  <c:v>Consulta Ciudadana</c:v>
                </c:pt>
              </c:strCache>
            </c:strRef>
          </c:cat>
          <c:val>
            <c:numRef>
              <c:f>'1er trimestre 2022'!$B$2:$B$6</c:f>
              <c:numCache>
                <c:formatCode>General</c:formatCode>
                <c:ptCount val="5"/>
                <c:pt idx="0">
                  <c:v>3</c:v>
                </c:pt>
                <c:pt idx="1">
                  <c:v>8</c:v>
                </c:pt>
                <c:pt idx="4">
                  <c:v>1</c:v>
                </c:pt>
              </c:numCache>
            </c:numRef>
          </c:val>
        </c:ser>
        <c:ser>
          <c:idx val="1"/>
          <c:order val="1"/>
          <c:tx>
            <c:strRef>
              <c:f>'1er trimestre 2022'!$C$1</c:f>
              <c:strCache>
                <c:ptCount val="1"/>
                <c:pt idx="0">
                  <c:v>febrero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'1er trimestre 2022'!$A$2:$A$6</c:f>
              <c:strCache>
                <c:ptCount val="5"/>
                <c:pt idx="0">
                  <c:v>Reuniones con Comité de Obra Pública </c:v>
                </c:pt>
                <c:pt idx="1">
                  <c:v>Grupos de WhatsApp</c:v>
                </c:pt>
                <c:pt idx="2">
                  <c:v>Contraloría Ciudadana</c:v>
                </c:pt>
                <c:pt idx="3">
                  <c:v>Rendición de Cuentas</c:v>
                </c:pt>
                <c:pt idx="4">
                  <c:v>Consulta Ciudadana</c:v>
                </c:pt>
              </c:strCache>
            </c:strRef>
          </c:cat>
          <c:val>
            <c:numRef>
              <c:f>'1er trimestre 2022'!$C$2:$C$6</c:f>
              <c:numCache>
                <c:formatCode>General</c:formatCode>
                <c:ptCount val="5"/>
                <c:pt idx="0">
                  <c:v>3</c:v>
                </c:pt>
                <c:pt idx="1">
                  <c:v>8</c:v>
                </c:pt>
                <c:pt idx="4">
                  <c:v>1</c:v>
                </c:pt>
              </c:numCache>
            </c:numRef>
          </c:val>
        </c:ser>
        <c:ser>
          <c:idx val="2"/>
          <c:order val="2"/>
          <c:tx>
            <c:strRef>
              <c:f>'1er trimestre 2022'!$D$1</c:f>
              <c:strCache>
                <c:ptCount val="1"/>
                <c:pt idx="0">
                  <c:v>marzo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'1er trimestre 2022'!$A$2:$A$6</c:f>
              <c:strCache>
                <c:ptCount val="5"/>
                <c:pt idx="0">
                  <c:v>Reuniones con Comité de Obra Pública </c:v>
                </c:pt>
                <c:pt idx="1">
                  <c:v>Grupos de WhatsApp</c:v>
                </c:pt>
                <c:pt idx="2">
                  <c:v>Contraloría Ciudadana</c:v>
                </c:pt>
                <c:pt idx="3">
                  <c:v>Rendición de Cuentas</c:v>
                </c:pt>
                <c:pt idx="4">
                  <c:v>Consulta Ciudadana</c:v>
                </c:pt>
              </c:strCache>
            </c:strRef>
          </c:cat>
          <c:val>
            <c:numRef>
              <c:f>'1er trimestre 2022'!$D$2:$D$6</c:f>
              <c:numCache>
                <c:formatCode>General</c:formatCode>
                <c:ptCount val="5"/>
                <c:pt idx="0">
                  <c:v>3</c:v>
                </c:pt>
                <c:pt idx="1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413115904"/>
        <c:axId val="-413113184"/>
      </c:barChart>
      <c:lineChart>
        <c:grouping val="standard"/>
        <c:varyColors val="0"/>
        <c:ser>
          <c:idx val="3"/>
          <c:order val="3"/>
          <c:tx>
            <c:strRef>
              <c:f>'1er trimestre 2022'!$E$1</c:f>
              <c:strCache>
                <c:ptCount val="1"/>
                <c:pt idx="0">
                  <c:v>Total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'1er trimestre 2022'!$A$2:$A$6</c:f>
              <c:strCache>
                <c:ptCount val="5"/>
                <c:pt idx="0">
                  <c:v>Reuniones con Comité de Obra Pública </c:v>
                </c:pt>
                <c:pt idx="1">
                  <c:v>Grupos de WhatsApp</c:v>
                </c:pt>
                <c:pt idx="2">
                  <c:v>Contraloría Ciudadana</c:v>
                </c:pt>
                <c:pt idx="3">
                  <c:v>Rendición de Cuentas</c:v>
                </c:pt>
                <c:pt idx="4">
                  <c:v>Consulta Ciudadana</c:v>
                </c:pt>
              </c:strCache>
            </c:strRef>
          </c:cat>
          <c:val>
            <c:numRef>
              <c:f>'1er trimestre 2022'!$E$2:$E$6</c:f>
              <c:numCache>
                <c:formatCode>General</c:formatCode>
                <c:ptCount val="5"/>
                <c:pt idx="0">
                  <c:v>9</c:v>
                </c:pt>
                <c:pt idx="1">
                  <c:v>24</c:v>
                </c:pt>
                <c:pt idx="2">
                  <c:v>0</c:v>
                </c:pt>
                <c:pt idx="3">
                  <c:v>0</c:v>
                </c:pt>
                <c:pt idx="4">
                  <c:v>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413115904"/>
        <c:axId val="-413113184"/>
      </c:lineChart>
      <c:catAx>
        <c:axId val="-413115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413113184"/>
        <c:crosses val="autoZero"/>
        <c:auto val="1"/>
        <c:lblAlgn val="ctr"/>
        <c:lblOffset val="100"/>
        <c:noMultiLvlLbl val="0"/>
      </c:catAx>
      <c:valAx>
        <c:axId val="-413113184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-413115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Total espacio</a:t>
            </a:r>
            <a:r>
              <a:rPr lang="en-US" baseline="0"/>
              <a:t>s de participación desarrollados en el primer trimestre 2022</a:t>
            </a:r>
            <a:endParaRPr lang="en-US"/>
          </a:p>
        </c:rich>
      </c:tx>
      <c:layout>
        <c:manualLayout>
          <c:xMode val="edge"/>
          <c:yMode val="edge"/>
          <c:x val="0.13950000000000001"/>
          <c:y val="4.16666666666666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solidFill>
                <a:schemeClr val="accent4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'1er trimestre 2022'!$A$150:$A$157</c:f>
              <c:strCache>
                <c:ptCount val="8"/>
                <c:pt idx="0">
                  <c:v>Teléfono Abierto</c:v>
                </c:pt>
                <c:pt idx="1">
                  <c:v>Inspección Técnica</c:v>
                </c:pt>
                <c:pt idx="2">
                  <c:v>Atención en la oficina</c:v>
                </c:pt>
                <c:pt idx="3">
                  <c:v>Atención en el territorio</c:v>
                </c:pt>
                <c:pt idx="4">
                  <c:v>Despacho Abierto</c:v>
                </c:pt>
                <c:pt idx="5">
                  <c:v>Reuniones Informativas </c:v>
                </c:pt>
                <c:pt idx="6">
                  <c:v>Mesas interinstitucionales y ciudadanas</c:v>
                </c:pt>
                <c:pt idx="7">
                  <c:v>Total </c:v>
                </c:pt>
              </c:strCache>
            </c:strRef>
          </c:cat>
          <c:val>
            <c:numRef>
              <c:f>'1er trimestre 2022'!$B$150:$B$157</c:f>
              <c:numCache>
                <c:formatCode>General</c:formatCode>
                <c:ptCount val="8"/>
                <c:pt idx="0">
                  <c:v>292</c:v>
                </c:pt>
                <c:pt idx="1">
                  <c:v>130</c:v>
                </c:pt>
                <c:pt idx="2">
                  <c:v>15</c:v>
                </c:pt>
                <c:pt idx="3">
                  <c:v>5</c:v>
                </c:pt>
                <c:pt idx="4">
                  <c:v>10</c:v>
                </c:pt>
                <c:pt idx="5">
                  <c:v>27</c:v>
                </c:pt>
                <c:pt idx="6">
                  <c:v>2</c:v>
                </c:pt>
                <c:pt idx="7">
                  <c:v>481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-413115360"/>
        <c:axId val="-413128416"/>
        <c:axId val="-413140448"/>
      </c:bar3DChart>
      <c:catAx>
        <c:axId val="-4131153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413128416"/>
        <c:crosses val="autoZero"/>
        <c:auto val="1"/>
        <c:lblAlgn val="ctr"/>
        <c:lblOffset val="100"/>
        <c:noMultiLvlLbl val="0"/>
      </c:catAx>
      <c:valAx>
        <c:axId val="-413128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413115360"/>
        <c:crosses val="autoZero"/>
        <c:crossBetween val="between"/>
      </c:valAx>
      <c:serAx>
        <c:axId val="-413140448"/>
        <c:scaling>
          <c:orientation val="minMax"/>
        </c:scaling>
        <c:delete val="1"/>
        <c:axPos val="b"/>
        <c:majorTickMark val="none"/>
        <c:minorTickMark val="none"/>
        <c:tickLblPos val="nextTo"/>
        <c:crossAx val="-413128416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'1er trimestre 2022'!$B$77</c:f>
              <c:strCache>
                <c:ptCount val="1"/>
                <c:pt idx="0">
                  <c:v>enero</c:v>
                </c:pt>
              </c:strCache>
            </c:strRef>
          </c:tx>
          <c:spPr>
            <a:solidFill>
              <a:schemeClr val="accent1"/>
            </a:solidFill>
            <a:ln w="25400">
              <a:solidFill>
                <a:schemeClr val="lt1"/>
              </a:solidFill>
            </a:ln>
            <a:effectLst/>
            <a:sp3d contourW="25400">
              <a:contourClr>
                <a:schemeClr val="lt1"/>
              </a:contourClr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AEA30ED9-73AA-437A-A036-2B163CBE84EC}" type="VALUE">
                      <a:rPr lang="en-US"/>
                      <a:pPr/>
                      <a:t>[VALOR]</a:t>
                    </a:fld>
                    <a:endParaRPr lang="es-SV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solidFill>
                <a:schemeClr val="accent4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'1er trimestre 2022'!$A$78</c:f>
              <c:strCache>
                <c:ptCount val="1"/>
                <c:pt idx="0">
                  <c:v>Teléfono Abierto</c:v>
                </c:pt>
              </c:strCache>
            </c:strRef>
          </c:cat>
          <c:val>
            <c:numRef>
              <c:f>'1er trimestre 2022'!$B$78</c:f>
              <c:numCache>
                <c:formatCode>General</c:formatCode>
                <c:ptCount val="1"/>
                <c:pt idx="0">
                  <c:v>83</c:v>
                </c:pt>
              </c:numCache>
            </c:numRef>
          </c:val>
        </c:ser>
        <c:ser>
          <c:idx val="1"/>
          <c:order val="1"/>
          <c:tx>
            <c:strRef>
              <c:f>'1er trimestre 2022'!$C$77</c:f>
              <c:strCache>
                <c:ptCount val="1"/>
                <c:pt idx="0">
                  <c:v>febrero</c:v>
                </c:pt>
              </c:strCache>
            </c:strRef>
          </c:tx>
          <c:spPr>
            <a:solidFill>
              <a:schemeClr val="accent2"/>
            </a:solidFill>
            <a:ln w="25400">
              <a:solidFill>
                <a:schemeClr val="lt1"/>
              </a:solidFill>
            </a:ln>
            <a:effectLst/>
            <a:sp3d contourW="25400">
              <a:contourClr>
                <a:schemeClr val="lt1"/>
              </a:contourClr>
            </a:sp3d>
          </c:spPr>
          <c:invertIfNegative val="0"/>
          <c:dLbls>
            <c:spPr>
              <a:solidFill>
                <a:schemeClr val="accent4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'1er trimestre 2022'!$A$78</c:f>
              <c:strCache>
                <c:ptCount val="1"/>
                <c:pt idx="0">
                  <c:v>Teléfono Abierto</c:v>
                </c:pt>
              </c:strCache>
            </c:strRef>
          </c:cat>
          <c:val>
            <c:numRef>
              <c:f>'1er trimestre 2022'!$C$78</c:f>
              <c:numCache>
                <c:formatCode>General</c:formatCode>
                <c:ptCount val="1"/>
                <c:pt idx="0">
                  <c:v>108</c:v>
                </c:pt>
              </c:numCache>
            </c:numRef>
          </c:val>
        </c:ser>
        <c:ser>
          <c:idx val="2"/>
          <c:order val="2"/>
          <c:tx>
            <c:strRef>
              <c:f>'1er trimestre 2022'!$D$77</c:f>
              <c:strCache>
                <c:ptCount val="1"/>
                <c:pt idx="0">
                  <c:v>marzo</c:v>
                </c:pt>
              </c:strCache>
            </c:strRef>
          </c:tx>
          <c:spPr>
            <a:solidFill>
              <a:schemeClr val="accent3"/>
            </a:solidFill>
            <a:ln w="25400">
              <a:solidFill>
                <a:schemeClr val="lt1"/>
              </a:solidFill>
            </a:ln>
            <a:effectLst/>
            <a:sp3d contourW="25400">
              <a:contourClr>
                <a:schemeClr val="lt1"/>
              </a:contourClr>
            </a:sp3d>
          </c:spPr>
          <c:invertIfNegative val="0"/>
          <c:dLbls>
            <c:spPr>
              <a:solidFill>
                <a:schemeClr val="accent4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'1er trimestre 2022'!$A$78</c:f>
              <c:strCache>
                <c:ptCount val="1"/>
                <c:pt idx="0">
                  <c:v>Teléfono Abierto</c:v>
                </c:pt>
              </c:strCache>
            </c:strRef>
          </c:cat>
          <c:val>
            <c:numRef>
              <c:f>'1er trimestre 2022'!$D$78</c:f>
              <c:numCache>
                <c:formatCode>General</c:formatCode>
                <c:ptCount val="1"/>
                <c:pt idx="0">
                  <c:v>101</c:v>
                </c:pt>
              </c:numCache>
            </c:numRef>
          </c:val>
        </c:ser>
        <c:ser>
          <c:idx val="3"/>
          <c:order val="3"/>
          <c:tx>
            <c:strRef>
              <c:f>'1er trimestre 2022'!$E$77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4"/>
            </a:solidFill>
            <a:ln w="25400">
              <a:solidFill>
                <a:schemeClr val="lt1"/>
              </a:solidFill>
            </a:ln>
            <a:effectLst/>
            <a:sp3d contourW="25400">
              <a:contourClr>
                <a:schemeClr val="lt1"/>
              </a:contourClr>
            </a:sp3d>
          </c:spPr>
          <c:invertIfNegative val="0"/>
          <c:dLbls>
            <c:spPr>
              <a:solidFill>
                <a:schemeClr val="accent4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'1er trimestre 2022'!$A$78</c:f>
              <c:strCache>
                <c:ptCount val="1"/>
                <c:pt idx="0">
                  <c:v>Teléfono Abierto</c:v>
                </c:pt>
              </c:strCache>
            </c:strRef>
          </c:cat>
          <c:val>
            <c:numRef>
              <c:f>'1er trimestre 2022'!$E$78</c:f>
              <c:numCache>
                <c:formatCode>General</c:formatCode>
                <c:ptCount val="1"/>
                <c:pt idx="0">
                  <c:v>292</c:v>
                </c:pt>
              </c:numCache>
            </c:numRef>
          </c:val>
          <c:shape val="pyramid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413127872"/>
        <c:axId val="-424015376"/>
        <c:axId val="-413131712"/>
      </c:bar3DChart>
      <c:catAx>
        <c:axId val="-4131278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424015376"/>
        <c:crosses val="autoZero"/>
        <c:auto val="1"/>
        <c:lblAlgn val="ctr"/>
        <c:lblOffset val="100"/>
        <c:noMultiLvlLbl val="0"/>
      </c:catAx>
      <c:valAx>
        <c:axId val="-4240153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413127872"/>
        <c:crosses val="autoZero"/>
        <c:crossBetween val="between"/>
      </c:valAx>
      <c:serAx>
        <c:axId val="-413131712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424015376"/>
        <c:crosses val="autoZero"/>
      </c:ser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104199475065617"/>
          <c:y val="0.91109016577388791"/>
          <c:w val="0.81958267716535438"/>
          <c:h val="7.403994575027562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Inspecciones</a:t>
            </a:r>
            <a:r>
              <a:rPr lang="es-SV" baseline="0"/>
              <a:t> Técnicas Sociales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4444444444444446E-2"/>
          <c:y val="0.12667349726775956"/>
          <c:w val="0.95111111111111113"/>
          <c:h val="0.7501250484058344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'1er trimestre 2022'!$B$79</c:f>
              <c:strCache>
                <c:ptCount val="1"/>
                <c:pt idx="0">
                  <c:v>enero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solidFill>
                <a:schemeClr val="accent4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'1er trimestre 2022'!$A$80</c:f>
              <c:strCache>
                <c:ptCount val="1"/>
                <c:pt idx="0">
                  <c:v>Inspección Técnica</c:v>
                </c:pt>
              </c:strCache>
            </c:strRef>
          </c:cat>
          <c:val>
            <c:numRef>
              <c:f>'1er trimestre 2022'!$B$80</c:f>
              <c:numCache>
                <c:formatCode>General</c:formatCode>
                <c:ptCount val="1"/>
                <c:pt idx="0">
                  <c:v>26</c:v>
                </c:pt>
              </c:numCache>
            </c:numRef>
          </c:val>
        </c:ser>
        <c:ser>
          <c:idx val="1"/>
          <c:order val="1"/>
          <c:tx>
            <c:strRef>
              <c:f>'1er trimestre 2022'!$C$79</c:f>
              <c:strCache>
                <c:ptCount val="1"/>
                <c:pt idx="0">
                  <c:v>febrero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solidFill>
                <a:schemeClr val="accent4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'1er trimestre 2022'!$A$80</c:f>
              <c:strCache>
                <c:ptCount val="1"/>
                <c:pt idx="0">
                  <c:v>Inspección Técnica</c:v>
                </c:pt>
              </c:strCache>
            </c:strRef>
          </c:cat>
          <c:val>
            <c:numRef>
              <c:f>'1er trimestre 2022'!$C$80</c:f>
              <c:numCache>
                <c:formatCode>General</c:formatCode>
                <c:ptCount val="1"/>
                <c:pt idx="0">
                  <c:v>65</c:v>
                </c:pt>
              </c:numCache>
            </c:numRef>
          </c:val>
        </c:ser>
        <c:ser>
          <c:idx val="2"/>
          <c:order val="2"/>
          <c:tx>
            <c:strRef>
              <c:f>'1er trimestre 2022'!$D$79</c:f>
              <c:strCache>
                <c:ptCount val="1"/>
                <c:pt idx="0">
                  <c:v>marzo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solidFill>
                <a:schemeClr val="accent4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'1er trimestre 2022'!$A$80</c:f>
              <c:strCache>
                <c:ptCount val="1"/>
                <c:pt idx="0">
                  <c:v>Inspección Técnica</c:v>
                </c:pt>
              </c:strCache>
            </c:strRef>
          </c:cat>
          <c:val>
            <c:numRef>
              <c:f>'1er trimestre 2022'!$D$80</c:f>
              <c:numCache>
                <c:formatCode>General</c:formatCode>
                <c:ptCount val="1"/>
                <c:pt idx="0">
                  <c:v>39</c:v>
                </c:pt>
              </c:numCache>
            </c:numRef>
          </c:val>
        </c:ser>
        <c:ser>
          <c:idx val="3"/>
          <c:order val="3"/>
          <c:tx>
            <c:strRef>
              <c:f>'1er trimestre 2022'!$E$79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spPr>
              <a:solidFill>
                <a:schemeClr val="accent4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'1er trimestre 2022'!$A$80</c:f>
              <c:strCache>
                <c:ptCount val="1"/>
                <c:pt idx="0">
                  <c:v>Inspección Técnica</c:v>
                </c:pt>
              </c:strCache>
            </c:strRef>
          </c:cat>
          <c:val>
            <c:numRef>
              <c:f>'1er trimestre 2022'!$E$80</c:f>
              <c:numCache>
                <c:formatCode>General</c:formatCode>
                <c:ptCount val="1"/>
                <c:pt idx="0">
                  <c:v>130</c:v>
                </c:pt>
              </c:numCache>
            </c:numRef>
          </c:val>
          <c:shape val="cylinder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424017552"/>
        <c:axId val="-424026256"/>
        <c:axId val="0"/>
      </c:bar3DChart>
      <c:catAx>
        <c:axId val="-424017552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-424026256"/>
        <c:crosses val="autoZero"/>
        <c:auto val="1"/>
        <c:lblAlgn val="ctr"/>
        <c:lblOffset val="100"/>
        <c:noMultiLvlLbl val="0"/>
      </c:catAx>
      <c:valAx>
        <c:axId val="-42402625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-424017552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layout>
        <c:manualLayout>
          <c:xMode val="edge"/>
          <c:yMode val="edge"/>
          <c:x val="0.32661137357830272"/>
          <c:y val="0.87064508842132426"/>
          <c:w val="0.42455503062117228"/>
          <c:h val="0.1088631082999870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400"/>
              <a:t> a</a:t>
            </a:r>
            <a:r>
              <a:rPr lang="es-SV" sz="1400" cap="none"/>
              <a:t>tención</a:t>
            </a:r>
            <a:r>
              <a:rPr lang="es-SV" sz="1400" cap="none" baseline="0"/>
              <a:t> en la oficina</a:t>
            </a:r>
            <a:endParaRPr lang="es-SV" sz="1400" cap="none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2782323778155188E-2"/>
          <c:y val="0.11058051865138481"/>
          <c:w val="0.87030432470451002"/>
          <c:h val="0.84794130463421802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'1er trimestre 2022'!$B$82</c:f>
              <c:strCache>
                <c:ptCount val="1"/>
                <c:pt idx="0">
                  <c:v>enero</c:v>
                </c:pt>
              </c:strCache>
            </c:strRef>
          </c:tx>
          <c:spPr>
            <a:gradFill>
              <a:gsLst>
                <a:gs pos="100000">
                  <a:schemeClr val="accent1">
                    <a:alpha val="0"/>
                  </a:schemeClr>
                </a:gs>
                <a:gs pos="50000">
                  <a:schemeClr val="accent1"/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accent4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'1er trimestre 2022'!$A$83</c:f>
              <c:strCache>
                <c:ptCount val="1"/>
                <c:pt idx="0">
                  <c:v>Atención en la oficina</c:v>
                </c:pt>
              </c:strCache>
            </c:strRef>
          </c:cat>
          <c:val>
            <c:numRef>
              <c:f>'1er trimestre 2022'!$B$83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</c:ser>
        <c:ser>
          <c:idx val="1"/>
          <c:order val="1"/>
          <c:tx>
            <c:strRef>
              <c:f>'1er trimestre 2022'!$C$82</c:f>
              <c:strCache>
                <c:ptCount val="1"/>
                <c:pt idx="0">
                  <c:v>febrero</c:v>
                </c:pt>
              </c:strCache>
            </c:strRef>
          </c:tx>
          <c:spPr>
            <a:gradFill>
              <a:gsLst>
                <a:gs pos="100000">
                  <a:schemeClr val="accent2">
                    <a:alpha val="0"/>
                  </a:schemeClr>
                </a:gs>
                <a:gs pos="50000">
                  <a:schemeClr val="accent2"/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dLbls>
            <c:spPr>
              <a:solidFill>
                <a:schemeClr val="accent4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'1er trimestre 2022'!$A$83</c:f>
              <c:strCache>
                <c:ptCount val="1"/>
                <c:pt idx="0">
                  <c:v>Atención en la oficina</c:v>
                </c:pt>
              </c:strCache>
            </c:strRef>
          </c:cat>
          <c:val>
            <c:numRef>
              <c:f>'1er trimestre 2022'!$C$83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</c:ser>
        <c:ser>
          <c:idx val="2"/>
          <c:order val="2"/>
          <c:tx>
            <c:strRef>
              <c:f>'1er trimestre 2022'!$D$82</c:f>
              <c:strCache>
                <c:ptCount val="1"/>
                <c:pt idx="0">
                  <c:v>marzo</c:v>
                </c:pt>
              </c:strCache>
            </c:strRef>
          </c:tx>
          <c:spPr>
            <a:gradFill>
              <a:gsLst>
                <a:gs pos="100000">
                  <a:schemeClr val="accent3">
                    <a:alpha val="0"/>
                  </a:schemeClr>
                </a:gs>
                <a:gs pos="50000">
                  <a:schemeClr val="accent3"/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dLbls>
            <c:spPr>
              <a:solidFill>
                <a:schemeClr val="accent4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'1er trimestre 2022'!$A$83</c:f>
              <c:strCache>
                <c:ptCount val="1"/>
                <c:pt idx="0">
                  <c:v>Atención en la oficina</c:v>
                </c:pt>
              </c:strCache>
            </c:strRef>
          </c:cat>
          <c:val>
            <c:numRef>
              <c:f>'1er trimestre 2022'!$D$83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</c:ser>
        <c:ser>
          <c:idx val="3"/>
          <c:order val="3"/>
          <c:tx>
            <c:strRef>
              <c:f>'1er trimestre 2022'!$E$82</c:f>
              <c:strCache>
                <c:ptCount val="1"/>
                <c:pt idx="0">
                  <c:v>Total</c:v>
                </c:pt>
              </c:strCache>
            </c:strRef>
          </c:tx>
          <c:spPr>
            <a:gradFill>
              <a:gsLst>
                <a:gs pos="100000">
                  <a:schemeClr val="accent4">
                    <a:alpha val="0"/>
                  </a:schemeClr>
                </a:gs>
                <a:gs pos="50000">
                  <a:schemeClr val="accent4"/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dLbls>
            <c:spPr>
              <a:solidFill>
                <a:schemeClr val="accent4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'1er trimestre 2022'!$A$83</c:f>
              <c:strCache>
                <c:ptCount val="1"/>
                <c:pt idx="0">
                  <c:v>Atención en la oficina</c:v>
                </c:pt>
              </c:strCache>
            </c:strRef>
          </c:cat>
          <c:val>
            <c:numRef>
              <c:f>'1er trimestre 2022'!$E$83</c:f>
              <c:numCache>
                <c:formatCode>General</c:formatCode>
                <c:ptCount val="1"/>
                <c:pt idx="0">
                  <c:v>15</c:v>
                </c:pt>
              </c:numCache>
            </c:numRef>
          </c:val>
          <c:shape val="cylinder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-424025168"/>
        <c:axId val="-424028432"/>
        <c:axId val="-413132960"/>
      </c:bar3DChart>
      <c:catAx>
        <c:axId val="-424025168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-424028432"/>
        <c:crosses val="autoZero"/>
        <c:auto val="1"/>
        <c:lblAlgn val="ctr"/>
        <c:lblOffset val="100"/>
        <c:noMultiLvlLbl val="0"/>
      </c:catAx>
      <c:valAx>
        <c:axId val="-424028432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-424025168"/>
        <c:crosses val="autoZero"/>
        <c:crossBetween val="between"/>
      </c:valAx>
      <c:serAx>
        <c:axId val="-413132960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424028432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Atención en el territorio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lineChart>
        <c:grouping val="percentStacked"/>
        <c:varyColors val="0"/>
        <c:ser>
          <c:idx val="0"/>
          <c:order val="0"/>
          <c:tx>
            <c:strRef>
              <c:f>'1er trimestre 2022'!$A$86</c:f>
              <c:strCache>
                <c:ptCount val="1"/>
                <c:pt idx="0">
                  <c:v>Atención en el territorio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'1er trimestre 2022'!$B$85:$E$85</c:f>
              <c:strCache>
                <c:ptCount val="4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Total</c:v>
                </c:pt>
              </c:strCache>
            </c:strRef>
          </c:cat>
          <c:val>
            <c:numRef>
              <c:f>'1er trimestre 2022'!$B$86:$E$86</c:f>
              <c:numCache>
                <c:formatCode>General</c:formatCode>
                <c:ptCount val="4"/>
                <c:pt idx="1">
                  <c:v>5</c:v>
                </c:pt>
                <c:pt idx="3">
                  <c:v>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424027888"/>
        <c:axId val="-424024624"/>
      </c:lineChart>
      <c:catAx>
        <c:axId val="-424027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424024624"/>
        <c:crosses val="autoZero"/>
        <c:auto val="1"/>
        <c:lblAlgn val="ctr"/>
        <c:lblOffset val="100"/>
        <c:noMultiLvlLbl val="0"/>
      </c:catAx>
      <c:valAx>
        <c:axId val="-4240246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4240278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areaChart>
        <c:grouping val="stacked"/>
        <c:varyColors val="0"/>
        <c:ser>
          <c:idx val="0"/>
          <c:order val="0"/>
          <c:tx>
            <c:strRef>
              <c:f>'1er trimestre 2022'!$A$96</c:f>
              <c:strCache>
                <c:ptCount val="1"/>
                <c:pt idx="0">
                  <c:v>Despacho Abierto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'1er trimestre 2022'!$B$95:$D$95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'1er trimestre 2022'!$B$96:$D$96</c:f>
              <c:numCache>
                <c:formatCode>General</c:formatCode>
                <c:ptCount val="3"/>
                <c:pt idx="0">
                  <c:v>3</c:v>
                </c:pt>
                <c:pt idx="1">
                  <c:v>4</c:v>
                </c:pt>
                <c:pt idx="2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424023536"/>
        <c:axId val="-424022992"/>
      </c:areaChart>
      <c:catAx>
        <c:axId val="-4240235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424022992"/>
        <c:crosses val="autoZero"/>
        <c:auto val="1"/>
        <c:lblAlgn val="ctr"/>
        <c:lblOffset val="100"/>
        <c:noMultiLvlLbl val="0"/>
      </c:catAx>
      <c:valAx>
        <c:axId val="-4240229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424023536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s-SV" sz="1400"/>
              <a:t>Reuniones Informativas/Asambleas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'1er trimestre 2022'!$B$88</c:f>
              <c:strCache>
                <c:ptCount val="1"/>
                <c:pt idx="0">
                  <c:v>enero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2222222222222223E-2"/>
                  <c:y val="9.259259259259173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accent4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'1er trimestre 2022'!$A$89</c:f>
              <c:strCache>
                <c:ptCount val="1"/>
                <c:pt idx="0">
                  <c:v>Reuniones Informativas y/o Asambleas Comunitarias</c:v>
                </c:pt>
              </c:strCache>
            </c:strRef>
          </c:cat>
          <c:val>
            <c:numRef>
              <c:f>'1er trimestre 2022'!$B$89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</c:ser>
        <c:ser>
          <c:idx val="1"/>
          <c:order val="1"/>
          <c:tx>
            <c:strRef>
              <c:f>'1er trimestre 2022'!$C$88</c:f>
              <c:strCache>
                <c:ptCount val="1"/>
                <c:pt idx="0">
                  <c:v>febrero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6111111111111059E-2"/>
                  <c:y val="-8.4875562720133283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accent4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'1er trimestre 2022'!$A$89</c:f>
              <c:strCache>
                <c:ptCount val="1"/>
                <c:pt idx="0">
                  <c:v>Reuniones Informativas y/o Asambleas Comunitarias</c:v>
                </c:pt>
              </c:strCache>
            </c:strRef>
          </c:cat>
          <c:val>
            <c:numRef>
              <c:f>'1er trimestre 2022'!$C$89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</c:ser>
        <c:ser>
          <c:idx val="2"/>
          <c:order val="2"/>
          <c:tx>
            <c:strRef>
              <c:f>'1er trimestre 2022'!$D$88</c:f>
              <c:strCache>
                <c:ptCount val="1"/>
                <c:pt idx="0">
                  <c:v>marzo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9444444444444344E-2"/>
                  <c:y val="-8.4875562720133283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accent4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'1er trimestre 2022'!$A$89</c:f>
              <c:strCache>
                <c:ptCount val="1"/>
                <c:pt idx="0">
                  <c:v>Reuniones Informativas y/o Asambleas Comunitarias</c:v>
                </c:pt>
              </c:strCache>
            </c:strRef>
          </c:cat>
          <c:val>
            <c:numRef>
              <c:f>'1er trimestre 2022'!$D$89</c:f>
              <c:numCache>
                <c:formatCode>General</c:formatCode>
                <c:ptCount val="1"/>
                <c:pt idx="0">
                  <c:v>14</c:v>
                </c:pt>
              </c:numCache>
            </c:numRef>
          </c:val>
        </c:ser>
        <c:ser>
          <c:idx val="3"/>
          <c:order val="3"/>
          <c:tx>
            <c:strRef>
              <c:f>'1er trimestre 2022'!$E$88</c:f>
              <c:strCache>
                <c:ptCount val="1"/>
                <c:pt idx="0">
                  <c:v>Total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dLbls>
            <c:spPr>
              <a:solidFill>
                <a:schemeClr val="accent4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'1er trimestre 2022'!$A$89</c:f>
              <c:strCache>
                <c:ptCount val="1"/>
                <c:pt idx="0">
                  <c:v>Reuniones Informativas y/o Asambleas Comunitarias</c:v>
                </c:pt>
              </c:strCache>
            </c:strRef>
          </c:cat>
          <c:val>
            <c:numRef>
              <c:f>'1er trimestre 2022'!$E$89</c:f>
              <c:numCache>
                <c:formatCode>General</c:formatCode>
                <c:ptCount val="1"/>
                <c:pt idx="0">
                  <c:v>27</c:v>
                </c:pt>
              </c:numCache>
            </c:numRef>
          </c:val>
          <c:shape val="pyramid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424021904"/>
        <c:axId val="-564079120"/>
        <c:axId val="0"/>
      </c:bar3DChart>
      <c:catAx>
        <c:axId val="-42402190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-564079120"/>
        <c:crosses val="autoZero"/>
        <c:auto val="1"/>
        <c:lblAlgn val="ctr"/>
        <c:lblOffset val="100"/>
        <c:noMultiLvlLbl val="0"/>
      </c:catAx>
      <c:valAx>
        <c:axId val="-56407912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-424021904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layout>
        <c:manualLayout>
          <c:xMode val="edge"/>
          <c:yMode val="edge"/>
          <c:x val="0.55476786200294692"/>
          <c:y val="0.75950643065092682"/>
          <c:w val="0.42443328672116226"/>
          <c:h val="0.2024781652683430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>
      <cs:styleClr val="auto"/>
    </cs:fillRef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7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7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9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/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alpha val="0"/>
            </a:schemeClr>
          </a:gs>
          <a:gs pos="50000">
            <a:schemeClr val="phClr"/>
          </a:gs>
        </a:gsLst>
        <a:lin ang="5400000" scaled="0"/>
      </a:gradFill>
      <a:sp3d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7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9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6CAAE-E6AD-4722-A7B5-48AF88A17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Lourdes Parada Alfaro</dc:creator>
  <cp:keywords/>
  <dc:description/>
  <cp:lastModifiedBy>Maria Lourdes Parada Alfaro</cp:lastModifiedBy>
  <cp:revision>2</cp:revision>
  <dcterms:created xsi:type="dcterms:W3CDTF">2022-04-20T15:08:00Z</dcterms:created>
  <dcterms:modified xsi:type="dcterms:W3CDTF">2022-04-20T15:08:00Z</dcterms:modified>
</cp:coreProperties>
</file>