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B41388" w:rsidRPr="00B41388" w:rsidRDefault="00524D06" w:rsidP="00496A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DEMANDA DE OBRA PÚBLICA </w:t>
      </w:r>
      <w:r w:rsidR="00EB51D9">
        <w:rPr>
          <w:b/>
          <w:sz w:val="28"/>
          <w:szCs w:val="28"/>
        </w:rPr>
        <w:t>D</w:t>
      </w:r>
      <w:r w:rsidR="00AD0C86">
        <w:rPr>
          <w:b/>
          <w:sz w:val="28"/>
          <w:szCs w:val="28"/>
        </w:rPr>
        <w:t xml:space="preserve">EL </w:t>
      </w:r>
      <w:r w:rsidR="0010130F">
        <w:rPr>
          <w:b/>
          <w:sz w:val="28"/>
          <w:szCs w:val="28"/>
        </w:rPr>
        <w:t>1er</w:t>
      </w:r>
      <w:r w:rsidR="00522E81">
        <w:rPr>
          <w:b/>
          <w:sz w:val="28"/>
          <w:szCs w:val="28"/>
        </w:rPr>
        <w:t xml:space="preserve">. </w:t>
      </w:r>
      <w:r w:rsidR="00AD0C86">
        <w:rPr>
          <w:b/>
          <w:sz w:val="28"/>
          <w:szCs w:val="28"/>
        </w:rPr>
        <w:t xml:space="preserve">TRIMESTRE </w:t>
      </w:r>
      <w:r>
        <w:rPr>
          <w:b/>
          <w:sz w:val="28"/>
          <w:szCs w:val="28"/>
        </w:rPr>
        <w:t>20</w:t>
      </w:r>
      <w:r w:rsidR="0010130F">
        <w:rPr>
          <w:b/>
          <w:sz w:val="28"/>
          <w:szCs w:val="28"/>
        </w:rPr>
        <w:t>21</w:t>
      </w:r>
    </w:p>
    <w:p w:rsidR="0065734E" w:rsidRDefault="00B41388" w:rsidP="00496A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(Recibida con nota – por escrito-</w:t>
      </w:r>
      <w:r w:rsidR="00F01E51">
        <w:rPr>
          <w:sz w:val="28"/>
          <w:szCs w:val="28"/>
        </w:rPr>
        <w:t xml:space="preserve"> en </w:t>
      </w:r>
      <w:r w:rsidR="00AD0C86">
        <w:rPr>
          <w:sz w:val="28"/>
          <w:szCs w:val="28"/>
        </w:rPr>
        <w:t>D</w:t>
      </w:r>
      <w:r w:rsidR="00F01E51">
        <w:rPr>
          <w:sz w:val="28"/>
          <w:szCs w:val="28"/>
        </w:rPr>
        <w:t>GS</w:t>
      </w:r>
      <w:r>
        <w:rPr>
          <w:sz w:val="28"/>
          <w:szCs w:val="28"/>
        </w:rPr>
        <w:t>)</w:t>
      </w:r>
    </w:p>
    <w:p w:rsidR="00635676" w:rsidRDefault="00635676"/>
    <w:p w:rsidR="00B36DB2" w:rsidRDefault="00B36DB2" w:rsidP="00522E81">
      <w:pPr>
        <w:jc w:val="center"/>
      </w:pPr>
      <w:r w:rsidRPr="0010130F">
        <w:rPr>
          <w:noProof/>
          <w:shd w:val="clear" w:color="auto" w:fill="FFC000" w:themeFill="accent4"/>
          <w:lang w:eastAsia="es-SV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163830</wp:posOffset>
            </wp:positionV>
            <wp:extent cx="5353050" cy="4114800"/>
            <wp:effectExtent l="0" t="0" r="0" b="0"/>
            <wp:wrapTight wrapText="bothSides">
              <wp:wrapPolygon edited="0">
                <wp:start x="0" y="0"/>
                <wp:lineTo x="0" y="21500"/>
                <wp:lineTo x="21523" y="21500"/>
                <wp:lineTo x="21523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</wp:anchor>
        </w:drawing>
      </w: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820910" w:rsidRDefault="00820910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B36DB2" w:rsidRDefault="00B36DB2" w:rsidP="00522E81">
      <w:pPr>
        <w:jc w:val="center"/>
      </w:pPr>
    </w:p>
    <w:p w:rsidR="004C3084" w:rsidRDefault="004C3084"/>
    <w:p w:rsidR="00297123" w:rsidRDefault="00297123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70485</wp:posOffset>
                </wp:positionV>
                <wp:extent cx="5353050" cy="6762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Default="00EA063E" w:rsidP="002C2297">
                            <w:pPr>
                              <w:jc w:val="both"/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de pastel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durante el 1er. Trimestre de 2021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la Dirección de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. En promedio se han recibido 50 solicitudes mensuales.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.95pt;margin-top:5.55pt;width:421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" fillcolor="white [3201]" strokecolor="#70ad47 [3209]" strokeweight="1pt">
                <v:textbox>
                  <w:txbxContent>
                    <w:p w:rsidR="00EA063E" w:rsidRDefault="00EA063E" w:rsidP="002C2297">
                      <w:pPr>
                        <w:jc w:val="both"/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de pastel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durante el 1er. Trimestre de 2021</w:t>
                      </w:r>
                      <w:r w:rsidR="00024C26">
                        <w:rPr>
                          <w:sz w:val="24"/>
                          <w:szCs w:val="24"/>
                        </w:rPr>
                        <w:t>,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la Dirección de </w:t>
                      </w:r>
                      <w:r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297123">
                        <w:rPr>
                          <w:sz w:val="24"/>
                          <w:szCs w:val="24"/>
                        </w:rPr>
                        <w:t>. En promedio se han recibido 50 solicitudes mensuales.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7123" w:rsidRDefault="00297123"/>
    <w:p w:rsidR="00297123" w:rsidRDefault="00297123"/>
    <w:p w:rsidR="004C3084" w:rsidRDefault="004C3084"/>
    <w:p w:rsidR="002C2297" w:rsidRDefault="002C2297">
      <w:r>
        <w:br w:type="page"/>
      </w:r>
    </w:p>
    <w:p w:rsidR="00AD0C86" w:rsidRDefault="00AD0C86"/>
    <w:p w:rsidR="007A0B81" w:rsidRDefault="007A0B81"/>
    <w:p w:rsidR="007A0B81" w:rsidRDefault="0010130F">
      <w:r>
        <w:rPr>
          <w:noProof/>
          <w:lang w:eastAsia="es-SV"/>
        </w:rPr>
        <w:drawing>
          <wp:inline distT="0" distB="0" distL="0" distR="0" wp14:anchorId="6ECDAE00" wp14:editId="08931120">
            <wp:extent cx="5943600" cy="41910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0C86" w:rsidRDefault="00AD0C86"/>
    <w:p w:rsidR="00AD0C86" w:rsidRDefault="007A0B81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53340</wp:posOffset>
                </wp:positionH>
                <wp:positionV relativeFrom="paragraph">
                  <wp:posOffset>290195</wp:posOffset>
                </wp:positionV>
                <wp:extent cx="5934075" cy="990600"/>
                <wp:effectExtent l="0" t="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990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26" w:rsidRDefault="00EA063E" w:rsidP="00A63F00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la demanda de solicitudes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 en cada uno de los meses del 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 xml:space="preserve">primer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trimestre 20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063E" w:rsidRPr="00A63F00" w:rsidRDefault="00024C26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San Salvador es el departamento que más solicitudes presenta</w:t>
                            </w:r>
                            <w:r w:rsidR="009E5D12">
                              <w:rPr>
                                <w:sz w:val="24"/>
                                <w:szCs w:val="24"/>
                              </w:rPr>
                              <w:t xml:space="preserve"> en el trimestre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 xml:space="preserve">, seguido de La Libertad y en tercer lugar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Sonsonate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4.2pt;margin-top:22.85pt;width:467.2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" fillcolor="white [3201]" strokecolor="#70ad47 [3209]" strokeweight="1pt">
                <v:textbox>
                  <w:txbxContent>
                    <w:p w:rsidR="00024C26" w:rsidRDefault="00EA063E" w:rsidP="00A63F00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la demanda de solicitudes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 en cada uno de los meses del </w:t>
                      </w:r>
                      <w:r w:rsidR="008543F3">
                        <w:rPr>
                          <w:sz w:val="24"/>
                          <w:szCs w:val="24"/>
                        </w:rPr>
                        <w:t xml:space="preserve">primer </w:t>
                      </w:r>
                      <w:r w:rsidR="00024C26">
                        <w:rPr>
                          <w:sz w:val="24"/>
                          <w:szCs w:val="24"/>
                        </w:rPr>
                        <w:t>trimestre 20</w:t>
                      </w:r>
                      <w:r w:rsidR="008543F3">
                        <w:rPr>
                          <w:sz w:val="24"/>
                          <w:szCs w:val="24"/>
                        </w:rPr>
                        <w:t>21</w:t>
                      </w:r>
                      <w:r w:rsidR="00024C2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A063E" w:rsidRPr="00A63F00" w:rsidRDefault="00024C26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San Salvador es el departamento que más solicitudes presenta</w:t>
                      </w:r>
                      <w:r w:rsidR="009E5D12">
                        <w:rPr>
                          <w:sz w:val="24"/>
                          <w:szCs w:val="24"/>
                        </w:rPr>
                        <w:t xml:space="preserve"> en el trimestre</w:t>
                      </w:r>
                      <w:r w:rsidR="008543F3">
                        <w:rPr>
                          <w:sz w:val="24"/>
                          <w:szCs w:val="24"/>
                        </w:rPr>
                        <w:t xml:space="preserve">, seguido de La Libertad y en tercer lugar </w:t>
                      </w:r>
                      <w:r>
                        <w:rPr>
                          <w:sz w:val="24"/>
                          <w:szCs w:val="24"/>
                        </w:rPr>
                        <w:t>Sonsonate</w:t>
                      </w:r>
                      <w:r w:rsidR="008543F3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0B81" w:rsidRDefault="007A0B81"/>
    <w:p w:rsidR="00AD0C86" w:rsidRDefault="00AD0C86"/>
    <w:p w:rsidR="00B36DB2" w:rsidRDefault="00B36DB2"/>
    <w:p w:rsidR="00B36DB2" w:rsidRDefault="00B36DB2"/>
    <w:p w:rsidR="008543F3" w:rsidRDefault="008543F3">
      <w:r>
        <w:br w:type="page"/>
      </w:r>
    </w:p>
    <w:p w:rsidR="00B36DB2" w:rsidRDefault="00B36DB2"/>
    <w:p w:rsidR="00B36DB2" w:rsidRDefault="00B36DB2"/>
    <w:p w:rsidR="00A63F00" w:rsidRDefault="00B36DB2">
      <w:r>
        <w:rPr>
          <w:noProof/>
          <w:lang w:eastAsia="es-SV"/>
        </w:rPr>
        <w:drawing>
          <wp:inline distT="0" distB="0" distL="0" distR="0" wp14:anchorId="3A2963C8" wp14:editId="164D9E3E">
            <wp:extent cx="5810250" cy="307657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676" w:rsidRDefault="00554125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53340</wp:posOffset>
                </wp:positionH>
                <wp:positionV relativeFrom="paragraph">
                  <wp:posOffset>299720</wp:posOffset>
                </wp:positionV>
                <wp:extent cx="5753100" cy="614680"/>
                <wp:effectExtent l="0" t="0" r="19050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146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297" w:rsidRDefault="002C2297" w:rsidP="009F34BA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el movimiento 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mensual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solicitudes de obra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 por escrito, </w:t>
                            </w:r>
                            <w:r w:rsidR="00554125">
                              <w:rPr>
                                <w:sz w:val="24"/>
                                <w:szCs w:val="24"/>
                              </w:rPr>
                              <w:t>y el acumulado en el trimestre.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8" type="#_x0000_t202" style="position:absolute;margin-left:4.2pt;margin-top:23.6pt;width:453pt;height:4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" fillcolor="white [3201]" strokecolor="#70ad47 [3209]" strokeweight="1pt">
                <v:textbox>
                  <w:txbxContent>
                    <w:p w:rsidR="002C2297" w:rsidRDefault="002C2297" w:rsidP="009F34BA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el movimiento 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mensual </w:t>
                      </w:r>
                      <w:r w:rsidRPr="00A63F00">
                        <w:rPr>
                          <w:sz w:val="24"/>
                          <w:szCs w:val="24"/>
                        </w:rPr>
                        <w:t>de solicitudes de obra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 por escrito, </w:t>
                      </w:r>
                      <w:r w:rsidR="00554125">
                        <w:rPr>
                          <w:sz w:val="24"/>
                          <w:szCs w:val="24"/>
                        </w:rPr>
                        <w:t>y el acumulado en el trimestre.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125" w:rsidRDefault="00554125"/>
    <w:p w:rsidR="00554125" w:rsidRDefault="00554125">
      <w:bookmarkStart w:id="0" w:name="_GoBack"/>
      <w:bookmarkEnd w:id="0"/>
    </w:p>
    <w:sectPr w:rsidR="00554125" w:rsidSect="00EA063E">
      <w:headerReference w:type="default" r:id="rId10"/>
      <w:footerReference w:type="default" r:id="rId11"/>
      <w:pgSz w:w="12240" w:h="15840" w:code="1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D16" w:rsidRDefault="00351D16" w:rsidP="00496A48">
      <w:pPr>
        <w:spacing w:after="0" w:line="240" w:lineRule="auto"/>
      </w:pPr>
      <w:r>
        <w:separator/>
      </w:r>
    </w:p>
  </w:endnote>
  <w:endnote w:type="continuationSeparator" w:id="0">
    <w:p w:rsidR="00351D16" w:rsidRDefault="00351D16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125" w:rsidRPr="00554125">
          <w:rPr>
            <w:noProof/>
            <w:lang w:val="es-ES"/>
          </w:rPr>
          <w:t>1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D16" w:rsidRDefault="00351D16" w:rsidP="00496A48">
      <w:pPr>
        <w:spacing w:after="0" w:line="240" w:lineRule="auto"/>
      </w:pPr>
      <w:r>
        <w:separator/>
      </w:r>
    </w:p>
  </w:footnote>
  <w:footnote w:type="continuationSeparator" w:id="0">
    <w:p w:rsidR="00351D16" w:rsidRDefault="00351D16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BA06D6" w:rsidP="00BA06D6">
    <w:pPr>
      <w:pStyle w:val="Encabezado"/>
      <w:tabs>
        <w:tab w:val="clear" w:pos="4419"/>
        <w:tab w:val="clear" w:pos="8838"/>
        <w:tab w:val="left" w:pos="5094"/>
      </w:tabs>
    </w:pPr>
    <w:r w:rsidRPr="00BA06D6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2244090</wp:posOffset>
          </wp:positionH>
          <wp:positionV relativeFrom="paragraph">
            <wp:posOffset>-316230</wp:posOffset>
          </wp:positionV>
          <wp:extent cx="914400" cy="697230"/>
          <wp:effectExtent l="0" t="0" r="0" b="7620"/>
          <wp:wrapTight wrapText="bothSides">
            <wp:wrapPolygon edited="0">
              <wp:start x="9000" y="0"/>
              <wp:lineTo x="4950" y="0"/>
              <wp:lineTo x="900" y="5311"/>
              <wp:lineTo x="0" y="17115"/>
              <wp:lineTo x="0" y="21246"/>
              <wp:lineTo x="21150" y="21246"/>
              <wp:lineTo x="21150" y="17115"/>
              <wp:lineTo x="20700" y="5311"/>
              <wp:lineTo x="16200" y="0"/>
              <wp:lineTo x="12150" y="0"/>
              <wp:lineTo x="9000" y="0"/>
            </wp:wrapPolygon>
          </wp:wrapTight>
          <wp:docPr id="2" name="Imagen 2" descr="C:\Users\maria.parada\Desktop\Membrete nuevo gobierno\logos_mop_GOES_Cool_Gra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parada\Desktop\Membrete nuevo gobierno\logos_mop_GOES_Cool_Gray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5853"/>
    <w:rsid w:val="00080CA4"/>
    <w:rsid w:val="000B62CB"/>
    <w:rsid w:val="000C429E"/>
    <w:rsid w:val="000D297B"/>
    <w:rsid w:val="000E7C9D"/>
    <w:rsid w:val="000F0C27"/>
    <w:rsid w:val="0010130F"/>
    <w:rsid w:val="0010262D"/>
    <w:rsid w:val="00142736"/>
    <w:rsid w:val="00173FCD"/>
    <w:rsid w:val="00183A77"/>
    <w:rsid w:val="0019471E"/>
    <w:rsid w:val="001A167B"/>
    <w:rsid w:val="001A62DB"/>
    <w:rsid w:val="001B2446"/>
    <w:rsid w:val="001B2898"/>
    <w:rsid w:val="001C3CEF"/>
    <w:rsid w:val="002012D8"/>
    <w:rsid w:val="002679C9"/>
    <w:rsid w:val="00297123"/>
    <w:rsid w:val="002C2297"/>
    <w:rsid w:val="0031702D"/>
    <w:rsid w:val="00351D16"/>
    <w:rsid w:val="00352FA4"/>
    <w:rsid w:val="00356CF6"/>
    <w:rsid w:val="003707CA"/>
    <w:rsid w:val="00375231"/>
    <w:rsid w:val="00380789"/>
    <w:rsid w:val="0039075F"/>
    <w:rsid w:val="00396EBF"/>
    <w:rsid w:val="003E2109"/>
    <w:rsid w:val="003F53BB"/>
    <w:rsid w:val="00401C19"/>
    <w:rsid w:val="00410DC0"/>
    <w:rsid w:val="00412CD6"/>
    <w:rsid w:val="00426F5F"/>
    <w:rsid w:val="004274DD"/>
    <w:rsid w:val="00481FAB"/>
    <w:rsid w:val="00493B94"/>
    <w:rsid w:val="00496A48"/>
    <w:rsid w:val="004B4A21"/>
    <w:rsid w:val="004C3084"/>
    <w:rsid w:val="004E195A"/>
    <w:rsid w:val="004E2069"/>
    <w:rsid w:val="004F0C2E"/>
    <w:rsid w:val="004F3A6A"/>
    <w:rsid w:val="00501ECE"/>
    <w:rsid w:val="00511C94"/>
    <w:rsid w:val="00522E81"/>
    <w:rsid w:val="00524D06"/>
    <w:rsid w:val="00545A32"/>
    <w:rsid w:val="00554125"/>
    <w:rsid w:val="00570D2B"/>
    <w:rsid w:val="00587943"/>
    <w:rsid w:val="005C36D8"/>
    <w:rsid w:val="005D5D9D"/>
    <w:rsid w:val="005D6B84"/>
    <w:rsid w:val="005E1D8E"/>
    <w:rsid w:val="00615756"/>
    <w:rsid w:val="0062144F"/>
    <w:rsid w:val="00635676"/>
    <w:rsid w:val="00653B1F"/>
    <w:rsid w:val="0065734E"/>
    <w:rsid w:val="006A2C19"/>
    <w:rsid w:val="006B2DF2"/>
    <w:rsid w:val="006C4E50"/>
    <w:rsid w:val="00700887"/>
    <w:rsid w:val="007353FE"/>
    <w:rsid w:val="00776B5C"/>
    <w:rsid w:val="007A0B81"/>
    <w:rsid w:val="007B6C61"/>
    <w:rsid w:val="007C51E5"/>
    <w:rsid w:val="007D02A4"/>
    <w:rsid w:val="00820910"/>
    <w:rsid w:val="008543F3"/>
    <w:rsid w:val="0086182F"/>
    <w:rsid w:val="008A08FB"/>
    <w:rsid w:val="008B4789"/>
    <w:rsid w:val="008E026A"/>
    <w:rsid w:val="008E766E"/>
    <w:rsid w:val="00905AF2"/>
    <w:rsid w:val="0092250C"/>
    <w:rsid w:val="0096022B"/>
    <w:rsid w:val="00983F99"/>
    <w:rsid w:val="009870A2"/>
    <w:rsid w:val="009A2AF3"/>
    <w:rsid w:val="009B2694"/>
    <w:rsid w:val="009C3577"/>
    <w:rsid w:val="009C45F5"/>
    <w:rsid w:val="009E5D12"/>
    <w:rsid w:val="009F34BA"/>
    <w:rsid w:val="00A53151"/>
    <w:rsid w:val="00A546B7"/>
    <w:rsid w:val="00A63F00"/>
    <w:rsid w:val="00A71598"/>
    <w:rsid w:val="00A7666C"/>
    <w:rsid w:val="00A7789B"/>
    <w:rsid w:val="00AD0C86"/>
    <w:rsid w:val="00AD686F"/>
    <w:rsid w:val="00B321F2"/>
    <w:rsid w:val="00B36DB2"/>
    <w:rsid w:val="00B41388"/>
    <w:rsid w:val="00B60C7A"/>
    <w:rsid w:val="00B804B4"/>
    <w:rsid w:val="00B9657B"/>
    <w:rsid w:val="00BA06D6"/>
    <w:rsid w:val="00BC084A"/>
    <w:rsid w:val="00C1091C"/>
    <w:rsid w:val="00C121DB"/>
    <w:rsid w:val="00C41970"/>
    <w:rsid w:val="00C43EDA"/>
    <w:rsid w:val="00C53A9E"/>
    <w:rsid w:val="00C70EC4"/>
    <w:rsid w:val="00C82234"/>
    <w:rsid w:val="00CB5EC8"/>
    <w:rsid w:val="00CC208B"/>
    <w:rsid w:val="00CC6887"/>
    <w:rsid w:val="00CD237D"/>
    <w:rsid w:val="00CD57D9"/>
    <w:rsid w:val="00CE2B6D"/>
    <w:rsid w:val="00D37EC8"/>
    <w:rsid w:val="00D51D3E"/>
    <w:rsid w:val="00D916D8"/>
    <w:rsid w:val="00E06AD6"/>
    <w:rsid w:val="00E16C25"/>
    <w:rsid w:val="00E30AC0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D30F6"/>
    <w:rsid w:val="00EF2EC6"/>
    <w:rsid w:val="00F01E51"/>
    <w:rsid w:val="00F07509"/>
    <w:rsid w:val="00F518F3"/>
    <w:rsid w:val="00F70CF6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21\Control%20de%20demanda%20trimestral%20a&#241;o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21\Control%20de%20demanda%20trimestral%20a&#241;o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21\Control%20de%20demanda%20trimestral%20a&#241;o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DEMANDA MENSUAL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7030A0"/>
            </a:solidFill>
          </c:spPr>
          <c:dPt>
            <c:idx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Hoja1!$C$17:$E$17</c:f>
              <c:numCache>
                <c:formatCode>mmm\-yy</c:formatCode>
                <c:ptCount val="3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</c:numCache>
            </c:numRef>
          </c:cat>
          <c:val>
            <c:numRef>
              <c:f>Hoja1!$C$18:$E$18</c:f>
              <c:numCache>
                <c:formatCode>General</c:formatCode>
                <c:ptCount val="3"/>
                <c:pt idx="0">
                  <c:v>51</c:v>
                </c:pt>
                <c:pt idx="1">
                  <c:v>48</c:v>
                </c:pt>
                <c:pt idx="2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331259749114993E-2"/>
          <c:y val="0.92939778361038217"/>
          <c:w val="0.89645473141480092"/>
          <c:h val="5.20836978710994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accent6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Demanda por Departamento </a:t>
            </a:r>
          </a:p>
          <a:p>
            <a:pPr>
              <a:defRPr/>
            </a:pPr>
            <a:r>
              <a:rPr lang="es-SV"/>
              <a:t>en el 1er. trimestre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ene-21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Hoja1!$C$3:$C$16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36</c:v>
                </c:pt>
                <c:pt idx="9">
                  <c:v>3</c:v>
                </c:pt>
                <c:pt idx="10">
                  <c:v>0</c:v>
                </c:pt>
                <c:pt idx="11">
                  <c:v>4</c:v>
                </c:pt>
                <c:pt idx="12">
                  <c:v>2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Hoja1!$D$2</c:f>
              <c:strCache>
                <c:ptCount val="1"/>
                <c:pt idx="0">
                  <c:v>feb-21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Hoja1!$D$3:$D$16</c:f>
              <c:numCache>
                <c:formatCode>General</c:formatCode>
                <c:ptCount val="1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21</c:v>
                </c:pt>
                <c:pt idx="9">
                  <c:v>10</c:v>
                </c:pt>
                <c:pt idx="10">
                  <c:v>0</c:v>
                </c:pt>
                <c:pt idx="11">
                  <c:v>2</c:v>
                </c:pt>
                <c:pt idx="12">
                  <c:v>1</c:v>
                </c:pt>
                <c:pt idx="13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Hoja1!$E$2</c:f>
              <c:strCache>
                <c:ptCount val="1"/>
                <c:pt idx="0">
                  <c:v>mar-21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Hoja1!$E$3:$E$16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24</c:v>
                </c:pt>
                <c:pt idx="9">
                  <c:v>9</c:v>
                </c:pt>
                <c:pt idx="10">
                  <c:v>1</c:v>
                </c:pt>
                <c:pt idx="11">
                  <c:v>5</c:v>
                </c:pt>
                <c:pt idx="12">
                  <c:v>2</c:v>
                </c:pt>
                <c:pt idx="1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8017720"/>
        <c:axId val="428018112"/>
      </c:barChart>
      <c:catAx>
        <c:axId val="428017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8018112"/>
        <c:crosses val="autoZero"/>
        <c:auto val="1"/>
        <c:lblAlgn val="ctr"/>
        <c:lblOffset val="100"/>
        <c:noMultiLvlLbl val="0"/>
      </c:catAx>
      <c:valAx>
        <c:axId val="428018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801772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1760212665724467E-2"/>
          <c:y val="0.94695895967549526"/>
          <c:w val="0.92502658321555964"/>
          <c:h val="3.4859222142686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accent6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Demanda total en el 1er. trimestre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Hoja1!$C$18:$F$18</c:f>
              <c:numCache>
                <c:formatCode>General</c:formatCode>
                <c:ptCount val="4"/>
                <c:pt idx="0">
                  <c:v>51</c:v>
                </c:pt>
                <c:pt idx="1">
                  <c:v>48</c:v>
                </c:pt>
                <c:pt idx="2">
                  <c:v>53</c:v>
                </c:pt>
                <c:pt idx="3">
                  <c:v>152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2989104"/>
        <c:axId val="372988320"/>
        <c:axId val="0"/>
      </c:bar3DChart>
      <c:catAx>
        <c:axId val="372989104"/>
        <c:scaling>
          <c:orientation val="minMax"/>
        </c:scaling>
        <c:delete val="1"/>
        <c:axPos val="b"/>
        <c:majorTickMark val="none"/>
        <c:minorTickMark val="none"/>
        <c:tickLblPos val="nextTo"/>
        <c:crossAx val="372988320"/>
        <c:crosses val="autoZero"/>
        <c:auto val="1"/>
        <c:lblAlgn val="ctr"/>
        <c:lblOffset val="100"/>
        <c:noMultiLvlLbl val="0"/>
      </c:catAx>
      <c:valAx>
        <c:axId val="37298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298910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71C1-6170-4887-A52F-82CCCB2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6</cp:revision>
  <dcterms:created xsi:type="dcterms:W3CDTF">2021-04-16T17:42:00Z</dcterms:created>
  <dcterms:modified xsi:type="dcterms:W3CDTF">2021-04-16T19:39:00Z</dcterms:modified>
</cp:coreProperties>
</file>