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88" w:rsidRPr="00B41388" w:rsidRDefault="00524D06" w:rsidP="00496A48">
      <w:pPr>
        <w:spacing w:after="0" w:line="240" w:lineRule="auto"/>
        <w:jc w:val="center"/>
        <w:rPr>
          <w:b/>
          <w:sz w:val="28"/>
          <w:szCs w:val="28"/>
        </w:rPr>
      </w:pPr>
      <w:bookmarkStart w:id="0" w:name="_GoBack"/>
      <w:bookmarkEnd w:id="0"/>
      <w:r>
        <w:rPr>
          <w:b/>
          <w:sz w:val="28"/>
          <w:szCs w:val="28"/>
        </w:rPr>
        <w:t>DEMANDA DE OBRA PÚBLICA EN EL SEGUNDO TRIMESTRE DE 2019</w:t>
      </w:r>
    </w:p>
    <w:p w:rsidR="0065734E" w:rsidRDefault="00B41388" w:rsidP="00496A48">
      <w:pPr>
        <w:spacing w:after="0" w:line="240" w:lineRule="auto"/>
        <w:jc w:val="center"/>
        <w:rPr>
          <w:sz w:val="28"/>
          <w:szCs w:val="28"/>
        </w:rPr>
      </w:pPr>
      <w:r>
        <w:rPr>
          <w:sz w:val="28"/>
          <w:szCs w:val="28"/>
        </w:rPr>
        <w:t>(Recibida con nota – por escrito-)</w:t>
      </w:r>
    </w:p>
    <w:p w:rsidR="00C43EDA" w:rsidRDefault="00C43EDA"/>
    <w:p w:rsidR="00820910" w:rsidRDefault="008B4789">
      <w:r>
        <w:rPr>
          <w:noProof/>
          <w:lang w:eastAsia="es-SV"/>
        </w:rPr>
        <w:drawing>
          <wp:anchor distT="0" distB="0" distL="114300" distR="114300" simplePos="0" relativeHeight="251664384" behindDoc="0" locked="0" layoutInCell="1" allowOverlap="1">
            <wp:simplePos x="0" y="0"/>
            <wp:positionH relativeFrom="column">
              <wp:posOffset>-3810</wp:posOffset>
            </wp:positionH>
            <wp:positionV relativeFrom="paragraph">
              <wp:posOffset>-2540</wp:posOffset>
            </wp:positionV>
            <wp:extent cx="5848350" cy="5248275"/>
            <wp:effectExtent l="0" t="0" r="0" b="9525"/>
            <wp:wrapTopAndBottom/>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820910">
        <w:br w:type="page"/>
      </w:r>
    </w:p>
    <w:p w:rsidR="00545A32" w:rsidRDefault="00545A32"/>
    <w:p w:rsidR="004C3084" w:rsidRDefault="004C3084"/>
    <w:p w:rsidR="004C3084" w:rsidRDefault="004C3084"/>
    <w:p w:rsidR="004C3084" w:rsidRDefault="008B4789">
      <w:r>
        <w:rPr>
          <w:noProof/>
          <w:lang w:eastAsia="es-SV"/>
        </w:rPr>
        <w:drawing>
          <wp:inline distT="0" distB="0" distL="0" distR="0" wp14:anchorId="6EFA98E8" wp14:editId="1B3B2475">
            <wp:extent cx="6124575" cy="3286125"/>
            <wp:effectExtent l="0" t="0" r="9525"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546B7" w:rsidRDefault="00A546B7">
      <w:r>
        <w:rPr>
          <w:noProof/>
          <w:lang w:eastAsia="es-SV"/>
        </w:rPr>
        <mc:AlternateContent>
          <mc:Choice Requires="wps">
            <w:drawing>
              <wp:anchor distT="45720" distB="45720" distL="114300" distR="114300" simplePos="0" relativeHeight="251661312" behindDoc="0" locked="0" layoutInCell="1" allowOverlap="1">
                <wp:simplePos x="0" y="0"/>
                <wp:positionH relativeFrom="column">
                  <wp:posOffset>-3810</wp:posOffset>
                </wp:positionH>
                <wp:positionV relativeFrom="paragraph">
                  <wp:posOffset>385445</wp:posOffset>
                </wp:positionV>
                <wp:extent cx="6124575" cy="1404620"/>
                <wp:effectExtent l="0" t="0" r="28575" b="2349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solidFill>
                          <a:srgbClr val="FFFFFF"/>
                        </a:solidFill>
                        <a:ln w="9525">
                          <a:solidFill>
                            <a:srgbClr val="000000"/>
                          </a:solidFill>
                          <a:miter lim="800000"/>
                          <a:headEnd/>
                          <a:tailEnd/>
                        </a:ln>
                      </wps:spPr>
                      <wps:txbx>
                        <w:txbxContent>
                          <w:p w:rsidR="00A546B7" w:rsidRPr="00A546B7" w:rsidRDefault="007C51E5" w:rsidP="00E76A52">
                            <w:pPr>
                              <w:spacing w:line="360" w:lineRule="auto"/>
                              <w:jc w:val="both"/>
                              <w:rPr>
                                <w:sz w:val="24"/>
                                <w:szCs w:val="24"/>
                              </w:rPr>
                            </w:pPr>
                            <w:r w:rsidRPr="00A546B7">
                              <w:rPr>
                                <w:sz w:val="24"/>
                                <w:szCs w:val="24"/>
                              </w:rPr>
                              <w:t xml:space="preserve">En el </w:t>
                            </w:r>
                            <w:r w:rsidR="008B4789">
                              <w:rPr>
                                <w:sz w:val="24"/>
                                <w:szCs w:val="24"/>
                              </w:rPr>
                              <w:t>2do</w:t>
                            </w:r>
                            <w:r w:rsidR="00820910" w:rsidRPr="00A546B7">
                              <w:rPr>
                                <w:sz w:val="24"/>
                                <w:szCs w:val="24"/>
                              </w:rPr>
                              <w:t xml:space="preserve">. </w:t>
                            </w:r>
                            <w:r w:rsidR="00E76A52" w:rsidRPr="00A546B7">
                              <w:rPr>
                                <w:sz w:val="24"/>
                                <w:szCs w:val="24"/>
                              </w:rPr>
                              <w:t>Trimestre</w:t>
                            </w:r>
                            <w:r w:rsidRPr="00A546B7">
                              <w:rPr>
                                <w:sz w:val="24"/>
                                <w:szCs w:val="24"/>
                              </w:rPr>
                              <w:t xml:space="preserve"> de 201</w:t>
                            </w:r>
                            <w:r w:rsidR="00A546B7" w:rsidRPr="00A546B7">
                              <w:rPr>
                                <w:sz w:val="24"/>
                                <w:szCs w:val="24"/>
                              </w:rPr>
                              <w:t>9</w:t>
                            </w:r>
                            <w:r w:rsidRPr="00A546B7">
                              <w:rPr>
                                <w:sz w:val="24"/>
                                <w:szCs w:val="24"/>
                              </w:rPr>
                              <w:t xml:space="preserve">, </w:t>
                            </w:r>
                            <w:r w:rsidR="00820910" w:rsidRPr="00A546B7">
                              <w:rPr>
                                <w:sz w:val="24"/>
                                <w:szCs w:val="24"/>
                              </w:rPr>
                              <w:t xml:space="preserve">el departamento </w:t>
                            </w:r>
                            <w:r w:rsidR="00E76A52">
                              <w:rPr>
                                <w:sz w:val="24"/>
                                <w:szCs w:val="24"/>
                              </w:rPr>
                              <w:t xml:space="preserve">que ha presentado mayor </w:t>
                            </w:r>
                            <w:r w:rsidRPr="00A546B7">
                              <w:rPr>
                                <w:sz w:val="24"/>
                                <w:szCs w:val="24"/>
                              </w:rPr>
                              <w:t xml:space="preserve">demanda </w:t>
                            </w:r>
                            <w:r w:rsidR="00E76A52">
                              <w:rPr>
                                <w:sz w:val="24"/>
                                <w:szCs w:val="24"/>
                              </w:rPr>
                              <w:t xml:space="preserve">es </w:t>
                            </w:r>
                            <w:r w:rsidR="00A546B7" w:rsidRPr="00A546B7">
                              <w:rPr>
                                <w:sz w:val="24"/>
                                <w:szCs w:val="24"/>
                              </w:rPr>
                              <w:t>San Salvador con el mayor número de solicitudes por mes (1</w:t>
                            </w:r>
                            <w:r w:rsidR="00E76A52">
                              <w:rPr>
                                <w:sz w:val="24"/>
                                <w:szCs w:val="24"/>
                              </w:rPr>
                              <w:t>2</w:t>
                            </w:r>
                            <w:r w:rsidR="00A546B7" w:rsidRPr="00A546B7">
                              <w:rPr>
                                <w:sz w:val="24"/>
                                <w:szCs w:val="24"/>
                              </w:rPr>
                              <w:t>)</w:t>
                            </w:r>
                            <w:r w:rsidR="00E76A52">
                              <w:rPr>
                                <w:sz w:val="24"/>
                                <w:szCs w:val="24"/>
                              </w:rPr>
                              <w:t>. Sin embargo, se debe aclarar que a partir de junio 2019, las solicitudes de obra  vía redes sociales ha incrementado</w:t>
                            </w:r>
                            <w:r w:rsidR="00524D06">
                              <w:rPr>
                                <w:sz w:val="24"/>
                                <w:szCs w:val="24"/>
                              </w:rPr>
                              <w:t xml:space="preserve">, atendiéndose </w:t>
                            </w:r>
                            <w:r w:rsidR="00E76A52">
                              <w:rPr>
                                <w:sz w:val="24"/>
                                <w:szCs w:val="24"/>
                              </w:rPr>
                              <w:t>oportunamente según las condiciones de cada caso</w:t>
                            </w:r>
                            <w:r w:rsidR="00A546B7" w:rsidRPr="00A546B7">
                              <w:rPr>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pt;margin-top:30.35pt;width:482.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">
                <v:textbox style="mso-fit-shape-to-text:t">
                  <w:txbxContent>
                    <w:p w:rsidR="00A546B7" w:rsidRPr="00A546B7" w:rsidRDefault="007C51E5" w:rsidP="00E76A52">
                      <w:pPr>
                        <w:spacing w:line="360" w:lineRule="auto"/>
                        <w:jc w:val="both"/>
                        <w:rPr>
                          <w:sz w:val="24"/>
                          <w:szCs w:val="24"/>
                        </w:rPr>
                      </w:pPr>
                      <w:r w:rsidRPr="00A546B7">
                        <w:rPr>
                          <w:sz w:val="24"/>
                          <w:szCs w:val="24"/>
                        </w:rPr>
                        <w:t xml:space="preserve">En el </w:t>
                      </w:r>
                      <w:r w:rsidR="008B4789">
                        <w:rPr>
                          <w:sz w:val="24"/>
                          <w:szCs w:val="24"/>
                        </w:rPr>
                        <w:t>2do</w:t>
                      </w:r>
                      <w:r w:rsidR="00820910" w:rsidRPr="00A546B7">
                        <w:rPr>
                          <w:sz w:val="24"/>
                          <w:szCs w:val="24"/>
                        </w:rPr>
                        <w:t xml:space="preserve">. </w:t>
                      </w:r>
                      <w:r w:rsidR="00E76A52" w:rsidRPr="00A546B7">
                        <w:rPr>
                          <w:sz w:val="24"/>
                          <w:szCs w:val="24"/>
                        </w:rPr>
                        <w:t>Trimestre</w:t>
                      </w:r>
                      <w:r w:rsidRPr="00A546B7">
                        <w:rPr>
                          <w:sz w:val="24"/>
                          <w:szCs w:val="24"/>
                        </w:rPr>
                        <w:t xml:space="preserve"> de 201</w:t>
                      </w:r>
                      <w:r w:rsidR="00A546B7" w:rsidRPr="00A546B7">
                        <w:rPr>
                          <w:sz w:val="24"/>
                          <w:szCs w:val="24"/>
                        </w:rPr>
                        <w:t>9</w:t>
                      </w:r>
                      <w:r w:rsidRPr="00A546B7">
                        <w:rPr>
                          <w:sz w:val="24"/>
                          <w:szCs w:val="24"/>
                        </w:rPr>
                        <w:t xml:space="preserve">, </w:t>
                      </w:r>
                      <w:r w:rsidR="00820910" w:rsidRPr="00A546B7">
                        <w:rPr>
                          <w:sz w:val="24"/>
                          <w:szCs w:val="24"/>
                        </w:rPr>
                        <w:t xml:space="preserve">el departamento </w:t>
                      </w:r>
                      <w:r w:rsidR="00E76A52">
                        <w:rPr>
                          <w:sz w:val="24"/>
                          <w:szCs w:val="24"/>
                        </w:rPr>
                        <w:t xml:space="preserve">que ha presentado mayor </w:t>
                      </w:r>
                      <w:r w:rsidRPr="00A546B7">
                        <w:rPr>
                          <w:sz w:val="24"/>
                          <w:szCs w:val="24"/>
                        </w:rPr>
                        <w:t xml:space="preserve">demanda </w:t>
                      </w:r>
                      <w:r w:rsidR="00E76A52">
                        <w:rPr>
                          <w:sz w:val="24"/>
                          <w:szCs w:val="24"/>
                        </w:rPr>
                        <w:t xml:space="preserve">es </w:t>
                      </w:r>
                      <w:r w:rsidR="00A546B7" w:rsidRPr="00A546B7">
                        <w:rPr>
                          <w:sz w:val="24"/>
                          <w:szCs w:val="24"/>
                        </w:rPr>
                        <w:t>San Salvador con el mayor número de solicitudes por mes (1</w:t>
                      </w:r>
                      <w:r w:rsidR="00E76A52">
                        <w:rPr>
                          <w:sz w:val="24"/>
                          <w:szCs w:val="24"/>
                        </w:rPr>
                        <w:t>2</w:t>
                      </w:r>
                      <w:r w:rsidR="00A546B7" w:rsidRPr="00A546B7">
                        <w:rPr>
                          <w:sz w:val="24"/>
                          <w:szCs w:val="24"/>
                        </w:rPr>
                        <w:t>)</w:t>
                      </w:r>
                      <w:r w:rsidR="00E76A52">
                        <w:rPr>
                          <w:sz w:val="24"/>
                          <w:szCs w:val="24"/>
                        </w:rPr>
                        <w:t>. Sin embargo, se debe aclarar que a partir de junio 2019, las solicitudes de obra  vía redes sociales ha incrementado</w:t>
                      </w:r>
                      <w:r w:rsidR="00524D06">
                        <w:rPr>
                          <w:sz w:val="24"/>
                          <w:szCs w:val="24"/>
                        </w:rPr>
                        <w:t xml:space="preserve">, atendiéndose </w:t>
                      </w:r>
                      <w:r w:rsidR="00E76A52">
                        <w:rPr>
                          <w:sz w:val="24"/>
                          <w:szCs w:val="24"/>
                        </w:rPr>
                        <w:t>oportunamente según las condiciones de cada caso</w:t>
                      </w:r>
                      <w:r w:rsidR="00A546B7" w:rsidRPr="00A546B7">
                        <w:rPr>
                          <w:sz w:val="24"/>
                          <w:szCs w:val="24"/>
                        </w:rPr>
                        <w:t>.</w:t>
                      </w:r>
                    </w:p>
                  </w:txbxContent>
                </v:textbox>
                <w10:wrap type="square"/>
              </v:shape>
            </w:pict>
          </mc:Fallback>
        </mc:AlternateContent>
      </w:r>
    </w:p>
    <w:p w:rsidR="00A546B7" w:rsidRDefault="00A546B7"/>
    <w:p w:rsidR="00A546B7" w:rsidRDefault="00A546B7"/>
    <w:p w:rsidR="00A546B7" w:rsidRDefault="00A546B7"/>
    <w:p w:rsidR="00820910" w:rsidRDefault="00820910">
      <w:r>
        <w:br w:type="page"/>
      </w:r>
    </w:p>
    <w:p w:rsidR="00A71598" w:rsidRDefault="00A71598"/>
    <w:p w:rsidR="00A71598" w:rsidRDefault="00A71598"/>
    <w:p w:rsidR="00A71598" w:rsidRDefault="00A71598"/>
    <w:p w:rsidR="00A71598" w:rsidRDefault="0031702D">
      <w:r w:rsidRPr="00EA5690">
        <w:rPr>
          <w:noProof/>
          <w:sz w:val="28"/>
          <w:szCs w:val="28"/>
          <w:lang w:eastAsia="es-SV"/>
        </w:rPr>
        <mc:AlternateContent>
          <mc:Choice Requires="wps">
            <w:drawing>
              <wp:anchor distT="45720" distB="45720" distL="114300" distR="114300" simplePos="0" relativeHeight="251663360" behindDoc="0" locked="0" layoutInCell="1" allowOverlap="1">
                <wp:simplePos x="0" y="0"/>
                <wp:positionH relativeFrom="column">
                  <wp:posOffset>107026</wp:posOffset>
                </wp:positionH>
                <wp:positionV relativeFrom="paragraph">
                  <wp:posOffset>4536152</wp:posOffset>
                </wp:positionV>
                <wp:extent cx="5422900" cy="1404620"/>
                <wp:effectExtent l="0" t="0" r="25400" b="2540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404620"/>
                        </a:xfrm>
                        <a:prstGeom prst="rect">
                          <a:avLst/>
                        </a:prstGeom>
                        <a:solidFill>
                          <a:srgbClr val="FFFFFF"/>
                        </a:solidFill>
                        <a:ln w="9525">
                          <a:solidFill>
                            <a:srgbClr val="000000"/>
                          </a:solidFill>
                          <a:miter lim="800000"/>
                          <a:headEnd/>
                          <a:tailEnd/>
                        </a:ln>
                      </wps:spPr>
                      <wps:txbx>
                        <w:txbxContent>
                          <w:p w:rsidR="001C3CEF" w:rsidRDefault="007C51E5" w:rsidP="0031702D">
                            <w:pPr>
                              <w:jc w:val="both"/>
                              <w:rPr>
                                <w:sz w:val="24"/>
                                <w:szCs w:val="24"/>
                              </w:rPr>
                            </w:pPr>
                            <w:r w:rsidRPr="00A71598">
                              <w:rPr>
                                <w:sz w:val="24"/>
                                <w:szCs w:val="24"/>
                              </w:rPr>
                              <w:t>La demanda</w:t>
                            </w:r>
                            <w:r w:rsidR="00A71598" w:rsidRPr="00A71598">
                              <w:rPr>
                                <w:sz w:val="24"/>
                                <w:szCs w:val="24"/>
                              </w:rPr>
                              <w:t xml:space="preserve"> de solicitudes de obra pública fue </w:t>
                            </w:r>
                            <w:r w:rsidR="0010262D">
                              <w:rPr>
                                <w:sz w:val="24"/>
                                <w:szCs w:val="24"/>
                              </w:rPr>
                              <w:t>de 119</w:t>
                            </w:r>
                            <w:r w:rsidR="0031702D">
                              <w:rPr>
                                <w:sz w:val="24"/>
                                <w:szCs w:val="24"/>
                              </w:rPr>
                              <w:t xml:space="preserve"> en el primer trimestre, y de 62 </w:t>
                            </w:r>
                            <w:r w:rsidR="001C3CEF">
                              <w:rPr>
                                <w:sz w:val="24"/>
                                <w:szCs w:val="24"/>
                              </w:rPr>
                              <w:t xml:space="preserve">en el segundo trimestre. </w:t>
                            </w:r>
                          </w:p>
                          <w:p w:rsidR="001C3CEF" w:rsidRDefault="001C3CEF" w:rsidP="0031702D">
                            <w:pPr>
                              <w:jc w:val="both"/>
                              <w:rPr>
                                <w:sz w:val="24"/>
                                <w:szCs w:val="24"/>
                              </w:rPr>
                            </w:pPr>
                            <w:r>
                              <w:rPr>
                                <w:sz w:val="24"/>
                                <w:szCs w:val="24"/>
                              </w:rPr>
                              <w:t>Tal como se puede apreciar en la gráfica las solicitudes han ido en baja gradual de 44 solicitudes recibidas en enero hasta llegar al mes de mayo con la demanda menor, 16 solicitudes.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8.45pt;margin-top:357.2pt;width:42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">
                <v:textbox style="mso-fit-shape-to-text:t">
                  <w:txbxContent>
                    <w:p w:rsidR="001C3CEF" w:rsidRDefault="007C51E5" w:rsidP="0031702D">
                      <w:pPr>
                        <w:jc w:val="both"/>
                        <w:rPr>
                          <w:sz w:val="24"/>
                          <w:szCs w:val="24"/>
                        </w:rPr>
                      </w:pPr>
                      <w:r w:rsidRPr="00A71598">
                        <w:rPr>
                          <w:sz w:val="24"/>
                          <w:szCs w:val="24"/>
                        </w:rPr>
                        <w:t>La demanda</w:t>
                      </w:r>
                      <w:r w:rsidR="00A71598" w:rsidRPr="00A71598">
                        <w:rPr>
                          <w:sz w:val="24"/>
                          <w:szCs w:val="24"/>
                        </w:rPr>
                        <w:t xml:space="preserve"> de solicitudes de obra pública fue </w:t>
                      </w:r>
                      <w:r w:rsidR="0010262D">
                        <w:rPr>
                          <w:sz w:val="24"/>
                          <w:szCs w:val="24"/>
                        </w:rPr>
                        <w:t>de 119</w:t>
                      </w:r>
                      <w:r w:rsidR="0031702D">
                        <w:rPr>
                          <w:sz w:val="24"/>
                          <w:szCs w:val="24"/>
                        </w:rPr>
                        <w:t xml:space="preserve"> en el primer trimestre, y de 62 </w:t>
                      </w:r>
                      <w:r w:rsidR="001C3CEF">
                        <w:rPr>
                          <w:sz w:val="24"/>
                          <w:szCs w:val="24"/>
                        </w:rPr>
                        <w:t xml:space="preserve">en el segundo trimestre. </w:t>
                      </w:r>
                    </w:p>
                    <w:p w:rsidR="001C3CEF" w:rsidRDefault="001C3CEF" w:rsidP="0031702D">
                      <w:pPr>
                        <w:jc w:val="both"/>
                        <w:rPr>
                          <w:sz w:val="24"/>
                          <w:szCs w:val="24"/>
                        </w:rPr>
                      </w:pPr>
                      <w:r>
                        <w:rPr>
                          <w:sz w:val="24"/>
                          <w:szCs w:val="24"/>
                        </w:rPr>
                        <w:t>Tal como se puede apreciar en la gráfica las solicitudes han ido en baja gradual de 44 solicitudes recibidas en enero hasta llegar al mes de mayo con la demanda menor, 16 solicitudes.</w:t>
                      </w:r>
                    </w:p>
                  </w:txbxContent>
                </v:textbox>
                <w10:wrap type="square"/>
              </v:shape>
            </w:pict>
          </mc:Fallback>
        </mc:AlternateContent>
      </w:r>
      <w:r w:rsidR="00E76A52">
        <w:rPr>
          <w:noProof/>
          <w:lang w:eastAsia="es-SV"/>
        </w:rPr>
        <w:drawing>
          <wp:inline distT="0" distB="0" distL="0" distR="0" wp14:anchorId="4F3BC59B" wp14:editId="26A39087">
            <wp:extent cx="5791200" cy="4240473"/>
            <wp:effectExtent l="0" t="0" r="0" b="825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71598" w:rsidRDefault="00A71598"/>
    <w:p w:rsidR="00A71598" w:rsidRDefault="00A71598"/>
    <w:p w:rsidR="0039075F" w:rsidRDefault="0039075F"/>
    <w:sectPr w:rsidR="0039075F" w:rsidSect="00496A48">
      <w:headerReference w:type="default" r:id="rId10"/>
      <w:footerReference w:type="default" r:id="rId11"/>
      <w:pgSz w:w="12240" w:h="15840" w:code="122"/>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D8E" w:rsidRDefault="005E1D8E" w:rsidP="00496A48">
      <w:pPr>
        <w:spacing w:after="0" w:line="240" w:lineRule="auto"/>
      </w:pPr>
      <w:r>
        <w:separator/>
      </w:r>
    </w:p>
  </w:endnote>
  <w:endnote w:type="continuationSeparator" w:id="0">
    <w:p w:rsidR="005E1D8E" w:rsidRDefault="005E1D8E" w:rsidP="0049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995168"/>
      <w:docPartObj>
        <w:docPartGallery w:val="Page Numbers (Bottom of Page)"/>
        <w:docPartUnique/>
      </w:docPartObj>
    </w:sdtPr>
    <w:sdtEndPr/>
    <w:sdtContent>
      <w:p w:rsidR="00EC659B" w:rsidRDefault="00EC659B">
        <w:pPr>
          <w:pStyle w:val="Piedepgina"/>
          <w:jc w:val="right"/>
        </w:pPr>
        <w:r>
          <w:fldChar w:fldCharType="begin"/>
        </w:r>
        <w:r>
          <w:instrText>PAGE   \* MERGEFORMAT</w:instrText>
        </w:r>
        <w:r>
          <w:fldChar w:fldCharType="separate"/>
        </w:r>
        <w:r w:rsidR="001C3CEF" w:rsidRPr="001C3CEF">
          <w:rPr>
            <w:noProof/>
            <w:lang w:val="es-ES"/>
          </w:rPr>
          <w:t>3</w:t>
        </w:r>
        <w:r>
          <w:fldChar w:fldCharType="end"/>
        </w:r>
      </w:p>
    </w:sdtContent>
  </w:sdt>
  <w:p w:rsidR="00EC659B" w:rsidRDefault="00EC65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D8E" w:rsidRDefault="005E1D8E" w:rsidP="00496A48">
      <w:pPr>
        <w:spacing w:after="0" w:line="240" w:lineRule="auto"/>
      </w:pPr>
      <w:r>
        <w:separator/>
      </w:r>
    </w:p>
  </w:footnote>
  <w:footnote w:type="continuationSeparator" w:id="0">
    <w:p w:rsidR="005E1D8E" w:rsidRDefault="005E1D8E" w:rsidP="00496A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A48" w:rsidRDefault="00BA06D6" w:rsidP="00BA06D6">
    <w:pPr>
      <w:pStyle w:val="Encabezado"/>
      <w:tabs>
        <w:tab w:val="clear" w:pos="4419"/>
        <w:tab w:val="clear" w:pos="8838"/>
        <w:tab w:val="left" w:pos="5094"/>
      </w:tabs>
    </w:pPr>
    <w:r w:rsidRPr="00BA06D6">
      <w:rPr>
        <w:noProof/>
        <w:lang w:eastAsia="es-SV"/>
      </w:rPr>
      <w:drawing>
        <wp:anchor distT="0" distB="0" distL="114300" distR="114300" simplePos="0" relativeHeight="251658240" behindDoc="1" locked="0" layoutInCell="1" allowOverlap="1">
          <wp:simplePos x="0" y="0"/>
          <wp:positionH relativeFrom="column">
            <wp:posOffset>-512445</wp:posOffset>
          </wp:positionH>
          <wp:positionV relativeFrom="paragraph">
            <wp:posOffset>-339090</wp:posOffset>
          </wp:positionV>
          <wp:extent cx="914400" cy="719455"/>
          <wp:effectExtent l="0" t="0" r="0" b="4445"/>
          <wp:wrapTight wrapText="bothSides">
            <wp:wrapPolygon edited="0">
              <wp:start x="9000" y="0"/>
              <wp:lineTo x="4950" y="0"/>
              <wp:lineTo x="450" y="5147"/>
              <wp:lineTo x="0" y="17158"/>
              <wp:lineTo x="0" y="21162"/>
              <wp:lineTo x="21150" y="21162"/>
              <wp:lineTo x="21150" y="16586"/>
              <wp:lineTo x="20700" y="5147"/>
              <wp:lineTo x="16200" y="0"/>
              <wp:lineTo x="12150" y="0"/>
              <wp:lineTo x="9000" y="0"/>
            </wp:wrapPolygon>
          </wp:wrapTight>
          <wp:docPr id="2" name="Imagen 2" descr="C:\Users\maria.parada\Desktop\Membrete nuevo gobierno\logos_mop_GOES_Cool_Gra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parada\Desktop\Membrete nuevo gobierno\logos_mop_GOES_Cool_Gray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151"/>
    <w:rsid w:val="0000004D"/>
    <w:rsid w:val="00045853"/>
    <w:rsid w:val="00080CA4"/>
    <w:rsid w:val="000B62CB"/>
    <w:rsid w:val="000D297B"/>
    <w:rsid w:val="000F0C27"/>
    <w:rsid w:val="0010262D"/>
    <w:rsid w:val="00142736"/>
    <w:rsid w:val="00173FCD"/>
    <w:rsid w:val="00183A77"/>
    <w:rsid w:val="001A62DB"/>
    <w:rsid w:val="001B2446"/>
    <w:rsid w:val="001C3CEF"/>
    <w:rsid w:val="002679C9"/>
    <w:rsid w:val="0031702D"/>
    <w:rsid w:val="00352FA4"/>
    <w:rsid w:val="00356CF6"/>
    <w:rsid w:val="003707CA"/>
    <w:rsid w:val="00375231"/>
    <w:rsid w:val="0039075F"/>
    <w:rsid w:val="00396EBF"/>
    <w:rsid w:val="00412CD6"/>
    <w:rsid w:val="00426F5F"/>
    <w:rsid w:val="00481FAB"/>
    <w:rsid w:val="00493B94"/>
    <w:rsid w:val="00496A48"/>
    <w:rsid w:val="004C3084"/>
    <w:rsid w:val="004E195A"/>
    <w:rsid w:val="004E2069"/>
    <w:rsid w:val="004F3A6A"/>
    <w:rsid w:val="00501ECE"/>
    <w:rsid w:val="00511C94"/>
    <w:rsid w:val="00524D06"/>
    <w:rsid w:val="00545A32"/>
    <w:rsid w:val="00587943"/>
    <w:rsid w:val="005C36D8"/>
    <w:rsid w:val="005E1D8E"/>
    <w:rsid w:val="00615756"/>
    <w:rsid w:val="00653B1F"/>
    <w:rsid w:val="0065734E"/>
    <w:rsid w:val="006A2C19"/>
    <w:rsid w:val="006B2DF2"/>
    <w:rsid w:val="006C4E50"/>
    <w:rsid w:val="00700887"/>
    <w:rsid w:val="007353FE"/>
    <w:rsid w:val="00776B5C"/>
    <w:rsid w:val="007C51E5"/>
    <w:rsid w:val="007D02A4"/>
    <w:rsid w:val="00820910"/>
    <w:rsid w:val="008A08FB"/>
    <w:rsid w:val="008B4789"/>
    <w:rsid w:val="008E026A"/>
    <w:rsid w:val="008E766E"/>
    <w:rsid w:val="00905AF2"/>
    <w:rsid w:val="0096022B"/>
    <w:rsid w:val="00983F99"/>
    <w:rsid w:val="009A2AF3"/>
    <w:rsid w:val="009B2694"/>
    <w:rsid w:val="009C3577"/>
    <w:rsid w:val="009C45F5"/>
    <w:rsid w:val="00A53151"/>
    <w:rsid w:val="00A546B7"/>
    <w:rsid w:val="00A71598"/>
    <w:rsid w:val="00A7666C"/>
    <w:rsid w:val="00AD686F"/>
    <w:rsid w:val="00B321F2"/>
    <w:rsid w:val="00B41388"/>
    <w:rsid w:val="00BA06D6"/>
    <w:rsid w:val="00BC084A"/>
    <w:rsid w:val="00C121DB"/>
    <w:rsid w:val="00C41970"/>
    <w:rsid w:val="00C43EDA"/>
    <w:rsid w:val="00C53A9E"/>
    <w:rsid w:val="00C70EC4"/>
    <w:rsid w:val="00CB5EC8"/>
    <w:rsid w:val="00CC208B"/>
    <w:rsid w:val="00CC6887"/>
    <w:rsid w:val="00CD57D9"/>
    <w:rsid w:val="00CE2B6D"/>
    <w:rsid w:val="00D37EC8"/>
    <w:rsid w:val="00D51D3E"/>
    <w:rsid w:val="00E06AD6"/>
    <w:rsid w:val="00E16C25"/>
    <w:rsid w:val="00E30AC0"/>
    <w:rsid w:val="00E76A52"/>
    <w:rsid w:val="00E81C0F"/>
    <w:rsid w:val="00E85BAF"/>
    <w:rsid w:val="00EA5690"/>
    <w:rsid w:val="00EC659B"/>
    <w:rsid w:val="00ED30F6"/>
    <w:rsid w:val="00EF2EC6"/>
    <w:rsid w:val="00F07509"/>
    <w:rsid w:val="00F70CF6"/>
    <w:rsid w:val="00FF48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735CF5-4C0A-4D2C-B747-3F1E9111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6A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6A48"/>
  </w:style>
  <w:style w:type="paragraph" w:styleId="Piedepgina">
    <w:name w:val="footer"/>
    <w:basedOn w:val="Normal"/>
    <w:link w:val="PiedepginaCar"/>
    <w:uiPriority w:val="99"/>
    <w:unhideWhenUsed/>
    <w:rsid w:val="00496A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SV" b="1" baseline="0">
                <a:solidFill>
                  <a:sysClr val="windowText" lastClr="000000"/>
                </a:solidFill>
              </a:rPr>
              <a:t>Demanda de  obra por mes</a:t>
            </a:r>
          </a:p>
        </c:rich>
      </c:tx>
      <c:layout>
        <c:manualLayout>
          <c:xMode val="edge"/>
          <c:yMode val="edge"/>
          <c:x val="1.4543931194268498E-2"/>
          <c:y val="2.60973367439777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5574016602973498"/>
                  <c:y val="0.11218867151587902"/>
                </c:manualLayout>
              </c:layout>
              <c:tx>
                <c:rich>
                  <a:bodyPr/>
                  <a:lstStyle/>
                  <a:p>
                    <a:fld id="{CAB19600-78E9-4A77-B22D-BFECDE70BFE1}" type="VALUE">
                      <a:rPr lang="en-US" sz="2400"/>
                      <a:pPr/>
                      <a:t>[VALOR]</a:t>
                    </a:fld>
                    <a:r>
                      <a:rPr lang="en-US" sz="2400" baseline="0"/>
                      <a:t>, </a:t>
                    </a:r>
                    <a:fld id="{393B1B79-4E61-4BB5-A63E-4A113BEA4310}" type="PERCENTAGE">
                      <a:rPr lang="en-US" sz="2400" baseline="0"/>
                      <a:pPr/>
                      <a:t>[PORCENTAJE]</a:t>
                    </a:fld>
                    <a:endParaRPr lang="en-US" sz="2400"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layout>
                <c:manualLayout>
                  <c:x val="7.8711089452580645E-3"/>
                  <c:y val="-0.22175438596491229"/>
                </c:manualLayout>
              </c:layout>
              <c:tx>
                <c:rich>
                  <a:bodyPr/>
                  <a:lstStyle/>
                  <a:p>
                    <a:fld id="{8A1CAE61-25A6-4670-814C-FBB8B86D2F40}" type="VALUE">
                      <a:rPr lang="en-US" sz="2400"/>
                      <a:pPr/>
                      <a:t>[VALOR]</a:t>
                    </a:fld>
                    <a:r>
                      <a:rPr lang="en-US" sz="2400" baseline="0"/>
                      <a:t>, </a:t>
                    </a:r>
                    <a:fld id="{A4B29ADE-A44A-47B1-842F-3D0CAF5A9746}" type="PERCENTAGE">
                      <a:rPr lang="en-US" sz="2400" baseline="0"/>
                      <a:pPr/>
                      <a:t>[PORCENTAJE]</a:t>
                    </a:fld>
                    <a:endParaRPr lang="en-US" sz="2400"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layout>
                <c:manualLayout>
                  <c:x val="0.20850761325844042"/>
                  <c:y val="0.12186813762617241"/>
                </c:manualLayout>
              </c:layout>
              <c:tx>
                <c:rich>
                  <a:bodyPr rot="0" spcFirstLastPara="1" vertOverflow="ellipsis" vert="horz" wrap="square" lIns="38100" tIns="19050" rIns="38100" bIns="19050" anchor="ctr" anchorCtr="1">
                    <a:noAutofit/>
                  </a:bodyPr>
                  <a:lstStyle/>
                  <a:p>
                    <a:pPr>
                      <a:defRPr sz="2800" b="0" i="0" u="none" strike="noStrike" kern="1200" baseline="0">
                        <a:solidFill>
                          <a:schemeClr val="tx1">
                            <a:lumMod val="75000"/>
                            <a:lumOff val="25000"/>
                          </a:schemeClr>
                        </a:solidFill>
                        <a:latin typeface="+mn-lt"/>
                        <a:ea typeface="+mn-ea"/>
                        <a:cs typeface="+mn-cs"/>
                      </a:defRPr>
                    </a:pPr>
                    <a:fld id="{03654F73-C2DC-48BA-AA1C-BF86DD61EDE9}" type="VALUE">
                      <a:rPr lang="en-US" sz="2400"/>
                      <a:pPr>
                        <a:defRPr sz="2800"/>
                      </a:pPr>
                      <a:t>[VALOR]</a:t>
                    </a:fld>
                    <a:r>
                      <a:rPr lang="en-US" sz="2400" baseline="0"/>
                      <a:t>, </a:t>
                    </a:r>
                    <a:fld id="{B98C16CC-959F-46D7-B1FD-070B6EC10DC7}" type="PERCENTAGE">
                      <a:rPr lang="en-US" sz="2400" baseline="0"/>
                      <a:pPr>
                        <a:defRPr sz="2800"/>
                      </a:pPr>
                      <a:t>[PORCENTAJE]</a:t>
                    </a:fld>
                    <a:endParaRPr lang="en-US" sz="2400" baseline="0"/>
                  </a:p>
                </c:rich>
              </c:tx>
              <c:spPr>
                <a:solidFill>
                  <a:srgbClr val="FFC000">
                    <a:lumMod val="20000"/>
                    <a:lumOff val="80000"/>
                  </a:srgbClr>
                </a:solidFill>
                <a:ln>
                  <a:noFill/>
                </a:ln>
                <a:effectLst/>
              </c:spPr>
              <c:txPr>
                <a:bodyPr rot="0" spcFirstLastPara="1" vertOverflow="ellipsis" vert="horz" wrap="square" lIns="38100" tIns="19050" rIns="38100" bIns="19050" anchor="ctr" anchorCtr="1">
                  <a:noAutofit/>
                </a:bodyPr>
                <a:lstStyle/>
                <a:p>
                  <a:pPr>
                    <a:defRPr sz="28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1"/>
              <c:showBubbleSize val="0"/>
              <c:extLst>
                <c:ext xmlns:c15="http://schemas.microsoft.com/office/drawing/2012/chart" uri="{CE6537A1-D6FC-4f65-9D91-7224C49458BB}">
                  <c15:layout>
                    <c:manualLayout>
                      <c:w val="0.11812169244316771"/>
                      <c:h val="0.19687840290381123"/>
                    </c:manualLayout>
                  </c15:layout>
                  <c15:dlblFieldTable/>
                  <c15:showDataLabelsRange val="0"/>
                </c:ext>
              </c:extLst>
            </c:dLbl>
            <c:spPr>
              <a:solidFill>
                <a:srgbClr val="FFC000">
                  <a:lumMod val="20000"/>
                  <a:lumOff val="80000"/>
                </a:srgbClr>
              </a:solidFill>
              <a:ln>
                <a:noFill/>
              </a:ln>
              <a:effectLst/>
            </c:spPr>
            <c:txPr>
              <a:bodyPr rot="0" spcFirstLastPara="1" vertOverflow="ellipsis" vert="horz" wrap="square" lIns="38100" tIns="19050" rIns="38100" bIns="19050" anchor="ctr" anchorCtr="1">
                <a:spAutoFit/>
              </a:bodyPr>
              <a:lstStyle/>
              <a:p>
                <a:pPr>
                  <a:defRPr sz="28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 Demanda II trim 2019'!$M$3:$O$3</c:f>
              <c:numCache>
                <c:formatCode>mmm\-yy</c:formatCode>
                <c:ptCount val="3"/>
                <c:pt idx="0">
                  <c:v>43556</c:v>
                </c:pt>
                <c:pt idx="1">
                  <c:v>43586</c:v>
                </c:pt>
                <c:pt idx="2">
                  <c:v>43617</c:v>
                </c:pt>
              </c:numCache>
            </c:numRef>
          </c:cat>
          <c:val>
            <c:numRef>
              <c:f>' Demanda II trim 2019'!$M$4:$O$4</c:f>
              <c:numCache>
                <c:formatCode>General</c:formatCode>
                <c:ptCount val="3"/>
                <c:pt idx="0">
                  <c:v>23</c:v>
                </c:pt>
                <c:pt idx="1">
                  <c:v>16</c:v>
                </c:pt>
                <c:pt idx="2">
                  <c:v>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8124000786546637E-2"/>
          <c:y val="0.91560769967274958"/>
          <c:w val="0.86592338009866032"/>
          <c:h val="8.4392300327250369E-2"/>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SV" baseline="0">
                <a:solidFill>
                  <a:sysClr val="windowText" lastClr="000000"/>
                </a:solidFill>
              </a:rPr>
              <a:t>Demanda por departamento en 2do. trimestre 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SV"/>
        </a:p>
      </c:txPr>
    </c:title>
    <c:autoTitleDeleted val="0"/>
    <c:plotArea>
      <c:layout/>
      <c:barChart>
        <c:barDir val="col"/>
        <c:grouping val="clustered"/>
        <c:varyColors val="0"/>
        <c:ser>
          <c:idx val="0"/>
          <c:order val="0"/>
          <c:tx>
            <c:strRef>
              <c:f>' Demanda II trim 2019'!$C$3</c:f>
              <c:strCache>
                <c:ptCount val="1"/>
                <c:pt idx="0">
                  <c:v>abr-19</c:v>
                </c:pt>
              </c:strCache>
            </c:strRef>
          </c:tx>
          <c:spPr>
            <a:solidFill>
              <a:schemeClr val="accent1"/>
            </a:solidFill>
            <a:ln>
              <a:noFill/>
            </a:ln>
            <a:effectLst/>
          </c:spPr>
          <c:invertIfNegative val="0"/>
          <c:cat>
            <c:strRef>
              <c:f>' Demanda II trim 2019'!$B$4:$B$17</c:f>
              <c:strCache>
                <c:ptCount val="14"/>
                <c:pt idx="0">
                  <c:v>San Salvador</c:v>
                </c:pt>
                <c:pt idx="1">
                  <c:v>Santa Ana</c:v>
                </c:pt>
                <c:pt idx="2">
                  <c:v>San Miguel</c:v>
                </c:pt>
                <c:pt idx="3">
                  <c:v>Usulutan </c:v>
                </c:pt>
                <c:pt idx="4">
                  <c:v>Sonsonate</c:v>
                </c:pt>
                <c:pt idx="5">
                  <c:v>La Libertad</c:v>
                </c:pt>
                <c:pt idx="6">
                  <c:v>La Paz</c:v>
                </c:pt>
                <c:pt idx="7">
                  <c:v>La Unión</c:v>
                </c:pt>
                <c:pt idx="8">
                  <c:v>Chalatenango</c:v>
                </c:pt>
                <c:pt idx="9">
                  <c:v>Cuscatlan</c:v>
                </c:pt>
                <c:pt idx="10">
                  <c:v>Ahuachapan</c:v>
                </c:pt>
                <c:pt idx="11">
                  <c:v>Morazán</c:v>
                </c:pt>
                <c:pt idx="12">
                  <c:v>San Vicente</c:v>
                </c:pt>
                <c:pt idx="13">
                  <c:v>Cabañas</c:v>
                </c:pt>
              </c:strCache>
            </c:strRef>
          </c:cat>
          <c:val>
            <c:numRef>
              <c:f>' Demanda II trim 2019'!$C$4:$C$17</c:f>
              <c:numCache>
                <c:formatCode>General</c:formatCode>
                <c:ptCount val="14"/>
                <c:pt idx="0">
                  <c:v>12</c:v>
                </c:pt>
                <c:pt idx="1">
                  <c:v>0</c:v>
                </c:pt>
                <c:pt idx="2">
                  <c:v>0</c:v>
                </c:pt>
                <c:pt idx="3">
                  <c:v>2</c:v>
                </c:pt>
                <c:pt idx="4">
                  <c:v>1</c:v>
                </c:pt>
                <c:pt idx="5">
                  <c:v>3</c:v>
                </c:pt>
                <c:pt idx="6">
                  <c:v>2</c:v>
                </c:pt>
                <c:pt idx="7">
                  <c:v>1</c:v>
                </c:pt>
                <c:pt idx="8">
                  <c:v>0</c:v>
                </c:pt>
                <c:pt idx="9">
                  <c:v>1</c:v>
                </c:pt>
                <c:pt idx="10">
                  <c:v>0</c:v>
                </c:pt>
                <c:pt idx="11">
                  <c:v>0</c:v>
                </c:pt>
                <c:pt idx="12">
                  <c:v>0</c:v>
                </c:pt>
                <c:pt idx="13">
                  <c:v>1</c:v>
                </c:pt>
              </c:numCache>
            </c:numRef>
          </c:val>
        </c:ser>
        <c:ser>
          <c:idx val="1"/>
          <c:order val="1"/>
          <c:tx>
            <c:strRef>
              <c:f>' Demanda II trim 2019'!$D$3</c:f>
              <c:strCache>
                <c:ptCount val="1"/>
                <c:pt idx="0">
                  <c:v>may-19</c:v>
                </c:pt>
              </c:strCache>
            </c:strRef>
          </c:tx>
          <c:spPr>
            <a:solidFill>
              <a:schemeClr val="accent2"/>
            </a:solidFill>
            <a:ln>
              <a:noFill/>
            </a:ln>
            <a:effectLst/>
          </c:spPr>
          <c:invertIfNegative val="0"/>
          <c:cat>
            <c:strRef>
              <c:f>' Demanda II trim 2019'!$B$4:$B$17</c:f>
              <c:strCache>
                <c:ptCount val="14"/>
                <c:pt idx="0">
                  <c:v>San Salvador</c:v>
                </c:pt>
                <c:pt idx="1">
                  <c:v>Santa Ana</c:v>
                </c:pt>
                <c:pt idx="2">
                  <c:v>San Miguel</c:v>
                </c:pt>
                <c:pt idx="3">
                  <c:v>Usulutan </c:v>
                </c:pt>
                <c:pt idx="4">
                  <c:v>Sonsonate</c:v>
                </c:pt>
                <c:pt idx="5">
                  <c:v>La Libertad</c:v>
                </c:pt>
                <c:pt idx="6">
                  <c:v>La Paz</c:v>
                </c:pt>
                <c:pt idx="7">
                  <c:v>La Unión</c:v>
                </c:pt>
                <c:pt idx="8">
                  <c:v>Chalatenango</c:v>
                </c:pt>
                <c:pt idx="9">
                  <c:v>Cuscatlan</c:v>
                </c:pt>
                <c:pt idx="10">
                  <c:v>Ahuachapan</c:v>
                </c:pt>
                <c:pt idx="11">
                  <c:v>Morazán</c:v>
                </c:pt>
                <c:pt idx="12">
                  <c:v>San Vicente</c:v>
                </c:pt>
                <c:pt idx="13">
                  <c:v>Cabañas</c:v>
                </c:pt>
              </c:strCache>
            </c:strRef>
          </c:cat>
          <c:val>
            <c:numRef>
              <c:f>' Demanda II trim 2019'!$D$4:$D$17</c:f>
              <c:numCache>
                <c:formatCode>General</c:formatCode>
                <c:ptCount val="14"/>
                <c:pt idx="0">
                  <c:v>9</c:v>
                </c:pt>
                <c:pt idx="1">
                  <c:v>0</c:v>
                </c:pt>
                <c:pt idx="2">
                  <c:v>0</c:v>
                </c:pt>
                <c:pt idx="3">
                  <c:v>2</c:v>
                </c:pt>
                <c:pt idx="4">
                  <c:v>0</c:v>
                </c:pt>
                <c:pt idx="5">
                  <c:v>1</c:v>
                </c:pt>
                <c:pt idx="6">
                  <c:v>1</c:v>
                </c:pt>
                <c:pt idx="7">
                  <c:v>0</c:v>
                </c:pt>
                <c:pt idx="8">
                  <c:v>0</c:v>
                </c:pt>
                <c:pt idx="9">
                  <c:v>0</c:v>
                </c:pt>
                <c:pt idx="10">
                  <c:v>1</c:v>
                </c:pt>
                <c:pt idx="11">
                  <c:v>2</c:v>
                </c:pt>
                <c:pt idx="12">
                  <c:v>0</c:v>
                </c:pt>
                <c:pt idx="13">
                  <c:v>0</c:v>
                </c:pt>
              </c:numCache>
            </c:numRef>
          </c:val>
        </c:ser>
        <c:ser>
          <c:idx val="2"/>
          <c:order val="2"/>
          <c:tx>
            <c:strRef>
              <c:f>' Demanda II trim 2019'!$E$3</c:f>
              <c:strCache>
                <c:ptCount val="1"/>
                <c:pt idx="0">
                  <c:v>jun-19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 Demanda II trim 2019'!$B$4:$B$17</c:f>
              <c:strCache>
                <c:ptCount val="14"/>
                <c:pt idx="0">
                  <c:v>San Salvador</c:v>
                </c:pt>
                <c:pt idx="1">
                  <c:v>Santa Ana</c:v>
                </c:pt>
                <c:pt idx="2">
                  <c:v>San Miguel</c:v>
                </c:pt>
                <c:pt idx="3">
                  <c:v>Usulutan </c:v>
                </c:pt>
                <c:pt idx="4">
                  <c:v>Sonsonate</c:v>
                </c:pt>
                <c:pt idx="5">
                  <c:v>La Libertad</c:v>
                </c:pt>
                <c:pt idx="6">
                  <c:v>La Paz</c:v>
                </c:pt>
                <c:pt idx="7">
                  <c:v>La Unión</c:v>
                </c:pt>
                <c:pt idx="8">
                  <c:v>Chalatenango</c:v>
                </c:pt>
                <c:pt idx="9">
                  <c:v>Cuscatlan</c:v>
                </c:pt>
                <c:pt idx="10">
                  <c:v>Ahuachapan</c:v>
                </c:pt>
                <c:pt idx="11">
                  <c:v>Morazán</c:v>
                </c:pt>
                <c:pt idx="12">
                  <c:v>San Vicente</c:v>
                </c:pt>
                <c:pt idx="13">
                  <c:v>Cabañas</c:v>
                </c:pt>
              </c:strCache>
            </c:strRef>
          </c:cat>
          <c:val>
            <c:numRef>
              <c:f>' Demanda II trim 2019'!$E$4:$E$17</c:f>
              <c:numCache>
                <c:formatCode>General</c:formatCode>
                <c:ptCount val="14"/>
                <c:pt idx="0">
                  <c:v>10</c:v>
                </c:pt>
                <c:pt idx="1">
                  <c:v>0</c:v>
                </c:pt>
                <c:pt idx="2">
                  <c:v>0</c:v>
                </c:pt>
                <c:pt idx="3">
                  <c:v>3</c:v>
                </c:pt>
                <c:pt idx="4">
                  <c:v>2</c:v>
                </c:pt>
                <c:pt idx="5">
                  <c:v>1</c:v>
                </c:pt>
                <c:pt idx="6">
                  <c:v>1</c:v>
                </c:pt>
                <c:pt idx="7">
                  <c:v>0</c:v>
                </c:pt>
                <c:pt idx="8">
                  <c:v>3</c:v>
                </c:pt>
                <c:pt idx="9">
                  <c:v>2</c:v>
                </c:pt>
                <c:pt idx="10">
                  <c:v>0</c:v>
                </c:pt>
                <c:pt idx="11">
                  <c:v>1</c:v>
                </c:pt>
                <c:pt idx="12">
                  <c:v>0</c:v>
                </c:pt>
                <c:pt idx="13">
                  <c:v>0</c:v>
                </c:pt>
              </c:numCache>
            </c:numRef>
          </c:val>
        </c:ser>
        <c:dLbls>
          <c:showLegendKey val="0"/>
          <c:showVal val="0"/>
          <c:showCatName val="0"/>
          <c:showSerName val="0"/>
          <c:showPercent val="0"/>
          <c:showBubbleSize val="0"/>
        </c:dLbls>
        <c:gapWidth val="219"/>
        <c:overlap val="-27"/>
        <c:axId val="437869080"/>
        <c:axId val="437870648"/>
      </c:barChart>
      <c:catAx>
        <c:axId val="437869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437870648"/>
        <c:crosses val="autoZero"/>
        <c:auto val="1"/>
        <c:lblAlgn val="ctr"/>
        <c:lblOffset val="100"/>
        <c:noMultiLvlLbl val="0"/>
      </c:catAx>
      <c:valAx>
        <c:axId val="437870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7869080"/>
        <c:crosses val="autoZero"/>
        <c:crossBetween val="between"/>
      </c:valAx>
      <c:spPr>
        <a:noFill/>
        <a:ln>
          <a:noFill/>
        </a:ln>
        <a:effectLst/>
      </c:spPr>
    </c:plotArea>
    <c:legend>
      <c:legendPos val="b"/>
      <c:layout>
        <c:manualLayout>
          <c:xMode val="edge"/>
          <c:yMode val="edge"/>
          <c:x val="0.24330145357024774"/>
          <c:y val="0.9115937464338697"/>
          <c:w val="0.46985121416588088"/>
          <c:h val="6.5217847769028878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Movimiento de la Demanda de enero a junio 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lineChart>
        <c:grouping val="standard"/>
        <c:varyColors val="0"/>
        <c:ser>
          <c:idx val="0"/>
          <c:order val="0"/>
          <c:spPr>
            <a:ln w="57150" cap="rnd">
              <a:solidFill>
                <a:srgbClr val="002060"/>
              </a:solidFill>
              <a:round/>
            </a:ln>
            <a:effectLst/>
          </c:spPr>
          <c:marker>
            <c:symbol val="none"/>
          </c:marker>
          <c:dLbls>
            <c:spPr>
              <a:solidFill>
                <a:srgbClr val="F8FB8F"/>
              </a:solidFill>
              <a:ln>
                <a:noFill/>
              </a:ln>
              <a:effectLst/>
            </c:spPr>
            <c:txPr>
              <a:bodyPr rot="0" spcFirstLastPara="1" vertOverflow="ellipsis" vert="horz" wrap="square" lIns="38100" tIns="19050" rIns="38100" bIns="19050" anchor="ctr" anchorCtr="1">
                <a:spAutoFit/>
              </a:bodyPr>
              <a:lstStyle/>
              <a:p>
                <a:pPr>
                  <a:defRPr sz="910" b="1"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 Demanda II trim 2019'!$U$4:$U$9</c:f>
              <c:strCache>
                <c:ptCount val="6"/>
                <c:pt idx="0">
                  <c:v>enero</c:v>
                </c:pt>
                <c:pt idx="1">
                  <c:v>febrero</c:v>
                </c:pt>
                <c:pt idx="2">
                  <c:v>marzo</c:v>
                </c:pt>
                <c:pt idx="3">
                  <c:v>abril</c:v>
                </c:pt>
                <c:pt idx="4">
                  <c:v>mayo</c:v>
                </c:pt>
                <c:pt idx="5">
                  <c:v>junio</c:v>
                </c:pt>
              </c:strCache>
            </c:strRef>
          </c:cat>
          <c:val>
            <c:numRef>
              <c:f>' Demanda II trim 2019'!$V$4:$V$9</c:f>
              <c:numCache>
                <c:formatCode>General</c:formatCode>
                <c:ptCount val="6"/>
                <c:pt idx="0">
                  <c:v>44</c:v>
                </c:pt>
                <c:pt idx="1">
                  <c:v>41</c:v>
                </c:pt>
                <c:pt idx="2">
                  <c:v>34</c:v>
                </c:pt>
                <c:pt idx="3">
                  <c:v>23</c:v>
                </c:pt>
                <c:pt idx="4">
                  <c:v>16</c:v>
                </c:pt>
                <c:pt idx="5">
                  <c:v>23</c:v>
                </c:pt>
              </c:numCache>
            </c:numRef>
          </c:val>
          <c:smooth val="0"/>
        </c:ser>
        <c:dLbls>
          <c:showLegendKey val="0"/>
          <c:showVal val="0"/>
          <c:showCatName val="0"/>
          <c:showSerName val="0"/>
          <c:showPercent val="0"/>
          <c:showBubbleSize val="0"/>
        </c:dLbls>
        <c:smooth val="0"/>
        <c:axId val="437863200"/>
        <c:axId val="437858888"/>
      </c:lineChart>
      <c:catAx>
        <c:axId val="43786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437858888"/>
        <c:crosses val="autoZero"/>
        <c:auto val="1"/>
        <c:lblAlgn val="ctr"/>
        <c:lblOffset val="100"/>
        <c:noMultiLvlLbl val="0"/>
      </c:catAx>
      <c:valAx>
        <c:axId val="437858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7863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8D22-A472-4B45-94AD-AFED04A8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17</Words>
  <Characters>99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6</cp:revision>
  <dcterms:created xsi:type="dcterms:W3CDTF">2019-07-10T19:55:00Z</dcterms:created>
  <dcterms:modified xsi:type="dcterms:W3CDTF">2019-07-16T17:28:00Z</dcterms:modified>
</cp:coreProperties>
</file>