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7C5C84">
        <w:rPr>
          <w:rFonts w:ascii="Times New Roman" w:hAnsi="Times New Roman" w:cs="Times New Roman"/>
          <w:b/>
          <w:sz w:val="24"/>
          <w:szCs w:val="24"/>
        </w:rPr>
        <w:t>Declaratoria de Inexistencia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A84409">
        <w:rPr>
          <w:rFonts w:ascii="Times New Roman" w:hAnsi="Times New Roman" w:cs="Times New Roman"/>
          <w:b/>
          <w:sz w:val="24"/>
          <w:szCs w:val="24"/>
        </w:rPr>
        <w:t>- No.07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3B578F">
        <w:rPr>
          <w:rFonts w:ascii="Times New Roman" w:hAnsi="Times New Roman" w:cs="Times New Roman"/>
        </w:rPr>
        <w:t xml:space="preserve"> diez</w:t>
      </w:r>
      <w:r w:rsidR="00A84409">
        <w:rPr>
          <w:rFonts w:ascii="Times New Roman" w:hAnsi="Times New Roman" w:cs="Times New Roman"/>
        </w:rPr>
        <w:t xml:space="preserve"> horas </w:t>
      </w:r>
      <w:r w:rsidR="002C46D4">
        <w:rPr>
          <w:rFonts w:ascii="Times New Roman" w:hAnsi="Times New Roman" w:cs="Times New Roman"/>
        </w:rPr>
        <w:t xml:space="preserve">con veinte minutos del día veintitrés </w:t>
      </w:r>
      <w:r w:rsidR="006213AD">
        <w:rPr>
          <w:rFonts w:ascii="Times New Roman" w:hAnsi="Times New Roman" w:cs="Times New Roman"/>
        </w:rPr>
        <w:t>de marzo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A84409" w:rsidRDefault="00A84409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6213AD" w:rsidRPr="00FF38E5" w:rsidRDefault="00A84409" w:rsidP="003B578F">
      <w:pPr>
        <w:pStyle w:val="Prrafodelista"/>
        <w:numPr>
          <w:ilvl w:val="0"/>
          <w:numId w:val="20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F38E5">
        <w:rPr>
          <w:rFonts w:ascii="Times New Roman" w:hAnsi="Times New Roman" w:cs="Times New Roman"/>
          <w:b/>
          <w:lang w:val="es-SV"/>
        </w:rPr>
        <w:t>Listado de lugares turísticos que sean seguros para visitar, direcciones, horarios, teléfonos y precios.</w:t>
      </w:r>
    </w:p>
    <w:p w:rsidR="00A84409" w:rsidRPr="00FF38E5" w:rsidRDefault="00A84409" w:rsidP="003B578F">
      <w:pPr>
        <w:pStyle w:val="Prrafodelista"/>
        <w:numPr>
          <w:ilvl w:val="0"/>
          <w:numId w:val="20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lang w:val="es-SV"/>
        </w:rPr>
      </w:pPr>
      <w:r w:rsidRPr="00FF38E5">
        <w:rPr>
          <w:rFonts w:ascii="Times New Roman" w:hAnsi="Times New Roman" w:cs="Times New Roman"/>
          <w:b/>
          <w:lang w:val="es-SV"/>
        </w:rPr>
        <w:t xml:space="preserve">Requisitos para solicitar apoyo de transporte al Ministerio de Turismo para que ponga a disposición bus, </w:t>
      </w:r>
      <w:proofErr w:type="spellStart"/>
      <w:r w:rsidRPr="00FF38E5">
        <w:rPr>
          <w:rFonts w:ascii="Times New Roman" w:hAnsi="Times New Roman" w:cs="Times New Roman"/>
          <w:b/>
          <w:lang w:val="es-SV"/>
        </w:rPr>
        <w:t>microbus</w:t>
      </w:r>
      <w:proofErr w:type="spellEnd"/>
      <w:r w:rsidRPr="00FF38E5">
        <w:rPr>
          <w:rFonts w:ascii="Times New Roman" w:hAnsi="Times New Roman" w:cs="Times New Roman"/>
          <w:b/>
          <w:lang w:val="es-SV"/>
        </w:rPr>
        <w:t xml:space="preserve"> o </w:t>
      </w:r>
      <w:proofErr w:type="spellStart"/>
      <w:r w:rsidRPr="00FF38E5">
        <w:rPr>
          <w:rFonts w:ascii="Times New Roman" w:hAnsi="Times New Roman" w:cs="Times New Roman"/>
          <w:b/>
          <w:lang w:val="es-SV"/>
        </w:rPr>
        <w:t>coaster</w:t>
      </w:r>
      <w:proofErr w:type="spellEnd"/>
      <w:r w:rsidRPr="00FF38E5">
        <w:rPr>
          <w:rFonts w:ascii="Times New Roman" w:hAnsi="Times New Roman" w:cs="Times New Roman"/>
          <w:b/>
          <w:lang w:val="es-SV"/>
        </w:rPr>
        <w:t xml:space="preserve"> para la realización de un viaje turístico por parte de Colegios, Iglesias o Instituciones</w:t>
      </w:r>
      <w:r w:rsidRPr="00FF38E5">
        <w:rPr>
          <w:rFonts w:ascii="Times New Roman" w:hAnsi="Times New Roman" w:cs="Times New Roman"/>
          <w:lang w:val="es-SV"/>
        </w:rPr>
        <w:t>.</w:t>
      </w:r>
    </w:p>
    <w:p w:rsidR="00A84409" w:rsidRPr="003E2FA7" w:rsidRDefault="00A84409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7C5C84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331368">
        <w:rPr>
          <w:rFonts w:ascii="Times New Roman" w:hAnsi="Times New Roman" w:cs="Times New Roman"/>
        </w:rPr>
        <w:t xml:space="preserve"> </w:t>
      </w:r>
      <w:r w:rsidR="00331368" w:rsidRPr="00331368">
        <w:rPr>
          <w:rFonts w:ascii="Times New Roman" w:hAnsi="Times New Roman" w:cs="Times New Roman"/>
          <w:highlight w:val="black"/>
        </w:rPr>
        <w:t>XXXXXXXXXXXXXXXXXXX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número</w:t>
      </w:r>
      <w:r w:rsidR="00331368">
        <w:rPr>
          <w:rFonts w:ascii="Times New Roman" w:hAnsi="Times New Roman" w:cs="Times New Roman"/>
        </w:rPr>
        <w:t xml:space="preserve"> </w:t>
      </w:r>
      <w:r w:rsidR="00331368" w:rsidRPr="00331368">
        <w:rPr>
          <w:rFonts w:ascii="Times New Roman" w:hAnsi="Times New Roman" w:cs="Times New Roman"/>
          <w:highlight w:val="black"/>
        </w:rPr>
        <w:t>XXXXXXXXXXXX</w:t>
      </w:r>
      <w:r w:rsidR="00A84409">
        <w:rPr>
          <w:rFonts w:ascii="Times New Roman" w:hAnsi="Times New Roman" w:cs="Times New Roman"/>
        </w:rPr>
        <w:t>, de haber analizado el fondo de lo</w:t>
      </w:r>
      <w:r w:rsidR="007C5C84">
        <w:rPr>
          <w:rFonts w:ascii="Times New Roman" w:hAnsi="Times New Roman" w:cs="Times New Roman"/>
        </w:rPr>
        <w:t xml:space="preserve"> solicitado, se ha identificado que no es competencia del Ministerio de Turismo.</w:t>
      </w:r>
    </w:p>
    <w:p w:rsidR="007C5C84" w:rsidRDefault="007C5C84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2478C6" w:rsidRDefault="00B104CB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7C5C84" w:rsidRDefault="007C5C84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</w:p>
    <w:p w:rsidR="007C5C84" w:rsidRPr="007C5C84" w:rsidRDefault="007C5C84" w:rsidP="003B578F">
      <w:pPr>
        <w:pStyle w:val="Prrafodelista"/>
        <w:numPr>
          <w:ilvl w:val="0"/>
          <w:numId w:val="17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</w:rPr>
      </w:pPr>
      <w:r w:rsidRPr="007C5C84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de acuerdo al Art. 2 literal c) de la Ley de la Corporación Salvadoreña de Turismo (CORSATUR), le corresponde </w:t>
      </w:r>
      <w:r w:rsidRPr="007C5C84">
        <w:rPr>
          <w:rFonts w:ascii="Times New Roman" w:hAnsi="Times New Roman" w:cs="Times New Roman"/>
          <w:vertAlign w:val="superscript"/>
        </w:rPr>
        <w:t>&lt;&lt;</w:t>
      </w:r>
      <w:r>
        <w:rPr>
          <w:rFonts w:ascii="Times New Roman" w:hAnsi="Times New Roman" w:cs="Times New Roman"/>
        </w:rPr>
        <w:t>Llevar un censo estadístico actualizado, conteniendo información sobre el inventario de atractivos e infraestructura nacional de la actividad turística y otra información de interés sobre el turismo interno e internacional. Asimismo y para efectos de divulgación, realizar una publicación anual de un catálogo de oferta turística del país, conteniendo el nombre de las personas o empresas, dirección, medio de contacto y la oferta de servicios que prestan…</w:t>
      </w:r>
      <w:r w:rsidRPr="007C5C84">
        <w:rPr>
          <w:rFonts w:ascii="Times New Roman" w:hAnsi="Times New Roman" w:cs="Times New Roman"/>
          <w:vertAlign w:val="superscript"/>
        </w:rPr>
        <w:t xml:space="preserve">&gt;&gt; </w:t>
      </w:r>
    </w:p>
    <w:p w:rsidR="007C5C84" w:rsidRPr="007C5C84" w:rsidRDefault="007C5C84" w:rsidP="003B578F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3B578F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3B578F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FF38E5" w:rsidRDefault="00FF38E5" w:rsidP="003B578F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</w:p>
    <w:p w:rsidR="00FF38E5" w:rsidRDefault="00FF38E5" w:rsidP="003B578F">
      <w:pPr>
        <w:pStyle w:val="Prrafodelista"/>
        <w:numPr>
          <w:ilvl w:val="0"/>
          <w:numId w:val="19"/>
        </w:numPr>
        <w:tabs>
          <w:tab w:val="left" w:pos="3000"/>
        </w:tabs>
        <w:spacing w:after="0"/>
        <w:ind w:left="993" w:hanging="284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Denegar la solicitud de acceso a la información, por no ser esta la institución competente para conocer de la misma.</w:t>
      </w:r>
    </w:p>
    <w:p w:rsidR="003B578F" w:rsidRDefault="003B578F" w:rsidP="003B578F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FF38E5" w:rsidRDefault="00FF38E5" w:rsidP="003B578F">
      <w:pPr>
        <w:pStyle w:val="Prrafodelista"/>
        <w:numPr>
          <w:ilvl w:val="0"/>
          <w:numId w:val="19"/>
        </w:numPr>
        <w:tabs>
          <w:tab w:val="left" w:pos="3000"/>
        </w:tabs>
        <w:spacing w:after="0"/>
        <w:ind w:left="993" w:hanging="284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Que la información solicitada no es competencia del Ministerio de Turismo, por lo anterior se recomienda que sea solicitada a la Corporación Salvadoreña de Turismo. La dirección de la Unidad de Acceso a la Información Pública, es </w:t>
      </w:r>
      <w:r w:rsidR="003800C0">
        <w:rPr>
          <w:rFonts w:ascii="Times New Roman" w:hAnsi="Times New Roman" w:cs="Times New Roman"/>
          <w:lang w:val="es-SV"/>
        </w:rPr>
        <w:t xml:space="preserve">Alameda Dr. Manuel Enrique Araujo, Pje. </w:t>
      </w:r>
      <w:proofErr w:type="spellStart"/>
      <w:r w:rsidR="003800C0">
        <w:rPr>
          <w:rFonts w:ascii="Times New Roman" w:hAnsi="Times New Roman" w:cs="Times New Roman"/>
          <w:lang w:val="es-SV"/>
        </w:rPr>
        <w:t>Carbonel</w:t>
      </w:r>
      <w:proofErr w:type="spellEnd"/>
      <w:r w:rsidR="003800C0"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 w:rsidR="003800C0">
        <w:rPr>
          <w:rFonts w:ascii="Times New Roman" w:hAnsi="Times New Roman" w:cs="Times New Roman"/>
          <w:lang w:val="es-SV"/>
        </w:rPr>
        <w:t>Carbonel</w:t>
      </w:r>
      <w:proofErr w:type="spellEnd"/>
      <w:r w:rsidR="003800C0">
        <w:rPr>
          <w:rFonts w:ascii="Times New Roman" w:hAnsi="Times New Roman" w:cs="Times New Roman"/>
          <w:lang w:val="es-SV"/>
        </w:rPr>
        <w:t xml:space="preserve"> No. 2, primera planta, Colonia Roma, San Salvador, dirigirla al Oficial de Información Ad honorem, Ing. Juan Miranda, al correo </w:t>
      </w:r>
      <w:hyperlink r:id="rId11" w:history="1">
        <w:r w:rsidR="003800C0" w:rsidRPr="000A594A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="003800C0">
        <w:rPr>
          <w:rFonts w:ascii="Times New Roman" w:hAnsi="Times New Roman" w:cs="Times New Roman"/>
          <w:lang w:val="es-SV"/>
        </w:rPr>
        <w:t xml:space="preserve">, </w:t>
      </w:r>
      <w:proofErr w:type="spellStart"/>
      <w:r w:rsidR="003800C0">
        <w:rPr>
          <w:rFonts w:ascii="Times New Roman" w:hAnsi="Times New Roman" w:cs="Times New Roman"/>
          <w:lang w:val="es-SV"/>
        </w:rPr>
        <w:t>ó</w:t>
      </w:r>
      <w:proofErr w:type="spellEnd"/>
      <w:r w:rsidR="003800C0">
        <w:rPr>
          <w:rFonts w:ascii="Times New Roman" w:hAnsi="Times New Roman" w:cs="Times New Roman"/>
          <w:lang w:val="es-SV"/>
        </w:rPr>
        <w:t xml:space="preserve"> al teléfono: 2243-7835</w:t>
      </w:r>
      <w:r w:rsidR="002C46D4">
        <w:rPr>
          <w:rFonts w:ascii="Times New Roman" w:hAnsi="Times New Roman" w:cs="Times New Roman"/>
          <w:lang w:val="es-SV"/>
        </w:rPr>
        <w:t xml:space="preserve"> y </w:t>
      </w:r>
      <w:proofErr w:type="spellStart"/>
      <w:r w:rsidR="002C46D4">
        <w:rPr>
          <w:rFonts w:ascii="Times New Roman" w:hAnsi="Times New Roman" w:cs="Times New Roman"/>
          <w:lang w:val="es-SV"/>
        </w:rPr>
        <w:t>call</w:t>
      </w:r>
      <w:proofErr w:type="spellEnd"/>
      <w:r w:rsidR="002C46D4">
        <w:rPr>
          <w:rFonts w:ascii="Times New Roman" w:hAnsi="Times New Roman" w:cs="Times New Roman"/>
          <w:lang w:val="es-SV"/>
        </w:rPr>
        <w:t xml:space="preserve"> center de información turística 914.</w:t>
      </w:r>
    </w:p>
    <w:p w:rsidR="003B578F" w:rsidRPr="003B578F" w:rsidRDefault="003B578F" w:rsidP="003B578F">
      <w:pPr>
        <w:pStyle w:val="Prrafodelista"/>
        <w:rPr>
          <w:rFonts w:ascii="Times New Roman" w:hAnsi="Times New Roman" w:cs="Times New Roman"/>
          <w:lang w:val="es-SV"/>
        </w:rPr>
      </w:pPr>
    </w:p>
    <w:p w:rsidR="003B578F" w:rsidRPr="003B578F" w:rsidRDefault="00DB50A7" w:rsidP="003B578F">
      <w:pPr>
        <w:pStyle w:val="Prrafodelista"/>
        <w:numPr>
          <w:ilvl w:val="0"/>
          <w:numId w:val="19"/>
        </w:numPr>
        <w:tabs>
          <w:tab w:val="left" w:pos="3000"/>
        </w:tabs>
        <w:spacing w:after="0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3B578F">
        <w:rPr>
          <w:rFonts w:ascii="Times New Roman" w:hAnsi="Times New Roman" w:cs="Times New Roman"/>
          <w:lang w:val="es-SV"/>
        </w:rPr>
        <w:lastRenderedPageBreak/>
        <w:t>También se recomienda solicitar información a la Policía Nacional Civil</w:t>
      </w:r>
      <w:r w:rsidR="003B578F" w:rsidRPr="003B578F">
        <w:rPr>
          <w:rFonts w:ascii="Times New Roman" w:hAnsi="Times New Roman" w:cs="Times New Roman"/>
          <w:lang w:val="es-SV"/>
        </w:rPr>
        <w:t xml:space="preserve"> a través de la POLITUR, al contacto 2511-8300 / 2511-8303</w:t>
      </w:r>
    </w:p>
    <w:p w:rsidR="003B578F" w:rsidRPr="003B578F" w:rsidRDefault="003B578F" w:rsidP="003B578F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3B578F" w:rsidRPr="003B578F" w:rsidRDefault="003B578F" w:rsidP="00980F5E">
      <w:pPr>
        <w:pStyle w:val="Prrafodelista"/>
        <w:numPr>
          <w:ilvl w:val="0"/>
          <w:numId w:val="19"/>
        </w:numPr>
        <w:tabs>
          <w:tab w:val="left" w:pos="300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  <w:b/>
          <w:lang w:val="es-SV"/>
        </w:rPr>
      </w:pPr>
      <w:r w:rsidRPr="003B578F">
        <w:rPr>
          <w:rFonts w:ascii="Times New Roman" w:hAnsi="Times New Roman" w:cs="Times New Roman"/>
          <w:lang w:val="es-SV"/>
        </w:rPr>
        <w:t>Informar que</w:t>
      </w:r>
      <w:r w:rsidR="00FF38E5" w:rsidRPr="003B578F">
        <w:rPr>
          <w:rFonts w:ascii="Times New Roman" w:hAnsi="Times New Roman" w:cs="Times New Roman"/>
          <w:lang w:val="es-SV"/>
        </w:rPr>
        <w:t xml:space="preserve"> el Ministerio de Turismo no cuenta con el servicio de transporte para realizar viajes turísticos.</w:t>
      </w: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3B578F" w:rsidRPr="00331368" w:rsidRDefault="00B104CB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r w:rsidR="00331368" w:rsidRPr="00331368">
        <w:rPr>
          <w:rStyle w:val="Hipervnculo"/>
          <w:rFonts w:ascii="Times New Roman" w:hAnsi="Times New Roman" w:cs="Times New Roman"/>
          <w:color w:val="000000" w:themeColor="text1"/>
          <w:highlight w:val="black"/>
          <w:u w:val="none"/>
        </w:rPr>
        <w:t>XXXXXXXXXXXXXXXXX</w:t>
      </w: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BA5D3E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2D38AF44" wp14:editId="72A8881C">
            <wp:simplePos x="0" y="0"/>
            <wp:positionH relativeFrom="column">
              <wp:posOffset>2864485</wp:posOffset>
            </wp:positionH>
            <wp:positionV relativeFrom="paragraph">
              <wp:posOffset>31115</wp:posOffset>
            </wp:positionV>
            <wp:extent cx="2543175" cy="727075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BA5563" w:rsidRDefault="003800C0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563" w:rsidRPr="00E37818">
        <w:rPr>
          <w:rFonts w:ascii="Times New Roman" w:hAnsi="Times New Roman" w:cs="Times New Roman"/>
        </w:rPr>
        <w:t xml:space="preserve"> </w:t>
      </w:r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153B2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CDB" w:rsidRDefault="00917CDB" w:rsidP="00C55328">
      <w:pPr>
        <w:spacing w:after="0" w:line="240" w:lineRule="auto"/>
      </w:pPr>
      <w:r>
        <w:separator/>
      </w:r>
    </w:p>
  </w:endnote>
  <w:endnote w:type="continuationSeparator" w:id="0">
    <w:p w:rsidR="00917CDB" w:rsidRDefault="00917CDB" w:rsidP="00C55328">
      <w:pPr>
        <w:spacing w:after="0" w:line="240" w:lineRule="auto"/>
      </w:pPr>
      <w:r>
        <w:continuationSeparator/>
      </w:r>
    </w:p>
  </w:endnote>
  <w:endnote w:type="continuationNotice" w:id="1">
    <w:p w:rsidR="00917CDB" w:rsidRDefault="00917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CDB" w:rsidRDefault="00917CDB" w:rsidP="00C55328">
      <w:pPr>
        <w:spacing w:after="0" w:line="240" w:lineRule="auto"/>
      </w:pPr>
      <w:r>
        <w:separator/>
      </w:r>
    </w:p>
  </w:footnote>
  <w:footnote w:type="continuationSeparator" w:id="0">
    <w:p w:rsidR="00917CDB" w:rsidRDefault="00917CDB" w:rsidP="00C55328">
      <w:pPr>
        <w:spacing w:after="0" w:line="240" w:lineRule="auto"/>
      </w:pPr>
      <w:r>
        <w:continuationSeparator/>
      </w:r>
    </w:p>
  </w:footnote>
  <w:footnote w:type="continuationNotice" w:id="1">
    <w:p w:rsidR="00917CDB" w:rsidRDefault="00917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19"/>
  </w:num>
  <w:num w:numId="7">
    <w:abstractNumId w:val="6"/>
  </w:num>
  <w:num w:numId="8">
    <w:abstractNumId w:val="4"/>
  </w:num>
  <w:num w:numId="9">
    <w:abstractNumId w:val="16"/>
  </w:num>
  <w:num w:numId="10">
    <w:abstractNumId w:val="14"/>
  </w:num>
  <w:num w:numId="11">
    <w:abstractNumId w:val="17"/>
  </w:num>
  <w:num w:numId="12">
    <w:abstractNumId w:val="11"/>
  </w:num>
  <w:num w:numId="13">
    <w:abstractNumId w:val="8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12"/>
  </w:num>
  <w:num w:numId="19">
    <w:abstractNumId w:val="9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1368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13AD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EAF"/>
    <w:rsid w:val="006F5A5A"/>
    <w:rsid w:val="007008F6"/>
    <w:rsid w:val="00702A7F"/>
    <w:rsid w:val="007066AD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297D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17CDB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5D3E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2019-03-25T15:55:00Z</cp:lastPrinted>
  <dcterms:created xsi:type="dcterms:W3CDTF">2019-04-02T21:15:00Z</dcterms:created>
  <dcterms:modified xsi:type="dcterms:W3CDTF">2019-05-17T14:48:00Z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