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CD700F" w:rsidRDefault="00095CC3" w:rsidP="003A6BF5">
      <w:pPr>
        <w:tabs>
          <w:tab w:val="left" w:pos="3000"/>
        </w:tabs>
        <w:spacing w:after="0" w:line="240" w:lineRule="auto"/>
        <w:jc w:val="center"/>
        <w:rPr>
          <w:rFonts w:ascii="Times New Roman" w:hAnsi="Times New Roman" w:cs="Times New Roman"/>
          <w:b/>
          <w:sz w:val="24"/>
          <w:szCs w:val="24"/>
        </w:rPr>
      </w:pPr>
      <w:r w:rsidRPr="00CD700F">
        <w:rPr>
          <w:rFonts w:ascii="Times New Roman" w:hAnsi="Times New Roman" w:cs="Times New Roman"/>
          <w:b/>
          <w:sz w:val="24"/>
          <w:szCs w:val="24"/>
        </w:rPr>
        <w:t>UNIDAD DE ACCESO A LA INFORMACIÓ</w:t>
      </w:r>
      <w:r w:rsidR="00213ED2" w:rsidRPr="00CD700F">
        <w:rPr>
          <w:rFonts w:ascii="Times New Roman" w:hAnsi="Times New Roman" w:cs="Times New Roman"/>
          <w:b/>
          <w:sz w:val="24"/>
          <w:szCs w:val="24"/>
        </w:rPr>
        <w:t>N PÚBLICA.</w:t>
      </w:r>
    </w:p>
    <w:p w:rsidR="00213ED2" w:rsidRPr="00CD700F"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213ED2" w:rsidRPr="00CD700F">
        <w:rPr>
          <w:rFonts w:ascii="Times New Roman" w:hAnsi="Times New Roman" w:cs="Times New Roman"/>
          <w:b/>
          <w:sz w:val="24"/>
          <w:szCs w:val="24"/>
        </w:rPr>
        <w:t>Resolución de Entrega de Información.</w:t>
      </w:r>
    </w:p>
    <w:p w:rsidR="00D807DA" w:rsidRPr="00CD700F"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3A0A81" w:rsidRPr="00CD700F">
        <w:rPr>
          <w:rFonts w:ascii="Times New Roman" w:hAnsi="Times New Roman" w:cs="Times New Roman"/>
          <w:b/>
          <w:sz w:val="24"/>
          <w:szCs w:val="24"/>
        </w:rPr>
        <w:t>UAIP-MITUR</w:t>
      </w:r>
      <w:r w:rsidR="00D7291B" w:rsidRPr="00CD700F">
        <w:rPr>
          <w:rFonts w:ascii="Times New Roman" w:hAnsi="Times New Roman" w:cs="Times New Roman"/>
          <w:b/>
          <w:sz w:val="24"/>
          <w:szCs w:val="24"/>
        </w:rPr>
        <w:t>-</w:t>
      </w:r>
      <w:r w:rsidR="00A44C7F" w:rsidRPr="00CD700F">
        <w:rPr>
          <w:rFonts w:ascii="Times New Roman" w:hAnsi="Times New Roman" w:cs="Times New Roman"/>
          <w:b/>
          <w:sz w:val="24"/>
          <w:szCs w:val="24"/>
        </w:rPr>
        <w:t xml:space="preserve"> No.019</w:t>
      </w:r>
      <w:r w:rsidR="00047088" w:rsidRPr="00CD700F">
        <w:rPr>
          <w:rFonts w:ascii="Times New Roman" w:hAnsi="Times New Roman" w:cs="Times New Roman"/>
          <w:b/>
          <w:sz w:val="24"/>
          <w:szCs w:val="24"/>
        </w:rPr>
        <w:t>/</w:t>
      </w:r>
      <w:r w:rsidR="00754563" w:rsidRPr="00CD700F">
        <w:rPr>
          <w:rFonts w:ascii="Times New Roman" w:hAnsi="Times New Roman" w:cs="Times New Roman"/>
          <w:b/>
          <w:sz w:val="24"/>
          <w:szCs w:val="24"/>
        </w:rPr>
        <w:t>2018</w:t>
      </w:r>
      <w:bookmarkStart w:id="0" w:name="_GoBack"/>
      <w:bookmarkEnd w:id="0"/>
    </w:p>
    <w:p w:rsidR="00D807DA" w:rsidRPr="00CD700F"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A44C7F" w:rsidRPr="00CD700F" w:rsidRDefault="00AD4A75" w:rsidP="00481718">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San Salvador, a </w:t>
      </w:r>
      <w:r w:rsidR="00754563" w:rsidRPr="00CD700F">
        <w:rPr>
          <w:rFonts w:ascii="Times New Roman" w:hAnsi="Times New Roman" w:cs="Times New Roman"/>
          <w:sz w:val="24"/>
          <w:szCs w:val="24"/>
        </w:rPr>
        <w:t>las</w:t>
      </w:r>
      <w:r w:rsidR="003D1F68" w:rsidRPr="00CD700F">
        <w:rPr>
          <w:rFonts w:ascii="Times New Roman" w:hAnsi="Times New Roman" w:cs="Times New Roman"/>
          <w:sz w:val="24"/>
          <w:szCs w:val="24"/>
        </w:rPr>
        <w:t xml:space="preserve"> diez horas</w:t>
      </w:r>
      <w:r w:rsidR="00754563" w:rsidRPr="00CD700F">
        <w:rPr>
          <w:rFonts w:ascii="Times New Roman" w:hAnsi="Times New Roman" w:cs="Times New Roman"/>
          <w:sz w:val="24"/>
          <w:szCs w:val="24"/>
        </w:rPr>
        <w:t xml:space="preserve"> </w:t>
      </w:r>
      <w:r w:rsidR="003D1F68" w:rsidRPr="00CD700F">
        <w:rPr>
          <w:rFonts w:ascii="Times New Roman" w:hAnsi="Times New Roman" w:cs="Times New Roman"/>
          <w:sz w:val="24"/>
          <w:szCs w:val="24"/>
        </w:rPr>
        <w:t>con veinte</w:t>
      </w:r>
      <w:r w:rsidR="003A0A81" w:rsidRPr="00CD700F">
        <w:rPr>
          <w:rFonts w:ascii="Times New Roman" w:hAnsi="Times New Roman" w:cs="Times New Roman"/>
          <w:sz w:val="24"/>
          <w:szCs w:val="24"/>
        </w:rPr>
        <w:t xml:space="preserve"> </w:t>
      </w:r>
      <w:r w:rsidR="0070218A" w:rsidRPr="00CD700F">
        <w:rPr>
          <w:rFonts w:ascii="Times New Roman" w:hAnsi="Times New Roman" w:cs="Times New Roman"/>
          <w:sz w:val="24"/>
          <w:szCs w:val="24"/>
        </w:rPr>
        <w:t>minutos del día diecinueve</w:t>
      </w:r>
      <w:r w:rsidR="004C0759" w:rsidRPr="00CD700F">
        <w:rPr>
          <w:rFonts w:ascii="Times New Roman" w:hAnsi="Times New Roman" w:cs="Times New Roman"/>
          <w:sz w:val="24"/>
          <w:szCs w:val="24"/>
        </w:rPr>
        <w:t xml:space="preserve"> de </w:t>
      </w:r>
      <w:r w:rsidR="003A0A81" w:rsidRPr="00CD700F">
        <w:rPr>
          <w:rFonts w:ascii="Times New Roman" w:hAnsi="Times New Roman" w:cs="Times New Roman"/>
          <w:sz w:val="24"/>
          <w:szCs w:val="24"/>
        </w:rPr>
        <w:t>abril</w:t>
      </w:r>
      <w:r w:rsidR="00754563" w:rsidRPr="00CD700F">
        <w:rPr>
          <w:rFonts w:ascii="Times New Roman" w:hAnsi="Times New Roman" w:cs="Times New Roman"/>
          <w:sz w:val="24"/>
          <w:szCs w:val="24"/>
        </w:rPr>
        <w:t xml:space="preserve"> de dos mil dieciocho</w:t>
      </w:r>
      <w:r w:rsidR="00D807DA" w:rsidRPr="00CD700F">
        <w:rPr>
          <w:rFonts w:ascii="Times New Roman" w:hAnsi="Times New Roman" w:cs="Times New Roman"/>
          <w:sz w:val="24"/>
          <w:szCs w:val="24"/>
        </w:rPr>
        <w:t xml:space="preserve">, el Ministerio de Turismo, luego de haber recibido y admitido la </w:t>
      </w:r>
      <w:r w:rsidR="00207319" w:rsidRPr="00CD700F">
        <w:rPr>
          <w:rFonts w:ascii="Times New Roman" w:hAnsi="Times New Roman" w:cs="Times New Roman"/>
          <w:sz w:val="24"/>
          <w:szCs w:val="24"/>
        </w:rPr>
        <w:t>solicitud de información</w:t>
      </w:r>
      <w:r w:rsidR="00D807DA" w:rsidRPr="00CD700F">
        <w:rPr>
          <w:rFonts w:ascii="Times New Roman" w:hAnsi="Times New Roman" w:cs="Times New Roman"/>
          <w:sz w:val="24"/>
          <w:szCs w:val="24"/>
        </w:rPr>
        <w:t xml:space="preserve"> respecto a:</w:t>
      </w:r>
    </w:p>
    <w:p w:rsidR="00A44C7F" w:rsidRPr="00CD700F" w:rsidRDefault="00A44C7F" w:rsidP="00A44C7F">
      <w:pPr>
        <w:pStyle w:val="Prrafodelista"/>
        <w:numPr>
          <w:ilvl w:val="0"/>
          <w:numId w:val="7"/>
        </w:numPr>
        <w:tabs>
          <w:tab w:val="left" w:pos="1140"/>
        </w:tabs>
        <w:spacing w:after="0" w:line="240" w:lineRule="auto"/>
        <w:ind w:left="1072"/>
        <w:jc w:val="both"/>
        <w:rPr>
          <w:rFonts w:ascii="Times New Roman" w:hAnsi="Times New Roman" w:cs="Times New Roman"/>
          <w:b/>
          <w:sz w:val="24"/>
          <w:szCs w:val="24"/>
        </w:rPr>
      </w:pPr>
      <w:r w:rsidRPr="00CD700F">
        <w:rPr>
          <w:rFonts w:ascii="Times New Roman" w:hAnsi="Times New Roman" w:cs="Times New Roman"/>
          <w:b/>
          <w:sz w:val="24"/>
          <w:szCs w:val="24"/>
        </w:rPr>
        <w:t>Copia de los estudios, dictámenes o resoluciones, con base a las cuales el Ministerio de Turismo otorgó, hasta el año 2016, la calificación de “Proyectos de Interés Turístico Nacional” a las 33 empresas y establecimientos que se incluyen en el cuadro adjunto a la presente petición, el cual incluye empresas y sociedades dedicadas al rubro de transporte, alojamiento y recreación.</w:t>
      </w:r>
    </w:p>
    <w:p w:rsidR="00A44C7F" w:rsidRPr="00CD700F" w:rsidRDefault="00A44C7F" w:rsidP="00A44C7F">
      <w:pPr>
        <w:pStyle w:val="Prrafodelista"/>
        <w:tabs>
          <w:tab w:val="left" w:pos="1140"/>
        </w:tabs>
        <w:spacing w:after="0" w:line="240" w:lineRule="auto"/>
        <w:ind w:left="1072"/>
        <w:jc w:val="both"/>
        <w:rPr>
          <w:rFonts w:ascii="Times New Roman" w:hAnsi="Times New Roman" w:cs="Times New Roman"/>
          <w:b/>
          <w:sz w:val="24"/>
          <w:szCs w:val="24"/>
        </w:rPr>
      </w:pPr>
    </w:p>
    <w:p w:rsidR="00A44C7F" w:rsidRPr="00CD700F" w:rsidRDefault="00A44C7F" w:rsidP="00A44C7F">
      <w:pPr>
        <w:pStyle w:val="Prrafodelista"/>
        <w:numPr>
          <w:ilvl w:val="0"/>
          <w:numId w:val="7"/>
        </w:numPr>
        <w:tabs>
          <w:tab w:val="left" w:pos="1140"/>
        </w:tabs>
        <w:spacing w:after="0" w:line="240" w:lineRule="auto"/>
        <w:ind w:left="1072"/>
        <w:jc w:val="both"/>
        <w:rPr>
          <w:rFonts w:ascii="Times New Roman" w:hAnsi="Times New Roman" w:cs="Times New Roman"/>
          <w:b/>
          <w:sz w:val="24"/>
          <w:szCs w:val="24"/>
        </w:rPr>
      </w:pPr>
      <w:r w:rsidRPr="00CD700F">
        <w:rPr>
          <w:rFonts w:ascii="Times New Roman" w:hAnsi="Times New Roman" w:cs="Times New Roman"/>
          <w:b/>
          <w:sz w:val="24"/>
          <w:szCs w:val="24"/>
        </w:rPr>
        <w:t>Listado de las otras empresas y establecimientos que desde el año 2017 a la fecha, han recibido la calificación de “Proyectos de Interés Turístico Nacional”.</w:t>
      </w:r>
    </w:p>
    <w:p w:rsidR="00A44C7F" w:rsidRPr="00CD700F" w:rsidRDefault="00A44C7F" w:rsidP="00A44C7F">
      <w:pPr>
        <w:pStyle w:val="Prrafodelista"/>
        <w:tabs>
          <w:tab w:val="left" w:pos="1140"/>
        </w:tabs>
        <w:spacing w:after="0" w:line="240" w:lineRule="auto"/>
        <w:ind w:left="1072"/>
        <w:jc w:val="both"/>
        <w:rPr>
          <w:rFonts w:ascii="Times New Roman" w:hAnsi="Times New Roman" w:cs="Times New Roman"/>
          <w:b/>
          <w:sz w:val="24"/>
          <w:szCs w:val="24"/>
        </w:rPr>
      </w:pPr>
    </w:p>
    <w:p w:rsidR="00D7291B" w:rsidRPr="00CD700F" w:rsidRDefault="00A44C7F" w:rsidP="00A44C7F">
      <w:pPr>
        <w:pStyle w:val="Prrafodelista"/>
        <w:numPr>
          <w:ilvl w:val="0"/>
          <w:numId w:val="7"/>
        </w:numPr>
        <w:tabs>
          <w:tab w:val="left" w:pos="993"/>
        </w:tabs>
        <w:spacing w:after="0" w:line="240" w:lineRule="auto"/>
        <w:jc w:val="both"/>
        <w:rPr>
          <w:rFonts w:ascii="Times New Roman" w:hAnsi="Times New Roman" w:cs="Times New Roman"/>
          <w:b/>
          <w:sz w:val="24"/>
          <w:szCs w:val="24"/>
        </w:rPr>
      </w:pPr>
      <w:r w:rsidRPr="00CD700F">
        <w:rPr>
          <w:rFonts w:ascii="Times New Roman" w:hAnsi="Times New Roman" w:cs="Times New Roman"/>
          <w:b/>
          <w:sz w:val="24"/>
          <w:szCs w:val="24"/>
        </w:rPr>
        <w:t>Copia de los estudios, dictámenes o resoluciones, con base a las cuales el Ministerio de Turismo otorgó, desde el 1 de enero de 2017 a la fecha, la calificación de “Proyectos de Interés Turístico Nacional” a empresas y establecimientos dedicadas al rubro del transporte, alojamiento y recreación.</w:t>
      </w:r>
    </w:p>
    <w:p w:rsidR="00A44C7F" w:rsidRPr="00CD700F" w:rsidRDefault="00A44C7F" w:rsidP="00A44C7F">
      <w:pPr>
        <w:pStyle w:val="Prrafodelista"/>
        <w:tabs>
          <w:tab w:val="left" w:pos="993"/>
        </w:tabs>
        <w:spacing w:after="0" w:line="240" w:lineRule="auto"/>
        <w:ind w:left="1069"/>
        <w:jc w:val="both"/>
        <w:rPr>
          <w:rFonts w:ascii="Times New Roman" w:hAnsi="Times New Roman" w:cs="Times New Roman"/>
          <w:sz w:val="24"/>
          <w:szCs w:val="24"/>
        </w:rPr>
      </w:pPr>
    </w:p>
    <w:p w:rsidR="00D807DA" w:rsidRPr="00CD700F" w:rsidRDefault="00D807DA" w:rsidP="00481718">
      <w:pPr>
        <w:tabs>
          <w:tab w:val="left" w:pos="1140"/>
        </w:tabs>
        <w:spacing w:before="120"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Presentada ante la Unidad de Acceso a la Información Pública de esta </w:t>
      </w:r>
      <w:r w:rsidR="00122555" w:rsidRPr="00CD700F">
        <w:rPr>
          <w:rFonts w:ascii="Times New Roman" w:hAnsi="Times New Roman" w:cs="Times New Roman"/>
          <w:sz w:val="24"/>
          <w:szCs w:val="24"/>
        </w:rPr>
        <w:t>dependencia por parte de</w:t>
      </w:r>
      <w:r w:rsidR="00352006">
        <w:rPr>
          <w:rFonts w:ascii="Times New Roman" w:hAnsi="Times New Roman" w:cs="Times New Roman"/>
          <w:sz w:val="24"/>
          <w:szCs w:val="24"/>
        </w:rPr>
        <w:t xml:space="preserve"> </w:t>
      </w:r>
      <w:r w:rsidR="00352006" w:rsidRPr="00352006">
        <w:rPr>
          <w:rFonts w:ascii="Times New Roman" w:hAnsi="Times New Roman" w:cs="Times New Roman"/>
          <w:sz w:val="24"/>
          <w:szCs w:val="24"/>
          <w:highlight w:val="black"/>
        </w:rPr>
        <w:t>xxxxxxxxxxxxxxxxxxxxxxxxx</w:t>
      </w:r>
      <w:r w:rsidR="00122555" w:rsidRPr="00CD700F">
        <w:rPr>
          <w:rFonts w:ascii="Times New Roman" w:hAnsi="Times New Roman" w:cs="Times New Roman"/>
          <w:sz w:val="24"/>
          <w:szCs w:val="24"/>
        </w:rPr>
        <w:t>, con</w:t>
      </w:r>
      <w:r w:rsidR="003A0A81" w:rsidRPr="00CD700F">
        <w:rPr>
          <w:rFonts w:ascii="Times New Roman" w:hAnsi="Times New Roman" w:cs="Times New Roman"/>
          <w:sz w:val="24"/>
          <w:szCs w:val="24"/>
        </w:rPr>
        <w:t xml:space="preserve"> Documento Único de Identidad número </w:t>
      </w:r>
      <w:r w:rsidR="00352006" w:rsidRPr="00352006">
        <w:rPr>
          <w:rFonts w:ascii="Times New Roman" w:hAnsi="Times New Roman" w:cs="Times New Roman"/>
          <w:sz w:val="24"/>
          <w:szCs w:val="24"/>
          <w:highlight w:val="black"/>
        </w:rPr>
        <w:t>xxxxxxxxxxxxxxxxx</w:t>
      </w:r>
      <w:r w:rsidR="00122555" w:rsidRPr="00CD700F">
        <w:rPr>
          <w:rFonts w:ascii="Times New Roman" w:hAnsi="Times New Roman" w:cs="Times New Roman"/>
          <w:sz w:val="24"/>
          <w:szCs w:val="24"/>
        </w:rPr>
        <w:t xml:space="preserve">, considerando </w:t>
      </w:r>
      <w:r w:rsidRPr="00CD700F">
        <w:rPr>
          <w:rFonts w:ascii="Times New Roman" w:hAnsi="Times New Roman" w:cs="Times New Roman"/>
          <w:sz w:val="24"/>
          <w:szCs w:val="24"/>
        </w:rPr>
        <w:t xml:space="preserve">que la solicitud cumple con todos los requisitos establecidos en </w:t>
      </w:r>
      <w:r w:rsidR="00AE4083" w:rsidRPr="00CD700F">
        <w:rPr>
          <w:rFonts w:ascii="Times New Roman" w:hAnsi="Times New Roman" w:cs="Times New Roman"/>
          <w:sz w:val="24"/>
          <w:szCs w:val="24"/>
        </w:rPr>
        <w:t>el Art</w:t>
      </w:r>
      <w:r w:rsidRPr="00CD700F">
        <w:rPr>
          <w:rFonts w:ascii="Times New Roman" w:hAnsi="Times New Roman" w:cs="Times New Roman"/>
          <w:sz w:val="24"/>
          <w:szCs w:val="24"/>
        </w:rPr>
        <w:t xml:space="preserve">. 66 de la Ley de Acceso a la Información Pública, y que la información solicitada no se encuentra entre las excepciones enumeradas en los artículos 19 y 24 de la ley; y art. 19 del Reglamento. </w:t>
      </w:r>
    </w:p>
    <w:p w:rsidR="00D807DA" w:rsidRPr="00CD700F" w:rsidRDefault="00D807DA" w:rsidP="00481718">
      <w:pPr>
        <w:tabs>
          <w:tab w:val="left" w:pos="1140"/>
        </w:tabs>
        <w:spacing w:after="0"/>
        <w:ind w:left="709"/>
        <w:jc w:val="both"/>
        <w:rPr>
          <w:rFonts w:ascii="Times New Roman" w:hAnsi="Times New Roman" w:cs="Times New Roman"/>
          <w:sz w:val="24"/>
          <w:szCs w:val="24"/>
        </w:rPr>
      </w:pPr>
    </w:p>
    <w:p w:rsidR="00122555" w:rsidRPr="00CD700F" w:rsidRDefault="00D807DA" w:rsidP="00481718">
      <w:pPr>
        <w:tabs>
          <w:tab w:val="left" w:pos="1140"/>
        </w:tabs>
        <w:spacing w:after="0"/>
        <w:ind w:left="709"/>
        <w:jc w:val="both"/>
        <w:rPr>
          <w:rFonts w:ascii="Times New Roman" w:hAnsi="Times New Roman" w:cs="Times New Roman"/>
          <w:b/>
          <w:sz w:val="24"/>
          <w:szCs w:val="24"/>
        </w:rPr>
      </w:pPr>
      <w:r w:rsidRPr="00CD700F">
        <w:rPr>
          <w:rFonts w:ascii="Times New Roman" w:hAnsi="Times New Roman" w:cs="Times New Roman"/>
          <w:b/>
          <w:sz w:val="24"/>
          <w:szCs w:val="24"/>
        </w:rPr>
        <w:t>CONSIDERANDO:</w:t>
      </w:r>
    </w:p>
    <w:p w:rsidR="00751C45" w:rsidRPr="00CD700F" w:rsidRDefault="00122555" w:rsidP="00481718">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4E66E4" w:rsidRPr="00CD700F" w:rsidRDefault="004E66E4" w:rsidP="004E66E4">
      <w:pPr>
        <w:pStyle w:val="Prrafodelista"/>
        <w:tabs>
          <w:tab w:val="left" w:pos="1140"/>
        </w:tabs>
        <w:spacing w:before="120" w:after="120"/>
        <w:ind w:left="1072"/>
        <w:jc w:val="both"/>
        <w:rPr>
          <w:rFonts w:ascii="Times New Roman" w:hAnsi="Times New Roman" w:cs="Times New Roman"/>
          <w:b/>
          <w:sz w:val="24"/>
          <w:szCs w:val="24"/>
        </w:rPr>
      </w:pPr>
    </w:p>
    <w:p w:rsidR="004E66E4" w:rsidRPr="00CD700F" w:rsidRDefault="004E66E4" w:rsidP="004E66E4">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como parte del procedimiento interno de gestión de información, la suscrita requirió a la Dirección de Contraloría Sectorial la información pretendida por el peticionario.</w:t>
      </w:r>
    </w:p>
    <w:p w:rsidR="004E66E4" w:rsidRPr="00CD700F" w:rsidRDefault="004E66E4" w:rsidP="004E66E4">
      <w:pPr>
        <w:pStyle w:val="Prrafodelista"/>
        <w:rPr>
          <w:rFonts w:ascii="Times New Roman" w:hAnsi="Times New Roman" w:cs="Times New Roman"/>
          <w:b/>
          <w:sz w:val="24"/>
          <w:szCs w:val="24"/>
        </w:rPr>
      </w:pPr>
    </w:p>
    <w:p w:rsidR="004E66E4" w:rsidRPr="00CD700F" w:rsidRDefault="004E66E4" w:rsidP="004E66E4">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 xml:space="preserve">Que la Ley de Turismo Art. 2 literal e) define como Proyecto de Interés Turístico Nacional: Proyecto o Plan Maestro de construcción, remodelación o mejora de infraestructura y servicios turísticos, que es calificado como tal por el Órgano Ejecutivo en el Ramo de Turismo, en virtud </w:t>
      </w:r>
      <w:r w:rsidRPr="00CD700F">
        <w:rPr>
          <w:rFonts w:ascii="Times New Roman" w:hAnsi="Times New Roman" w:cs="Times New Roman"/>
          <w:sz w:val="24"/>
          <w:szCs w:val="24"/>
        </w:rPr>
        <w:lastRenderedPageBreak/>
        <w:t>de su interés y contexto recreativo, cultural, histórico, natural o ecológico, que lo hacen elegible para gozar de los incentivos fiscales que concede esta Ley.</w:t>
      </w:r>
    </w:p>
    <w:p w:rsidR="004E66E4" w:rsidRPr="00CD700F" w:rsidRDefault="004E66E4" w:rsidP="004E66E4">
      <w:pPr>
        <w:pStyle w:val="Prrafodelista"/>
        <w:rPr>
          <w:rFonts w:ascii="Times New Roman" w:hAnsi="Times New Roman" w:cs="Times New Roman"/>
          <w:b/>
          <w:sz w:val="24"/>
          <w:szCs w:val="24"/>
        </w:rPr>
      </w:pPr>
    </w:p>
    <w:p w:rsidR="00CA44F8" w:rsidRPr="00CD700F" w:rsidRDefault="00CA44F8" w:rsidP="00CA44F8">
      <w:pPr>
        <w:pStyle w:val="Prrafodelista"/>
        <w:numPr>
          <w:ilvl w:val="0"/>
          <w:numId w:val="2"/>
        </w:numPr>
        <w:tabs>
          <w:tab w:val="left" w:pos="1140"/>
        </w:tabs>
        <w:spacing w:before="120" w:after="120"/>
        <w:jc w:val="both"/>
        <w:rPr>
          <w:rFonts w:ascii="Times New Roman" w:hAnsi="Times New Roman" w:cs="Times New Roman"/>
          <w:sz w:val="24"/>
          <w:szCs w:val="24"/>
        </w:rPr>
      </w:pPr>
      <w:r w:rsidRPr="00CD700F">
        <w:rPr>
          <w:rFonts w:ascii="Times New Roman" w:hAnsi="Times New Roman" w:cs="Times New Roman"/>
          <w:sz w:val="24"/>
          <w:szCs w:val="24"/>
        </w:rPr>
        <w:t xml:space="preserve">Que es importante resaltar las diferencias entre el proceso de calificación de los proyectos de interés turístico nacional actual respecto del proceso inicialmente contemplado en la Ley de Turismo aprobada mediante Decreto Legislativo Nº 899, de fecha </w:t>
      </w:r>
      <w:r w:rsidRPr="00CD700F">
        <w:rPr>
          <w:rFonts w:ascii="Times New Roman" w:hAnsi="Times New Roman" w:cs="Times New Roman"/>
          <w:b/>
          <w:sz w:val="24"/>
          <w:szCs w:val="24"/>
        </w:rPr>
        <w:t>10 de diciembre de 2005</w:t>
      </w:r>
      <w:r w:rsidRPr="00CD700F">
        <w:rPr>
          <w:rFonts w:ascii="Times New Roman" w:hAnsi="Times New Roman" w:cs="Times New Roman"/>
          <w:sz w:val="24"/>
          <w:szCs w:val="24"/>
        </w:rPr>
        <w:t>, publicado en el Diario Oficial N° 237, Tomo N° 369, del 20 del mismo mes y año.</w:t>
      </w: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r w:rsidRPr="00CD700F">
        <w:rPr>
          <w:rFonts w:ascii="Times New Roman" w:hAnsi="Times New Roman" w:cs="Times New Roman"/>
          <w:sz w:val="24"/>
          <w:szCs w:val="24"/>
        </w:rPr>
        <w:t xml:space="preserve">La Ley de Turismo promulgada en diciembre de 2005, sufrió reformas en lo relativo a las Condiciones y Regulaciones para el Otorgamiento de los Incentivos, mediante Decreto Legislativo Nº 570, del 17 de diciembre de 2010, publicado en el Diario Oficial N° 241, Tomo N° 389, el 23 del mismo mes y año; estableciendo en su Art. 22, que </w:t>
      </w:r>
      <w:r w:rsidRPr="00CD700F">
        <w:rPr>
          <w:rFonts w:ascii="Times New Roman" w:hAnsi="Times New Roman" w:cs="Times New Roman"/>
          <w:i/>
          <w:sz w:val="24"/>
          <w:szCs w:val="24"/>
          <w:u w:val="single"/>
        </w:rPr>
        <w:t>“la Secretaría de Estado mediante el acuerdo respectivo, será la encargada de otorgar la calificación o denegatoria de los Proyectos de Interés Turístico Nacional, en adelante PITN, previa opinión favorable</w:t>
      </w:r>
      <w:r w:rsidRPr="00CD700F">
        <w:rPr>
          <w:rFonts w:ascii="Times New Roman" w:hAnsi="Times New Roman" w:cs="Times New Roman"/>
          <w:i/>
          <w:sz w:val="24"/>
          <w:szCs w:val="24"/>
        </w:rPr>
        <w:t xml:space="preserve"> d</w:t>
      </w:r>
      <w:r w:rsidRPr="00CD700F">
        <w:rPr>
          <w:rFonts w:ascii="Times New Roman" w:hAnsi="Times New Roman" w:cs="Times New Roman"/>
          <w:sz w:val="24"/>
          <w:szCs w:val="24"/>
        </w:rPr>
        <w:t>el Ministerio de Medio Ambiente y Recursos Naturales y de la Secretaría de Cultura de la Presidencia de la República, para aquellas inversiones inferiores a US$50,000; y únicamente requiere opinión favorable del Ministerio de Hacienda, del Ministerio de Medio Ambiente y Recursos Naturales y de la Secretaría de Cultura de la Presidencia de la República, para aquellas inversiones que superen los US$50,000”.</w:t>
      </w: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r w:rsidRPr="00CD700F">
        <w:rPr>
          <w:rFonts w:ascii="Times New Roman" w:hAnsi="Times New Roman" w:cs="Times New Roman"/>
          <w:sz w:val="24"/>
          <w:szCs w:val="24"/>
        </w:rPr>
        <w:t>De lo anterior se desprenden competencias propias para ambas instituciones:</w:t>
      </w:r>
    </w:p>
    <w:p w:rsidR="00CA44F8" w:rsidRPr="00CD700F" w:rsidRDefault="00CA44F8" w:rsidP="00CA44F8">
      <w:pPr>
        <w:pStyle w:val="Prrafodelista"/>
        <w:numPr>
          <w:ilvl w:val="0"/>
          <w:numId w:val="8"/>
        </w:numPr>
        <w:tabs>
          <w:tab w:val="left" w:pos="1140"/>
        </w:tabs>
        <w:spacing w:before="120" w:after="120"/>
        <w:jc w:val="both"/>
        <w:rPr>
          <w:rFonts w:ascii="Times New Roman" w:hAnsi="Times New Roman" w:cs="Times New Roman"/>
          <w:sz w:val="24"/>
          <w:szCs w:val="24"/>
        </w:rPr>
      </w:pPr>
      <w:r w:rsidRPr="00CD700F">
        <w:rPr>
          <w:rFonts w:ascii="Times New Roman" w:hAnsi="Times New Roman" w:cs="Times New Roman"/>
          <w:sz w:val="24"/>
          <w:szCs w:val="24"/>
        </w:rPr>
        <w:t xml:space="preserve">A ésta Secretaría le compete realizar el análisis turístico y técnico de todos los proyectos que solicitan calificación como PITN, y una vez recibidas las opiniones que la ley establece conforme a los montos de inversión antes relacionados, le corresponde de conformidad a lo que establece el Art. 66 del Reglamento General de la Ley de Turismo, la elaboración </w:t>
      </w:r>
      <w:r w:rsidRPr="00CD700F">
        <w:rPr>
          <w:rFonts w:ascii="Times New Roman" w:hAnsi="Times New Roman" w:cs="Times New Roman"/>
          <w:sz w:val="24"/>
          <w:szCs w:val="24"/>
          <w:u w:val="single"/>
        </w:rPr>
        <w:t>del acuerdo</w:t>
      </w:r>
      <w:r w:rsidRPr="00CD700F">
        <w:rPr>
          <w:rFonts w:ascii="Times New Roman" w:hAnsi="Times New Roman" w:cs="Times New Roman"/>
          <w:sz w:val="24"/>
          <w:szCs w:val="24"/>
        </w:rPr>
        <w:t>: i) de calificación o denegatoria de PITN y ii) de otorgamiento de incentivos fiscales;</w:t>
      </w:r>
    </w:p>
    <w:p w:rsidR="00CA44F8" w:rsidRPr="00CD700F" w:rsidRDefault="00CA44F8" w:rsidP="00CA44F8">
      <w:pPr>
        <w:pStyle w:val="Prrafodelista"/>
        <w:numPr>
          <w:ilvl w:val="0"/>
          <w:numId w:val="8"/>
        </w:numPr>
        <w:tabs>
          <w:tab w:val="left" w:pos="1140"/>
        </w:tabs>
        <w:spacing w:before="120" w:after="120"/>
        <w:jc w:val="both"/>
        <w:rPr>
          <w:rFonts w:ascii="Times New Roman" w:hAnsi="Times New Roman" w:cs="Times New Roman"/>
          <w:sz w:val="24"/>
          <w:szCs w:val="24"/>
        </w:rPr>
      </w:pPr>
      <w:r w:rsidRPr="00CD700F">
        <w:rPr>
          <w:rFonts w:ascii="Times New Roman" w:hAnsi="Times New Roman" w:cs="Times New Roman"/>
          <w:sz w:val="24"/>
          <w:szCs w:val="24"/>
        </w:rPr>
        <w:t xml:space="preserve">Por su parte el Ministerio de Hacienda, realiza el análisis tributario y técnico, únicamente de los proyectos con monto de inversión superior a los US$50,000, en cuyo caso debe emitir una </w:t>
      </w:r>
      <w:r w:rsidRPr="00CD700F">
        <w:rPr>
          <w:rFonts w:ascii="Times New Roman" w:hAnsi="Times New Roman" w:cs="Times New Roman"/>
          <w:sz w:val="24"/>
          <w:szCs w:val="24"/>
          <w:u w:val="single"/>
        </w:rPr>
        <w:t>opinión en sentido favorable o desfavorable</w:t>
      </w:r>
      <w:r w:rsidRPr="00CD700F">
        <w:rPr>
          <w:rFonts w:ascii="Times New Roman" w:hAnsi="Times New Roman" w:cs="Times New Roman"/>
          <w:sz w:val="24"/>
          <w:szCs w:val="24"/>
        </w:rPr>
        <w:t>, la cual remite a ésta Secretaría y sirve de fundamentación para la elaboración del acuerdo relacionado en el literal a).</w:t>
      </w: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r w:rsidRPr="00CD700F">
        <w:rPr>
          <w:rFonts w:ascii="Times New Roman" w:hAnsi="Times New Roman" w:cs="Times New Roman"/>
          <w:sz w:val="24"/>
          <w:szCs w:val="24"/>
        </w:rPr>
        <w:t xml:space="preserve">Previo a la reforma antes relacionada, el proceso establecido en la Ley de Turismo aprobada en diciembre de 2005, delimitaba en su Art. 22, las funciones de las dos instituciones, en el sentido siguiente “Para los efectos señalados en la presente Ley, el otorgamiento de incentivos fiscales en forma asociada sólo aplicará, cuando los proyectos de inversión se realicen dentro de una misma área geográfica, la cual será declarada como </w:t>
      </w:r>
      <w:r w:rsidRPr="00CD700F">
        <w:rPr>
          <w:rFonts w:ascii="Times New Roman" w:hAnsi="Times New Roman" w:cs="Times New Roman"/>
          <w:i/>
          <w:sz w:val="24"/>
          <w:szCs w:val="24"/>
          <w:u w:val="single"/>
        </w:rPr>
        <w:t>Proyecto de Interés Turístico Nacional por Acuerdo emitido por la Secretaría de Estado y los incentivos por Acuerdo emitido por el Ministerio de Hacienda</w:t>
      </w:r>
      <w:r w:rsidRPr="00CD700F">
        <w:rPr>
          <w:rFonts w:ascii="Times New Roman" w:hAnsi="Times New Roman" w:cs="Times New Roman"/>
          <w:sz w:val="24"/>
          <w:szCs w:val="24"/>
        </w:rPr>
        <w:t>. Estas áreas podrán estar localizadas en cualquier parte del país con vocación turística.</w:t>
      </w:r>
    </w:p>
    <w:p w:rsidR="00CA44F8" w:rsidRPr="00CD700F" w:rsidRDefault="00CA44F8" w:rsidP="00CA44F8">
      <w:pPr>
        <w:pStyle w:val="Prrafodelista"/>
        <w:tabs>
          <w:tab w:val="left" w:pos="1140"/>
        </w:tabs>
        <w:spacing w:before="120" w:after="120"/>
        <w:ind w:left="1072"/>
        <w:jc w:val="both"/>
        <w:rPr>
          <w:rFonts w:ascii="Times New Roman" w:hAnsi="Times New Roman" w:cs="Times New Roman"/>
          <w:sz w:val="24"/>
          <w:szCs w:val="24"/>
        </w:rPr>
      </w:pPr>
    </w:p>
    <w:p w:rsidR="004E66E4" w:rsidRPr="00CD700F" w:rsidRDefault="00CA44F8" w:rsidP="00CA44F8">
      <w:pPr>
        <w:pStyle w:val="Prrafodelista"/>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i/>
          <w:sz w:val="24"/>
          <w:szCs w:val="24"/>
          <w:u w:val="single"/>
        </w:rPr>
        <w:lastRenderedPageBreak/>
        <w:t>El otorgamiento de incentivos fiscales a las empresas turísticas beneficiadas, será realizado mediante Acuerdo Ejecutivo emitido por el Órgano Ejecutivo en el Ramo de Hacienda, previa opinión favorable de la Secretaría de Estado</w:t>
      </w:r>
      <w:r w:rsidRPr="00CD700F">
        <w:rPr>
          <w:rFonts w:ascii="Times New Roman" w:hAnsi="Times New Roman" w:cs="Times New Roman"/>
          <w:sz w:val="24"/>
          <w:szCs w:val="24"/>
        </w:rPr>
        <w:t>, la que se encargará de verificar en coordinación con el Ministerio de Medio Ambiente y Recursos Naturales y con el Consejo Nacional para la Cultura y el Arte, el cumplimiento de las disposiciones establecidas en los Arts. 14 y 15 de esta Ley, así como de los requisitos, procedimientos, normas y condiciones establecidas en el reglamento respectivo….”</w:t>
      </w:r>
    </w:p>
    <w:p w:rsidR="0070218A" w:rsidRPr="00CD700F" w:rsidRDefault="0070218A" w:rsidP="0070218A">
      <w:pPr>
        <w:pStyle w:val="Prrafodelista"/>
        <w:rPr>
          <w:rFonts w:ascii="Times New Roman" w:hAnsi="Times New Roman" w:cs="Times New Roman"/>
          <w:b/>
          <w:sz w:val="24"/>
          <w:szCs w:val="24"/>
        </w:rPr>
      </w:pPr>
    </w:p>
    <w:p w:rsidR="0070218A" w:rsidRPr="00CD700F" w:rsidRDefault="00C9708F" w:rsidP="004E66E4">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en virtud de la Ley de Acceso a la Información Pública Art. 24 literal c) se considera información confidencial, “Los datos personales que requieren el consentimiento de los individuos para su difusión” y literal d) “Los secretos profesional, comercial, industrial, fiscal, bancario, fiduciario u otro considerado como tal por una disposición legal”.</w:t>
      </w:r>
    </w:p>
    <w:p w:rsidR="00C9708F" w:rsidRPr="00CD700F" w:rsidRDefault="00C9708F" w:rsidP="00C9708F">
      <w:pPr>
        <w:pStyle w:val="Prrafodelista"/>
        <w:rPr>
          <w:rFonts w:ascii="Times New Roman" w:hAnsi="Times New Roman" w:cs="Times New Roman"/>
          <w:b/>
          <w:sz w:val="24"/>
          <w:szCs w:val="24"/>
        </w:rPr>
      </w:pPr>
    </w:p>
    <w:p w:rsidR="004C0759" w:rsidRPr="00CD700F" w:rsidRDefault="00C9708F" w:rsidP="001C0E93">
      <w:pPr>
        <w:pStyle w:val="Prrafodelista"/>
        <w:numPr>
          <w:ilvl w:val="0"/>
          <w:numId w:val="2"/>
        </w:numPr>
        <w:tabs>
          <w:tab w:val="left" w:pos="1140"/>
        </w:tabs>
        <w:spacing w:before="120" w:after="120"/>
        <w:jc w:val="both"/>
        <w:rPr>
          <w:rFonts w:ascii="Times New Roman" w:hAnsi="Times New Roman" w:cs="Times New Roman"/>
          <w:b/>
          <w:sz w:val="24"/>
          <w:szCs w:val="24"/>
        </w:rPr>
      </w:pPr>
      <w:r w:rsidRPr="00CD700F">
        <w:rPr>
          <w:rFonts w:ascii="Times New Roman" w:hAnsi="Times New Roman" w:cs="Times New Roman"/>
          <w:sz w:val="24"/>
          <w:szCs w:val="24"/>
        </w:rPr>
        <w:t xml:space="preserve">Que los </w:t>
      </w:r>
      <w:r w:rsidR="00BA29B6" w:rsidRPr="00CD700F">
        <w:rPr>
          <w:rFonts w:ascii="Times New Roman" w:hAnsi="Times New Roman" w:cs="Times New Roman"/>
          <w:sz w:val="24"/>
          <w:szCs w:val="24"/>
        </w:rPr>
        <w:t xml:space="preserve">acuerdos emitidos respecto a la Calificación </w:t>
      </w:r>
      <w:r w:rsidRPr="00CD700F">
        <w:rPr>
          <w:rFonts w:ascii="Times New Roman" w:hAnsi="Times New Roman" w:cs="Times New Roman"/>
          <w:sz w:val="24"/>
          <w:szCs w:val="24"/>
        </w:rPr>
        <w:t>de Proyectos de Interés Nacional contienen en su versión original</w:t>
      </w:r>
      <w:r w:rsidR="00981B7A" w:rsidRPr="00CD700F">
        <w:rPr>
          <w:rFonts w:ascii="Times New Roman" w:hAnsi="Times New Roman" w:cs="Times New Roman"/>
          <w:sz w:val="24"/>
          <w:szCs w:val="24"/>
        </w:rPr>
        <w:t>,</w:t>
      </w:r>
      <w:r w:rsidRPr="00CD700F">
        <w:rPr>
          <w:rFonts w:ascii="Times New Roman" w:hAnsi="Times New Roman" w:cs="Times New Roman"/>
          <w:sz w:val="24"/>
          <w:szCs w:val="24"/>
        </w:rPr>
        <w:t xml:space="preserve"> información confidencial, por lo que en base al Art. 30 de la Ley de Acceso a la Información Pública se ha realizado una versión pública </w:t>
      </w:r>
      <w:r w:rsidR="00981B7A" w:rsidRPr="00CD700F">
        <w:rPr>
          <w:rFonts w:ascii="Times New Roman" w:hAnsi="Times New Roman" w:cs="Times New Roman"/>
          <w:sz w:val="24"/>
          <w:szCs w:val="24"/>
        </w:rPr>
        <w:t>suprimiendo información de tal carácter.</w:t>
      </w:r>
    </w:p>
    <w:p w:rsidR="00E000CB" w:rsidRPr="00CD700F" w:rsidRDefault="00E000CB" w:rsidP="00481718">
      <w:pPr>
        <w:pStyle w:val="Prrafodelista"/>
        <w:rPr>
          <w:rFonts w:ascii="Times New Roman" w:hAnsi="Times New Roman" w:cs="Times New Roman"/>
          <w:sz w:val="24"/>
          <w:szCs w:val="24"/>
        </w:rPr>
      </w:pPr>
    </w:p>
    <w:p w:rsidR="00981B7A" w:rsidRPr="00CD700F" w:rsidRDefault="00D807DA" w:rsidP="00981B7A">
      <w:pPr>
        <w:pStyle w:val="Prrafodelista"/>
        <w:tabs>
          <w:tab w:val="left" w:pos="3000"/>
        </w:tabs>
        <w:spacing w:line="360" w:lineRule="auto"/>
        <w:ind w:left="709"/>
        <w:jc w:val="both"/>
        <w:rPr>
          <w:rFonts w:ascii="Times New Roman" w:hAnsi="Times New Roman" w:cs="Times New Roman"/>
          <w:sz w:val="24"/>
          <w:szCs w:val="24"/>
        </w:rPr>
      </w:pPr>
      <w:r w:rsidRPr="00CD700F">
        <w:rPr>
          <w:rFonts w:ascii="Times New Roman" w:hAnsi="Times New Roman" w:cs="Times New Roman"/>
          <w:b/>
          <w:sz w:val="24"/>
          <w:szCs w:val="24"/>
          <w:lang w:val="es-SV"/>
        </w:rPr>
        <w:t xml:space="preserve">POR TANTO: </w:t>
      </w:r>
      <w:r w:rsidRPr="00CD700F">
        <w:rPr>
          <w:rFonts w:ascii="Times New Roman" w:hAnsi="Times New Roman" w:cs="Times New Roman"/>
          <w:sz w:val="24"/>
          <w:szCs w:val="24"/>
        </w:rPr>
        <w:t xml:space="preserve">De conformidad a los establecido en los Art. 62 y 72 de la Ley de Acceso a la Información Pública.       </w:t>
      </w:r>
    </w:p>
    <w:p w:rsidR="00687D80" w:rsidRPr="00CD700F" w:rsidRDefault="00D807DA" w:rsidP="00981B7A">
      <w:pPr>
        <w:pStyle w:val="Prrafodelista"/>
        <w:tabs>
          <w:tab w:val="left" w:pos="3000"/>
        </w:tabs>
        <w:spacing w:line="360" w:lineRule="auto"/>
        <w:ind w:left="709"/>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t>SE RESUELVE:</w:t>
      </w:r>
    </w:p>
    <w:p w:rsidR="004C0759" w:rsidRPr="00CD700F" w:rsidRDefault="00981B7A" w:rsidP="00AE085E">
      <w:pPr>
        <w:pStyle w:val="Prrafodelista"/>
        <w:tabs>
          <w:tab w:val="left" w:pos="3000"/>
        </w:tabs>
        <w:spacing w:after="0" w:line="360" w:lineRule="auto"/>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t xml:space="preserve">Entregar copia digital de los Acuerdos de </w:t>
      </w:r>
      <w:r w:rsidR="00BA29B6" w:rsidRPr="00CD700F">
        <w:rPr>
          <w:rFonts w:ascii="Times New Roman" w:hAnsi="Times New Roman" w:cs="Times New Roman"/>
          <w:b/>
          <w:sz w:val="24"/>
          <w:szCs w:val="24"/>
          <w:lang w:val="es-SV"/>
        </w:rPr>
        <w:t xml:space="preserve">Calificación </w:t>
      </w:r>
      <w:r w:rsidRPr="00CD700F">
        <w:rPr>
          <w:rFonts w:ascii="Times New Roman" w:hAnsi="Times New Roman" w:cs="Times New Roman"/>
          <w:b/>
          <w:sz w:val="24"/>
          <w:szCs w:val="24"/>
          <w:lang w:val="es-SV"/>
        </w:rPr>
        <w:t>de Proyecto de Interés Turístico Nacional emitidos desde el año 2006 a la fecha del año 2018, en versión pública.</w:t>
      </w:r>
    </w:p>
    <w:p w:rsidR="00207319" w:rsidRPr="00CD700F" w:rsidRDefault="00207319" w:rsidP="00207319">
      <w:pPr>
        <w:tabs>
          <w:tab w:val="left" w:pos="3000"/>
        </w:tabs>
        <w:spacing w:after="0" w:line="360" w:lineRule="auto"/>
        <w:jc w:val="both"/>
        <w:rPr>
          <w:rFonts w:ascii="Times New Roman" w:hAnsi="Times New Roman" w:cs="Times New Roman"/>
          <w:sz w:val="24"/>
          <w:szCs w:val="24"/>
          <w:lang w:val="es-SV"/>
        </w:rPr>
      </w:pPr>
    </w:p>
    <w:p w:rsidR="001C4FA9" w:rsidRPr="00CD700F" w:rsidRDefault="00D807DA" w:rsidP="00293DFD">
      <w:pPr>
        <w:tabs>
          <w:tab w:val="left" w:pos="284"/>
          <w:tab w:val="left" w:pos="426"/>
        </w:tabs>
        <w:spacing w:line="360" w:lineRule="auto"/>
        <w:jc w:val="both"/>
        <w:rPr>
          <w:rFonts w:ascii="Times New Roman" w:hAnsi="Times New Roman" w:cs="Times New Roman"/>
          <w:color w:val="333333"/>
          <w:sz w:val="24"/>
          <w:szCs w:val="24"/>
          <w:shd w:val="clear" w:color="auto" w:fill="FFFFFF"/>
        </w:rPr>
      </w:pP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t xml:space="preserve">Por lo tanto se hace entrega de dicha información, en esta misma fecha, a través de correo   </w:t>
      </w: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r>
      <w:r w:rsidRPr="00CD700F">
        <w:rPr>
          <w:rFonts w:ascii="Times New Roman" w:hAnsi="Times New Roman" w:cs="Times New Roman"/>
          <w:sz w:val="24"/>
          <w:szCs w:val="24"/>
          <w:lang w:val="es-SV"/>
        </w:rPr>
        <w:tab/>
        <w:t xml:space="preserve"> </w:t>
      </w:r>
      <w:r w:rsidRPr="00CD700F">
        <w:rPr>
          <w:rFonts w:ascii="Times New Roman" w:hAnsi="Times New Roman" w:cs="Times New Roman"/>
          <w:sz w:val="24"/>
          <w:szCs w:val="24"/>
          <w:lang w:val="es-SV"/>
        </w:rPr>
        <w:tab/>
        <w:t>electrónico consignado para recibir notificaciones</w:t>
      </w:r>
      <w:r w:rsidR="00352006" w:rsidRPr="00352006">
        <w:rPr>
          <w:rFonts w:ascii="Times New Roman" w:hAnsi="Times New Roman" w:cs="Times New Roman"/>
          <w:sz w:val="24"/>
          <w:szCs w:val="24"/>
          <w:highlight w:val="black"/>
          <w:lang w:val="es-SV"/>
        </w:rPr>
        <w:t>: xxxxxxxxxxxxxxxxx</w:t>
      </w:r>
      <w:r w:rsidR="00352006" w:rsidRPr="00CD700F">
        <w:rPr>
          <w:rFonts w:ascii="Times New Roman" w:hAnsi="Times New Roman" w:cs="Times New Roman"/>
          <w:color w:val="333333"/>
          <w:sz w:val="24"/>
          <w:szCs w:val="24"/>
          <w:shd w:val="clear" w:color="auto" w:fill="FFFFFF"/>
        </w:rPr>
        <w:t xml:space="preserve"> </w:t>
      </w:r>
    </w:p>
    <w:p w:rsidR="00EA4481" w:rsidRPr="00CD700F" w:rsidRDefault="00352006" w:rsidP="00207319">
      <w:pPr>
        <w:tabs>
          <w:tab w:val="left" w:pos="284"/>
          <w:tab w:val="left" w:pos="426"/>
        </w:tabs>
        <w:spacing w:line="360" w:lineRule="auto"/>
        <w:jc w:val="both"/>
        <w:rPr>
          <w:rFonts w:ascii="Times New Roman" w:hAnsi="Times New Roman" w:cs="Times New Roman"/>
          <w:color w:val="333333"/>
          <w:sz w:val="24"/>
          <w:szCs w:val="24"/>
          <w:shd w:val="clear" w:color="auto" w:fill="FFFFFF"/>
        </w:rPr>
      </w:pPr>
      <w:r>
        <w:rPr>
          <w:noProof/>
          <w:lang w:val="es-SV" w:eastAsia="es-SV"/>
        </w:rPr>
        <w:drawing>
          <wp:anchor distT="0" distB="0" distL="114300" distR="114300" simplePos="0" relativeHeight="251662336" behindDoc="0" locked="0" layoutInCell="1" allowOverlap="1" wp14:anchorId="12E7DA71" wp14:editId="63B3EEE6">
            <wp:simplePos x="0" y="0"/>
            <wp:positionH relativeFrom="column">
              <wp:posOffset>2856865</wp:posOffset>
            </wp:positionH>
            <wp:positionV relativeFrom="paragraph">
              <wp:posOffset>127000</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641697" w:rsidRPr="00CD700F" w:rsidRDefault="00641697" w:rsidP="003A6BF5">
      <w:pPr>
        <w:spacing w:after="0" w:line="240" w:lineRule="auto"/>
        <w:jc w:val="both"/>
        <w:rPr>
          <w:rFonts w:ascii="Times New Roman" w:hAnsi="Times New Roman" w:cs="Times New Roman"/>
          <w:sz w:val="24"/>
          <w:szCs w:val="24"/>
        </w:rPr>
      </w:pPr>
    </w:p>
    <w:p w:rsidR="00C03FCB" w:rsidRPr="00CD700F" w:rsidRDefault="008321AA" w:rsidP="003A6BF5">
      <w:pPr>
        <w:spacing w:line="240" w:lineRule="auto"/>
        <w:ind w:left="704"/>
        <w:rPr>
          <w:rFonts w:ascii="Times New Roman" w:hAnsi="Times New Roman" w:cs="Times New Roman"/>
          <w:sz w:val="24"/>
          <w:szCs w:val="24"/>
          <w:lang w:val="es-SV"/>
        </w:rPr>
      </w:pPr>
      <w:r w:rsidRPr="00CD700F">
        <w:rPr>
          <w:rFonts w:ascii="Times New Roman" w:hAnsi="Times New Roman" w:cs="Times New Roman"/>
          <w:sz w:val="24"/>
          <w:szCs w:val="24"/>
          <w:lang w:val="es-SV"/>
        </w:rPr>
        <w:tab/>
      </w:r>
    </w:p>
    <w:p w:rsidR="00981B7A" w:rsidRPr="00CD700F" w:rsidRDefault="00981B7A" w:rsidP="003A6BF5">
      <w:pPr>
        <w:spacing w:line="240" w:lineRule="auto"/>
        <w:ind w:left="704"/>
        <w:rPr>
          <w:rFonts w:ascii="Times New Roman" w:hAnsi="Times New Roman" w:cs="Times New Roman"/>
          <w:sz w:val="24"/>
          <w:szCs w:val="24"/>
        </w:rPr>
      </w:pPr>
    </w:p>
    <w:p w:rsidR="00C55328" w:rsidRPr="00CD700F" w:rsidRDefault="00352006" w:rsidP="003A6BF5">
      <w:pPr>
        <w:pStyle w:val="Textosinformato"/>
        <w:tabs>
          <w:tab w:val="center" w:pos="5040"/>
          <w:tab w:val="right" w:pos="10080"/>
        </w:tabs>
        <w:rPr>
          <w:rFonts w:ascii="Times New Roman" w:hAnsi="Times New Roman" w:cs="Times New Roman"/>
          <w:sz w:val="24"/>
          <w:szCs w:val="24"/>
        </w:rPr>
      </w:pPr>
      <w:r w:rsidRPr="00CD700F">
        <w:rPr>
          <w:rFonts w:ascii="Times New Roman" w:hAnsi="Times New Roman" w:cs="Times New Roman"/>
          <w:noProof/>
          <w:sz w:val="24"/>
          <w:szCs w:val="24"/>
          <w:lang w:eastAsia="es-SV"/>
        </w:rPr>
        <mc:AlternateContent>
          <mc:Choice Requires="wps">
            <w:drawing>
              <wp:anchor distT="0" distB="0" distL="114300" distR="114300" simplePos="0" relativeHeight="251658240" behindDoc="0" locked="0" layoutInCell="1" allowOverlap="1" wp14:anchorId="6EF82DB9" wp14:editId="41FEFF87">
                <wp:simplePos x="0" y="0"/>
                <wp:positionH relativeFrom="column">
                  <wp:posOffset>457200</wp:posOffset>
                </wp:positionH>
                <wp:positionV relativeFrom="paragraph">
                  <wp:posOffset>5080</wp:posOffset>
                </wp:positionV>
                <wp:extent cx="5943600" cy="647700"/>
                <wp:effectExtent l="0" t="0" r="19050"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2DB9" id="_x0000_t202" coordsize="21600,21600" o:spt="202" path="m,l,21600r21600,l21600,xe">
                <v:stroke joinstyle="miter"/>
                <v:path gradientshapeok="t" o:connecttype="rect"/>
              </v:shapetype>
              <v:shape id="Cuadro de texto 1" o:spid="_x0000_s1026" type="#_x0000_t202" style="position:absolute;margin-left:36pt;margin-top:.4pt;width:468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736F8" w:rsidRPr="00CD700F">
        <w:rPr>
          <w:rFonts w:ascii="Times New Roman" w:hAnsi="Times New Roman" w:cs="Times New Roman"/>
          <w:sz w:val="24"/>
          <w:szCs w:val="24"/>
        </w:rPr>
        <w:tab/>
      </w:r>
    </w:p>
    <w:p w:rsidR="00352006" w:rsidRDefault="00C55328" w:rsidP="00123666">
      <w:pPr>
        <w:pStyle w:val="Textosinformato"/>
        <w:jc w:val="center"/>
      </w:pP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00123666" w:rsidRPr="00FB215B">
        <w:rPr>
          <w:rFonts w:ascii="Times New Roman" w:hAnsi="Times New Roman" w:cs="Times New Roman"/>
        </w:rPr>
        <w:t xml:space="preserve">            </w:t>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tab/>
      </w:r>
      <w:r>
        <w:tab/>
      </w:r>
    </w:p>
    <w:p w:rsidR="00352006" w:rsidRPr="00352006" w:rsidRDefault="00352006" w:rsidP="00352006">
      <w:pPr>
        <w:rPr>
          <w:lang w:val="es-SV"/>
        </w:rPr>
      </w:pPr>
    </w:p>
    <w:p w:rsidR="00352006" w:rsidRDefault="00352006" w:rsidP="00352006">
      <w:pPr>
        <w:pStyle w:val="Textosinformato"/>
        <w:jc w:val="both"/>
      </w:pPr>
      <w:r>
        <w:tab/>
      </w: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w:t>
      </w:r>
      <w:r>
        <w:rPr>
          <w:rFonts w:ascii="Century Gothic" w:hAnsi="Century Gothic"/>
          <w:sz w:val="20"/>
          <w:szCs w:val="20"/>
        </w:rPr>
        <w:tab/>
        <w:t xml:space="preserve">suprimido el nombre del solicitante, número de Documento Único de Identidad DUI y correo </w:t>
      </w:r>
      <w:r>
        <w:rPr>
          <w:rFonts w:ascii="Century Gothic" w:hAnsi="Century Gothic"/>
          <w:sz w:val="20"/>
          <w:szCs w:val="20"/>
        </w:rPr>
        <w:tab/>
        <w:t xml:space="preserve">electrónico de contacto.  </w:t>
      </w:r>
    </w:p>
    <w:p w:rsidR="004B5189" w:rsidRPr="00352006" w:rsidRDefault="004B5189" w:rsidP="00352006">
      <w:pPr>
        <w:tabs>
          <w:tab w:val="left" w:pos="1470"/>
        </w:tabs>
        <w:rPr>
          <w:lang w:val="es-SV"/>
        </w:rPr>
      </w:pPr>
    </w:p>
    <w:sectPr w:rsidR="004B5189" w:rsidRPr="00352006"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95" w:rsidRDefault="006E5795" w:rsidP="00C55328">
      <w:pPr>
        <w:spacing w:after="0" w:line="240" w:lineRule="auto"/>
      </w:pPr>
      <w:r>
        <w:separator/>
      </w:r>
    </w:p>
  </w:endnote>
  <w:endnote w:type="continuationSeparator" w:id="0">
    <w:p w:rsidR="006E5795" w:rsidRDefault="006E5795" w:rsidP="00C55328">
      <w:pPr>
        <w:spacing w:after="0" w:line="240" w:lineRule="auto"/>
      </w:pPr>
      <w:r>
        <w:continuationSeparator/>
      </w:r>
    </w:p>
  </w:endnote>
  <w:endnote w:type="continuationNotice" w:id="1">
    <w:p w:rsidR="006E5795" w:rsidRDefault="006E5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95" w:rsidRDefault="006E5795" w:rsidP="00C55328">
      <w:pPr>
        <w:spacing w:after="0" w:line="240" w:lineRule="auto"/>
      </w:pPr>
      <w:r>
        <w:separator/>
      </w:r>
    </w:p>
  </w:footnote>
  <w:footnote w:type="continuationSeparator" w:id="0">
    <w:p w:rsidR="006E5795" w:rsidRDefault="006E5795" w:rsidP="00C55328">
      <w:pPr>
        <w:spacing w:after="0" w:line="240" w:lineRule="auto"/>
      </w:pPr>
      <w:r>
        <w:continuationSeparator/>
      </w:r>
    </w:p>
  </w:footnote>
  <w:footnote w:type="continuationNotice" w:id="1">
    <w:p w:rsidR="006E5795" w:rsidRDefault="006E57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2F1"/>
    <w:multiLevelType w:val="hybridMultilevel"/>
    <w:tmpl w:val="52F4BCAC"/>
    <w:lvl w:ilvl="0" w:tplc="B10EFF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5C1023"/>
    <w:multiLevelType w:val="hybridMultilevel"/>
    <w:tmpl w:val="09A8F09E"/>
    <w:lvl w:ilvl="0" w:tplc="40DCC87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53EF3CAD"/>
    <w:multiLevelType w:val="hybridMultilevel"/>
    <w:tmpl w:val="0EBEF89A"/>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7"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0"/>
  </w:num>
  <w:num w:numId="7">
    <w:abstractNumId w:val="2"/>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13A50"/>
    <w:rsid w:val="00031B70"/>
    <w:rsid w:val="00032896"/>
    <w:rsid w:val="00032921"/>
    <w:rsid w:val="00045FB5"/>
    <w:rsid w:val="00047088"/>
    <w:rsid w:val="0006363D"/>
    <w:rsid w:val="00066E4C"/>
    <w:rsid w:val="00071D37"/>
    <w:rsid w:val="00081D73"/>
    <w:rsid w:val="0008275D"/>
    <w:rsid w:val="00095CC3"/>
    <w:rsid w:val="000A0841"/>
    <w:rsid w:val="000A1F41"/>
    <w:rsid w:val="000A4F6C"/>
    <w:rsid w:val="000B262F"/>
    <w:rsid w:val="000B4A43"/>
    <w:rsid w:val="000C273A"/>
    <w:rsid w:val="000C5153"/>
    <w:rsid w:val="000C5B97"/>
    <w:rsid w:val="000D31C6"/>
    <w:rsid w:val="000E522A"/>
    <w:rsid w:val="000F3569"/>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64C74"/>
    <w:rsid w:val="00170562"/>
    <w:rsid w:val="00177E51"/>
    <w:rsid w:val="00181084"/>
    <w:rsid w:val="00182825"/>
    <w:rsid w:val="001835AE"/>
    <w:rsid w:val="00184098"/>
    <w:rsid w:val="001919E4"/>
    <w:rsid w:val="00192241"/>
    <w:rsid w:val="00193483"/>
    <w:rsid w:val="00195B46"/>
    <w:rsid w:val="00195E36"/>
    <w:rsid w:val="001A10AD"/>
    <w:rsid w:val="001B1DE4"/>
    <w:rsid w:val="001B353A"/>
    <w:rsid w:val="001C273F"/>
    <w:rsid w:val="001C4FA9"/>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42046"/>
    <w:rsid w:val="002473C3"/>
    <w:rsid w:val="00253370"/>
    <w:rsid w:val="00253712"/>
    <w:rsid w:val="00257C76"/>
    <w:rsid w:val="00257C7D"/>
    <w:rsid w:val="0026576E"/>
    <w:rsid w:val="002659A4"/>
    <w:rsid w:val="00267A31"/>
    <w:rsid w:val="00271986"/>
    <w:rsid w:val="00277FC0"/>
    <w:rsid w:val="00290A66"/>
    <w:rsid w:val="00293DFD"/>
    <w:rsid w:val="002B1251"/>
    <w:rsid w:val="002B47B1"/>
    <w:rsid w:val="002C00DE"/>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6293"/>
    <w:rsid w:val="00332C23"/>
    <w:rsid w:val="00346C3A"/>
    <w:rsid w:val="00352006"/>
    <w:rsid w:val="003521A6"/>
    <w:rsid w:val="0035463E"/>
    <w:rsid w:val="00354B78"/>
    <w:rsid w:val="0036291E"/>
    <w:rsid w:val="00362CD7"/>
    <w:rsid w:val="00372EA1"/>
    <w:rsid w:val="0038282A"/>
    <w:rsid w:val="00382942"/>
    <w:rsid w:val="00386BDE"/>
    <w:rsid w:val="00390F66"/>
    <w:rsid w:val="00393E28"/>
    <w:rsid w:val="00394F21"/>
    <w:rsid w:val="00396B5C"/>
    <w:rsid w:val="00396D22"/>
    <w:rsid w:val="003A0A81"/>
    <w:rsid w:val="003A47E5"/>
    <w:rsid w:val="003A6BF5"/>
    <w:rsid w:val="003A742C"/>
    <w:rsid w:val="003B048F"/>
    <w:rsid w:val="003C25B7"/>
    <w:rsid w:val="003D1F68"/>
    <w:rsid w:val="003E7A52"/>
    <w:rsid w:val="003F2531"/>
    <w:rsid w:val="00402EB0"/>
    <w:rsid w:val="00404C1C"/>
    <w:rsid w:val="00434B7E"/>
    <w:rsid w:val="0043717C"/>
    <w:rsid w:val="0044031E"/>
    <w:rsid w:val="004409E8"/>
    <w:rsid w:val="00441BC3"/>
    <w:rsid w:val="0044551E"/>
    <w:rsid w:val="0044593E"/>
    <w:rsid w:val="00447AED"/>
    <w:rsid w:val="00452494"/>
    <w:rsid w:val="004741EC"/>
    <w:rsid w:val="00480059"/>
    <w:rsid w:val="00481718"/>
    <w:rsid w:val="004913B5"/>
    <w:rsid w:val="00491651"/>
    <w:rsid w:val="004925B1"/>
    <w:rsid w:val="00494A7F"/>
    <w:rsid w:val="0049758F"/>
    <w:rsid w:val="00497B94"/>
    <w:rsid w:val="004A1952"/>
    <w:rsid w:val="004A3B53"/>
    <w:rsid w:val="004B18B7"/>
    <w:rsid w:val="004B5166"/>
    <w:rsid w:val="004B5189"/>
    <w:rsid w:val="004C0759"/>
    <w:rsid w:val="004C5E64"/>
    <w:rsid w:val="004C5FED"/>
    <w:rsid w:val="004C678A"/>
    <w:rsid w:val="004D3622"/>
    <w:rsid w:val="004D463E"/>
    <w:rsid w:val="004E1E97"/>
    <w:rsid w:val="004E2B35"/>
    <w:rsid w:val="004E5445"/>
    <w:rsid w:val="004E66E4"/>
    <w:rsid w:val="004E686A"/>
    <w:rsid w:val="004F047A"/>
    <w:rsid w:val="004F0DF4"/>
    <w:rsid w:val="00516AE8"/>
    <w:rsid w:val="0052000B"/>
    <w:rsid w:val="00524B7A"/>
    <w:rsid w:val="00524F9C"/>
    <w:rsid w:val="00531CB0"/>
    <w:rsid w:val="005323E6"/>
    <w:rsid w:val="00532BEB"/>
    <w:rsid w:val="00533040"/>
    <w:rsid w:val="0053538B"/>
    <w:rsid w:val="00542B30"/>
    <w:rsid w:val="0054304C"/>
    <w:rsid w:val="00545606"/>
    <w:rsid w:val="00546E2F"/>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E3DC7"/>
    <w:rsid w:val="005F046B"/>
    <w:rsid w:val="00607C34"/>
    <w:rsid w:val="0061016E"/>
    <w:rsid w:val="00616EF2"/>
    <w:rsid w:val="00634691"/>
    <w:rsid w:val="0063767E"/>
    <w:rsid w:val="00641697"/>
    <w:rsid w:val="00644C25"/>
    <w:rsid w:val="00644DA7"/>
    <w:rsid w:val="006477B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A1960"/>
    <w:rsid w:val="006B2840"/>
    <w:rsid w:val="006B29DD"/>
    <w:rsid w:val="006B5734"/>
    <w:rsid w:val="006B62E8"/>
    <w:rsid w:val="006E50CB"/>
    <w:rsid w:val="006E5795"/>
    <w:rsid w:val="006F0E18"/>
    <w:rsid w:val="006F5A5A"/>
    <w:rsid w:val="007008F6"/>
    <w:rsid w:val="0070218A"/>
    <w:rsid w:val="00702A7F"/>
    <w:rsid w:val="007150E4"/>
    <w:rsid w:val="00720688"/>
    <w:rsid w:val="00731649"/>
    <w:rsid w:val="00732FD5"/>
    <w:rsid w:val="007379A5"/>
    <w:rsid w:val="00743161"/>
    <w:rsid w:val="00751C45"/>
    <w:rsid w:val="00754563"/>
    <w:rsid w:val="0075615A"/>
    <w:rsid w:val="00762497"/>
    <w:rsid w:val="0077093D"/>
    <w:rsid w:val="00777FEA"/>
    <w:rsid w:val="007942BC"/>
    <w:rsid w:val="007A61D7"/>
    <w:rsid w:val="007B2DF2"/>
    <w:rsid w:val="007C3AFC"/>
    <w:rsid w:val="007D15A7"/>
    <w:rsid w:val="007D4463"/>
    <w:rsid w:val="007E0403"/>
    <w:rsid w:val="007F1B7C"/>
    <w:rsid w:val="007F7AF3"/>
    <w:rsid w:val="00812B3F"/>
    <w:rsid w:val="0081713C"/>
    <w:rsid w:val="0081724D"/>
    <w:rsid w:val="00820EC0"/>
    <w:rsid w:val="00825097"/>
    <w:rsid w:val="00825757"/>
    <w:rsid w:val="008321AA"/>
    <w:rsid w:val="00833B53"/>
    <w:rsid w:val="00845AAE"/>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7553"/>
    <w:rsid w:val="00902FF9"/>
    <w:rsid w:val="009051DE"/>
    <w:rsid w:val="0090643C"/>
    <w:rsid w:val="00906697"/>
    <w:rsid w:val="00910D52"/>
    <w:rsid w:val="00956054"/>
    <w:rsid w:val="009704A0"/>
    <w:rsid w:val="009708BE"/>
    <w:rsid w:val="009772E2"/>
    <w:rsid w:val="00981B7A"/>
    <w:rsid w:val="009837B1"/>
    <w:rsid w:val="0099494D"/>
    <w:rsid w:val="00995CCF"/>
    <w:rsid w:val="009A0DE3"/>
    <w:rsid w:val="009A14D5"/>
    <w:rsid w:val="009B2F52"/>
    <w:rsid w:val="009C3AD6"/>
    <w:rsid w:val="009D7206"/>
    <w:rsid w:val="009E43ED"/>
    <w:rsid w:val="009F307F"/>
    <w:rsid w:val="00A06E9E"/>
    <w:rsid w:val="00A0721B"/>
    <w:rsid w:val="00A13103"/>
    <w:rsid w:val="00A14C61"/>
    <w:rsid w:val="00A217A4"/>
    <w:rsid w:val="00A3029B"/>
    <w:rsid w:val="00A34AEB"/>
    <w:rsid w:val="00A41234"/>
    <w:rsid w:val="00A418BD"/>
    <w:rsid w:val="00A44C7F"/>
    <w:rsid w:val="00A533CC"/>
    <w:rsid w:val="00A55AA1"/>
    <w:rsid w:val="00A6509A"/>
    <w:rsid w:val="00A65720"/>
    <w:rsid w:val="00A72FD6"/>
    <w:rsid w:val="00A746DD"/>
    <w:rsid w:val="00A81598"/>
    <w:rsid w:val="00A8309F"/>
    <w:rsid w:val="00A879AF"/>
    <w:rsid w:val="00A90E48"/>
    <w:rsid w:val="00A977FC"/>
    <w:rsid w:val="00A97A55"/>
    <w:rsid w:val="00A97E69"/>
    <w:rsid w:val="00AA0292"/>
    <w:rsid w:val="00AA5AEC"/>
    <w:rsid w:val="00AA7D64"/>
    <w:rsid w:val="00AB7043"/>
    <w:rsid w:val="00AC20D6"/>
    <w:rsid w:val="00AD29E9"/>
    <w:rsid w:val="00AD4A75"/>
    <w:rsid w:val="00AE062C"/>
    <w:rsid w:val="00AE085E"/>
    <w:rsid w:val="00AE4083"/>
    <w:rsid w:val="00AE6740"/>
    <w:rsid w:val="00AF0F9A"/>
    <w:rsid w:val="00AF36D7"/>
    <w:rsid w:val="00B00909"/>
    <w:rsid w:val="00B01665"/>
    <w:rsid w:val="00B203A0"/>
    <w:rsid w:val="00B2599B"/>
    <w:rsid w:val="00B30239"/>
    <w:rsid w:val="00B44B93"/>
    <w:rsid w:val="00B47FC7"/>
    <w:rsid w:val="00B56EA9"/>
    <w:rsid w:val="00B605BD"/>
    <w:rsid w:val="00B6103C"/>
    <w:rsid w:val="00B6160B"/>
    <w:rsid w:val="00B706D7"/>
    <w:rsid w:val="00B728C2"/>
    <w:rsid w:val="00B75ABF"/>
    <w:rsid w:val="00B858AF"/>
    <w:rsid w:val="00B94153"/>
    <w:rsid w:val="00BA1EBC"/>
    <w:rsid w:val="00BA29B6"/>
    <w:rsid w:val="00BA2E3C"/>
    <w:rsid w:val="00BA3C98"/>
    <w:rsid w:val="00BA479F"/>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FCB"/>
    <w:rsid w:val="00C1374A"/>
    <w:rsid w:val="00C14326"/>
    <w:rsid w:val="00C2190A"/>
    <w:rsid w:val="00C26502"/>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08F"/>
    <w:rsid w:val="00C9754A"/>
    <w:rsid w:val="00CA356F"/>
    <w:rsid w:val="00CA44F8"/>
    <w:rsid w:val="00CA6D68"/>
    <w:rsid w:val="00CB395A"/>
    <w:rsid w:val="00CC5190"/>
    <w:rsid w:val="00CC584E"/>
    <w:rsid w:val="00CC7B5E"/>
    <w:rsid w:val="00CD1AD1"/>
    <w:rsid w:val="00CD26B9"/>
    <w:rsid w:val="00CD27BC"/>
    <w:rsid w:val="00CD681D"/>
    <w:rsid w:val="00CD700F"/>
    <w:rsid w:val="00CE3A7B"/>
    <w:rsid w:val="00CE55CB"/>
    <w:rsid w:val="00CE6C4B"/>
    <w:rsid w:val="00CF1947"/>
    <w:rsid w:val="00D020C3"/>
    <w:rsid w:val="00D0355F"/>
    <w:rsid w:val="00D119FF"/>
    <w:rsid w:val="00D12625"/>
    <w:rsid w:val="00D15654"/>
    <w:rsid w:val="00D20321"/>
    <w:rsid w:val="00D259E2"/>
    <w:rsid w:val="00D275EE"/>
    <w:rsid w:val="00D2786D"/>
    <w:rsid w:val="00D43165"/>
    <w:rsid w:val="00D462FA"/>
    <w:rsid w:val="00D5165B"/>
    <w:rsid w:val="00D527D8"/>
    <w:rsid w:val="00D57EB4"/>
    <w:rsid w:val="00D63885"/>
    <w:rsid w:val="00D7291B"/>
    <w:rsid w:val="00D74F1B"/>
    <w:rsid w:val="00D75E5C"/>
    <w:rsid w:val="00D77349"/>
    <w:rsid w:val="00D807DA"/>
    <w:rsid w:val="00D90D04"/>
    <w:rsid w:val="00D924AD"/>
    <w:rsid w:val="00D92A6E"/>
    <w:rsid w:val="00D95CBB"/>
    <w:rsid w:val="00DA4331"/>
    <w:rsid w:val="00DB2099"/>
    <w:rsid w:val="00DB7957"/>
    <w:rsid w:val="00DC08E8"/>
    <w:rsid w:val="00DC37CA"/>
    <w:rsid w:val="00DE255F"/>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5015D"/>
    <w:rsid w:val="00E52386"/>
    <w:rsid w:val="00E570E5"/>
    <w:rsid w:val="00E70EEA"/>
    <w:rsid w:val="00E713B9"/>
    <w:rsid w:val="00E73FF1"/>
    <w:rsid w:val="00E7514F"/>
    <w:rsid w:val="00E81AC1"/>
    <w:rsid w:val="00E829F9"/>
    <w:rsid w:val="00E834A9"/>
    <w:rsid w:val="00E83ABC"/>
    <w:rsid w:val="00E941FE"/>
    <w:rsid w:val="00E96463"/>
    <w:rsid w:val="00E97D6F"/>
    <w:rsid w:val="00EA1206"/>
    <w:rsid w:val="00EA344A"/>
    <w:rsid w:val="00EA4481"/>
    <w:rsid w:val="00EA5F5C"/>
    <w:rsid w:val="00EB3473"/>
    <w:rsid w:val="00EB4519"/>
    <w:rsid w:val="00EB6059"/>
    <w:rsid w:val="00EB665A"/>
    <w:rsid w:val="00EB6C8E"/>
    <w:rsid w:val="00EB721F"/>
    <w:rsid w:val="00EB78D8"/>
    <w:rsid w:val="00EE3955"/>
    <w:rsid w:val="00EE5DDE"/>
    <w:rsid w:val="00EF4EB8"/>
    <w:rsid w:val="00F02154"/>
    <w:rsid w:val="00F1035C"/>
    <w:rsid w:val="00F254D0"/>
    <w:rsid w:val="00F26E67"/>
    <w:rsid w:val="00F31C9A"/>
    <w:rsid w:val="00F459B8"/>
    <w:rsid w:val="00F509EF"/>
    <w:rsid w:val="00F55578"/>
    <w:rsid w:val="00F60549"/>
    <w:rsid w:val="00F74C43"/>
    <w:rsid w:val="00F772D6"/>
    <w:rsid w:val="00F80817"/>
    <w:rsid w:val="00F87D31"/>
    <w:rsid w:val="00F909AB"/>
    <w:rsid w:val="00FA7852"/>
    <w:rsid w:val="00FB215B"/>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1165</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2018-04-20T20:37:00Z</cp:lastPrinted>
  <dcterms:created xsi:type="dcterms:W3CDTF">2018-05-03T15:37:00Z</dcterms:created>
  <dcterms:modified xsi:type="dcterms:W3CDTF">2018-05-03T15:40:00Z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