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0E0EB7" w:rsidRPr="004253C5" w:rsidRDefault="000E0EB7" w:rsidP="00891B4D">
      <w:pPr>
        <w:tabs>
          <w:tab w:val="left" w:pos="3000"/>
        </w:tabs>
        <w:spacing w:after="0" w:line="240" w:lineRule="auto"/>
        <w:jc w:val="center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4253C5">
        <w:rPr>
          <w:rFonts w:ascii="Bookman Old Style" w:eastAsia="Arial Unicode MS" w:hAnsi="Bookman Old Style" w:cs="Arial Unicode MS"/>
          <w:b/>
          <w:sz w:val="24"/>
          <w:szCs w:val="24"/>
        </w:rPr>
        <w:t>UNIDAD DE ACCESO A LA INFORMACIÓN PÚBLICA.</w:t>
      </w:r>
    </w:p>
    <w:p w:rsidR="000E0EB7" w:rsidRPr="004253C5" w:rsidRDefault="000E0EB7" w:rsidP="00891B4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4253C5">
        <w:rPr>
          <w:rFonts w:ascii="Bookman Old Style" w:eastAsia="Arial Unicode MS" w:hAnsi="Bookman Old Style" w:cs="Arial Unicode MS"/>
          <w:b/>
          <w:sz w:val="24"/>
          <w:szCs w:val="24"/>
        </w:rPr>
        <w:tab/>
      </w:r>
      <w:r w:rsidRPr="004253C5">
        <w:rPr>
          <w:rFonts w:ascii="Bookman Old Style" w:eastAsia="Arial Unicode MS" w:hAnsi="Bookman Old Style" w:cs="Arial Unicode MS"/>
          <w:b/>
          <w:sz w:val="24"/>
          <w:szCs w:val="24"/>
        </w:rPr>
        <w:tab/>
      </w:r>
      <w:r w:rsidRPr="004253C5">
        <w:rPr>
          <w:rFonts w:ascii="Bookman Old Style" w:eastAsia="Arial Unicode MS" w:hAnsi="Bookman Old Style" w:cs="Arial Unicode MS"/>
          <w:b/>
          <w:sz w:val="24"/>
          <w:szCs w:val="24"/>
        </w:rPr>
        <w:tab/>
        <w:t>Resolución de Prórroga</w:t>
      </w:r>
    </w:p>
    <w:p w:rsidR="000E0EB7" w:rsidRPr="004253C5" w:rsidRDefault="001977DF" w:rsidP="004253C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ookman Old Style" w:eastAsia="Arial Unicode MS" w:hAnsi="Bookman Old Style" w:cs="Arial Unicode MS"/>
          <w:b/>
          <w:sz w:val="24"/>
          <w:szCs w:val="24"/>
        </w:rPr>
      </w:pPr>
      <w:r>
        <w:rPr>
          <w:rFonts w:ascii="Bookman Old Style" w:eastAsia="Arial Unicode MS" w:hAnsi="Bookman Old Style" w:cs="Arial Unicode MS"/>
          <w:b/>
          <w:sz w:val="24"/>
          <w:szCs w:val="24"/>
        </w:rPr>
        <w:tab/>
      </w:r>
      <w:r>
        <w:rPr>
          <w:rFonts w:ascii="Bookman Old Style" w:eastAsia="Arial Unicode MS" w:hAnsi="Bookman Old Style" w:cs="Arial Unicode MS"/>
          <w:b/>
          <w:sz w:val="24"/>
          <w:szCs w:val="24"/>
        </w:rPr>
        <w:tab/>
      </w:r>
      <w:r>
        <w:rPr>
          <w:rFonts w:ascii="Bookman Old Style" w:eastAsia="Arial Unicode MS" w:hAnsi="Bookman Old Style" w:cs="Arial Unicode MS"/>
          <w:b/>
          <w:sz w:val="24"/>
          <w:szCs w:val="24"/>
        </w:rPr>
        <w:tab/>
        <w:t>UAIP-MITUR No.015</w:t>
      </w:r>
      <w:r w:rsidR="000E0EB7" w:rsidRPr="004253C5">
        <w:rPr>
          <w:rFonts w:ascii="Bookman Old Style" w:eastAsia="Arial Unicode MS" w:hAnsi="Bookman Old Style" w:cs="Arial Unicode MS"/>
          <w:b/>
          <w:sz w:val="24"/>
          <w:szCs w:val="24"/>
        </w:rPr>
        <w:t>/2018</w:t>
      </w:r>
    </w:p>
    <w:p w:rsidR="00891B4D" w:rsidRPr="00891B4D" w:rsidRDefault="00891B4D" w:rsidP="004253C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0E0EB7" w:rsidRPr="00891B4D" w:rsidRDefault="000E0EB7" w:rsidP="004253C5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</w:rPr>
      </w:pPr>
      <w:r w:rsidRPr="00891B4D">
        <w:rPr>
          <w:rFonts w:ascii="Bookman Old Style" w:eastAsia="Arial Unicode MS" w:hAnsi="Bookman Old Style" w:cs="Arial Unicode MS"/>
        </w:rPr>
        <w:t xml:space="preserve">En la ciudad de San Salvador, a </w:t>
      </w:r>
      <w:r w:rsidR="005811C6" w:rsidRPr="00891B4D">
        <w:rPr>
          <w:rFonts w:ascii="Bookman Old Style" w:eastAsia="Arial Unicode MS" w:hAnsi="Bookman Old Style" w:cs="Arial Unicode MS"/>
        </w:rPr>
        <w:t>las catorce horas del día seis</w:t>
      </w:r>
      <w:r w:rsidRPr="00891B4D">
        <w:rPr>
          <w:rFonts w:ascii="Bookman Old Style" w:eastAsia="Arial Unicode MS" w:hAnsi="Bookman Old Style" w:cs="Arial Unicode MS"/>
        </w:rPr>
        <w:t xml:space="preserve"> </w:t>
      </w:r>
      <w:r w:rsidR="005811C6" w:rsidRPr="00891B4D">
        <w:rPr>
          <w:rFonts w:ascii="Bookman Old Style" w:eastAsia="Arial Unicode MS" w:hAnsi="Bookman Old Style" w:cs="Arial Unicode MS"/>
        </w:rPr>
        <w:t>de marzo</w:t>
      </w:r>
      <w:r w:rsidRPr="00891B4D">
        <w:rPr>
          <w:rFonts w:ascii="Bookman Old Style" w:eastAsia="Arial Unicode MS" w:hAnsi="Bookman Old Style" w:cs="Arial Unicode MS"/>
        </w:rPr>
        <w:t xml:space="preserve"> de dos mil dieciocho, el Ministerio de Turismo (MITUR) a través de la Unidad de Acceso a la Información Pública ha recibido la solicitud de inform</w:t>
      </w:r>
      <w:r w:rsidR="005811C6" w:rsidRPr="00891B4D">
        <w:rPr>
          <w:rFonts w:ascii="Bookman Old Style" w:eastAsia="Arial Unicode MS" w:hAnsi="Bookman Old Style" w:cs="Arial Unicode MS"/>
        </w:rPr>
        <w:t>ación referencia MITUR-2018-0013</w:t>
      </w:r>
      <w:r w:rsidRPr="00891B4D">
        <w:rPr>
          <w:rFonts w:ascii="Bookman Old Style" w:eastAsia="Arial Unicode MS" w:hAnsi="Bookman Old Style" w:cs="Arial Unicode MS"/>
        </w:rPr>
        <w:t xml:space="preserve"> presentada por parte de</w:t>
      </w:r>
      <w:r w:rsidR="00234E2C">
        <w:rPr>
          <w:rFonts w:ascii="Bookman Old Style" w:eastAsia="Arial Unicode MS" w:hAnsi="Bookman Old Style" w:cs="Arial Unicode MS"/>
        </w:rPr>
        <w:t xml:space="preserve"> </w:t>
      </w:r>
      <w:r w:rsidR="00234E2C" w:rsidRPr="00234E2C">
        <w:rPr>
          <w:rFonts w:ascii="Bookman Old Style" w:eastAsia="Arial Unicode MS" w:hAnsi="Bookman Old Style" w:cs="Arial Unicode MS"/>
          <w:highlight w:val="black"/>
        </w:rPr>
        <w:t>xxxxxxxxxxxxxxxxxxxxxxxxxxxxxxxxxx</w:t>
      </w:r>
      <w:r w:rsidRPr="00891B4D">
        <w:rPr>
          <w:rFonts w:ascii="Bookman Old Style" w:eastAsia="Arial Unicode MS" w:hAnsi="Bookman Old Style" w:cs="Arial Unicode MS"/>
        </w:rPr>
        <w:t>, respecto a:</w:t>
      </w:r>
    </w:p>
    <w:p w:rsidR="005811C6" w:rsidRPr="00891B4D" w:rsidRDefault="005811C6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</w:rPr>
      </w:pPr>
    </w:p>
    <w:p w:rsidR="005811C6" w:rsidRPr="00891B4D" w:rsidRDefault="005811C6" w:rsidP="00891B4D">
      <w:pPr>
        <w:pStyle w:val="Prrafodelista"/>
        <w:numPr>
          <w:ilvl w:val="0"/>
          <w:numId w:val="8"/>
        </w:numPr>
        <w:tabs>
          <w:tab w:val="left" w:pos="1140"/>
        </w:tabs>
        <w:spacing w:after="0" w:line="240" w:lineRule="auto"/>
        <w:ind w:left="1072"/>
        <w:jc w:val="both"/>
        <w:rPr>
          <w:rFonts w:ascii="Bookman Old Style" w:eastAsia="Arial Unicode MS" w:hAnsi="Bookman Old Style" w:cs="Arial Unicode MS"/>
          <w:b/>
        </w:rPr>
      </w:pPr>
      <w:r w:rsidRPr="00891B4D">
        <w:rPr>
          <w:rFonts w:ascii="Bookman Old Style" w:eastAsia="Arial Unicode MS" w:hAnsi="Bookman Old Style" w:cs="Arial Unicode MS"/>
          <w:b/>
        </w:rPr>
        <w:t>Copia de los estudios, dictámenes o resoluciones, con base a las cuales el Ministerio de Turismo otorgó, hasta el año 2016, la calificación de “Proyectos de Interés Turístico Nacional” a las 33 empresas y establecimientos que se incluyen en el cuadro adjunto a la presente petición, el cual incluye empresas y sociedades dedic</w:t>
      </w:r>
      <w:r w:rsidR="0084586C">
        <w:rPr>
          <w:rFonts w:ascii="Bookman Old Style" w:eastAsia="Arial Unicode MS" w:hAnsi="Bookman Old Style" w:cs="Arial Unicode MS"/>
          <w:b/>
        </w:rPr>
        <w:t>adas al rubro de transporte, alo</w:t>
      </w:r>
      <w:r w:rsidRPr="00891B4D">
        <w:rPr>
          <w:rFonts w:ascii="Bookman Old Style" w:eastAsia="Arial Unicode MS" w:hAnsi="Bookman Old Style" w:cs="Arial Unicode MS"/>
          <w:b/>
        </w:rPr>
        <w:t>jamiento y recreación.</w:t>
      </w:r>
    </w:p>
    <w:p w:rsidR="005811C6" w:rsidRPr="00891B4D" w:rsidRDefault="005811C6" w:rsidP="00891B4D">
      <w:pPr>
        <w:pStyle w:val="Prrafodelista"/>
        <w:tabs>
          <w:tab w:val="left" w:pos="1140"/>
        </w:tabs>
        <w:spacing w:after="0" w:line="240" w:lineRule="auto"/>
        <w:ind w:left="1072"/>
        <w:jc w:val="both"/>
        <w:rPr>
          <w:rFonts w:ascii="Bookman Old Style" w:eastAsia="Arial Unicode MS" w:hAnsi="Bookman Old Style" w:cs="Arial Unicode MS"/>
          <w:b/>
        </w:rPr>
      </w:pPr>
    </w:p>
    <w:p w:rsidR="00A57D72" w:rsidRPr="00A57D72" w:rsidRDefault="005811C6" w:rsidP="00A55566">
      <w:pPr>
        <w:pStyle w:val="Prrafodelista"/>
        <w:numPr>
          <w:ilvl w:val="0"/>
          <w:numId w:val="8"/>
        </w:numPr>
        <w:tabs>
          <w:tab w:val="left" w:pos="1140"/>
        </w:tabs>
        <w:spacing w:after="0" w:line="240" w:lineRule="auto"/>
        <w:ind w:left="1072"/>
        <w:jc w:val="both"/>
        <w:rPr>
          <w:rFonts w:ascii="Bookman Old Style" w:eastAsia="Arial Unicode MS" w:hAnsi="Bookman Old Style" w:cs="Arial Unicode MS"/>
          <w:b/>
        </w:rPr>
      </w:pPr>
      <w:r w:rsidRPr="00A57D72">
        <w:rPr>
          <w:rFonts w:ascii="Bookman Old Style" w:eastAsia="Arial Unicode MS" w:hAnsi="Bookman Old Style" w:cs="Arial Unicode MS"/>
          <w:b/>
        </w:rPr>
        <w:t>Listado de las otras empresas y establecimientos que desde el año 2017 a la fecha, han recibido la calificación de “Proyectos de Interés Turístico Nacional”.</w:t>
      </w:r>
    </w:p>
    <w:p w:rsidR="00A57D72" w:rsidRPr="00A57D72" w:rsidRDefault="00A57D72" w:rsidP="00A57D72">
      <w:pPr>
        <w:pStyle w:val="Prrafodelista"/>
        <w:tabs>
          <w:tab w:val="left" w:pos="1140"/>
        </w:tabs>
        <w:spacing w:after="0" w:line="240" w:lineRule="auto"/>
        <w:ind w:left="1072"/>
        <w:jc w:val="both"/>
        <w:rPr>
          <w:rFonts w:ascii="Bookman Old Style" w:eastAsia="Arial Unicode MS" w:hAnsi="Bookman Old Style" w:cs="Arial Unicode MS"/>
          <w:b/>
        </w:rPr>
      </w:pPr>
    </w:p>
    <w:p w:rsidR="000E0EB7" w:rsidRPr="00891B4D" w:rsidRDefault="005811C6" w:rsidP="00A57D72">
      <w:pPr>
        <w:tabs>
          <w:tab w:val="left" w:pos="993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</w:rPr>
      </w:pPr>
      <w:r w:rsidRPr="00891B4D">
        <w:rPr>
          <w:rFonts w:ascii="Bookman Old Style" w:eastAsia="Arial Unicode MS" w:hAnsi="Bookman Old Style" w:cs="Arial Unicode MS"/>
          <w:b/>
        </w:rPr>
        <w:t>3.</w:t>
      </w:r>
      <w:r w:rsidR="00A57D72">
        <w:rPr>
          <w:rFonts w:ascii="Bookman Old Style" w:eastAsia="Arial Unicode MS" w:hAnsi="Bookman Old Style" w:cs="Arial Unicode MS"/>
          <w:b/>
        </w:rPr>
        <w:t xml:space="preserve"> </w:t>
      </w:r>
      <w:r w:rsidRPr="00891B4D">
        <w:rPr>
          <w:rFonts w:ascii="Bookman Old Style" w:eastAsia="Arial Unicode MS" w:hAnsi="Bookman Old Style" w:cs="Arial Unicode MS"/>
          <w:b/>
        </w:rPr>
        <w:t xml:space="preserve">Copia de los estudios, dictámenes o resoluciones, con base a las cuales el </w:t>
      </w:r>
      <w:r w:rsidR="00A57D72">
        <w:rPr>
          <w:rFonts w:ascii="Bookman Old Style" w:eastAsia="Arial Unicode MS" w:hAnsi="Bookman Old Style" w:cs="Arial Unicode MS"/>
          <w:b/>
        </w:rPr>
        <w:t xml:space="preserve">   </w:t>
      </w:r>
      <w:r w:rsidR="00A57D72">
        <w:rPr>
          <w:rFonts w:ascii="Bookman Old Style" w:eastAsia="Arial Unicode MS" w:hAnsi="Bookman Old Style" w:cs="Arial Unicode MS"/>
          <w:b/>
        </w:rPr>
        <w:tab/>
      </w:r>
      <w:r w:rsidRPr="00891B4D">
        <w:rPr>
          <w:rFonts w:ascii="Bookman Old Style" w:eastAsia="Arial Unicode MS" w:hAnsi="Bookman Old Style" w:cs="Arial Unicode MS"/>
          <w:b/>
        </w:rPr>
        <w:t xml:space="preserve">Ministerio de Turismo otorgó, desde el 1 de enero de 2017 a la fecha, la </w:t>
      </w:r>
      <w:r w:rsidR="004253C5">
        <w:rPr>
          <w:rFonts w:ascii="Bookman Old Style" w:eastAsia="Arial Unicode MS" w:hAnsi="Bookman Old Style" w:cs="Arial Unicode MS"/>
          <w:b/>
        </w:rPr>
        <w:tab/>
      </w:r>
      <w:r w:rsidRPr="00891B4D">
        <w:rPr>
          <w:rFonts w:ascii="Bookman Old Style" w:eastAsia="Arial Unicode MS" w:hAnsi="Bookman Old Style" w:cs="Arial Unicode MS"/>
          <w:b/>
        </w:rPr>
        <w:t xml:space="preserve">calificación de “Proyectos de Interés Turístico Nacional” a empresas y </w:t>
      </w:r>
      <w:r w:rsidR="004253C5">
        <w:rPr>
          <w:rFonts w:ascii="Bookman Old Style" w:eastAsia="Arial Unicode MS" w:hAnsi="Bookman Old Style" w:cs="Arial Unicode MS"/>
          <w:b/>
        </w:rPr>
        <w:tab/>
      </w:r>
      <w:r w:rsidRPr="00891B4D">
        <w:rPr>
          <w:rFonts w:ascii="Bookman Old Style" w:eastAsia="Arial Unicode MS" w:hAnsi="Bookman Old Style" w:cs="Arial Unicode MS"/>
          <w:b/>
        </w:rPr>
        <w:t>establecimientos</w:t>
      </w:r>
      <w:r w:rsidR="00A57D72">
        <w:rPr>
          <w:rFonts w:ascii="Bookman Old Style" w:eastAsia="Arial Unicode MS" w:hAnsi="Bookman Old Style" w:cs="Arial Unicode MS"/>
          <w:b/>
        </w:rPr>
        <w:t xml:space="preserve"> </w:t>
      </w:r>
      <w:r w:rsidRPr="00891B4D">
        <w:rPr>
          <w:rFonts w:ascii="Bookman Old Style" w:eastAsia="Arial Unicode MS" w:hAnsi="Bookman Old Style" w:cs="Arial Unicode MS"/>
          <w:b/>
        </w:rPr>
        <w:t>dedica</w:t>
      </w:r>
      <w:r w:rsidR="0084586C">
        <w:rPr>
          <w:rFonts w:ascii="Bookman Old Style" w:eastAsia="Arial Unicode MS" w:hAnsi="Bookman Old Style" w:cs="Arial Unicode MS"/>
          <w:b/>
        </w:rPr>
        <w:t>das al rubro del transporte, alo</w:t>
      </w:r>
      <w:r w:rsidRPr="00891B4D">
        <w:rPr>
          <w:rFonts w:ascii="Bookman Old Style" w:eastAsia="Arial Unicode MS" w:hAnsi="Bookman Old Style" w:cs="Arial Unicode MS"/>
          <w:b/>
        </w:rPr>
        <w:t xml:space="preserve">jamiento y </w:t>
      </w:r>
      <w:r w:rsidRPr="00891B4D">
        <w:rPr>
          <w:rFonts w:ascii="Bookman Old Style" w:eastAsia="Arial Unicode MS" w:hAnsi="Bookman Old Style" w:cs="Arial Unicode MS"/>
          <w:b/>
        </w:rPr>
        <w:tab/>
        <w:t>recreación.</w:t>
      </w: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  <w:r w:rsidRPr="00891B4D">
        <w:rPr>
          <w:rFonts w:ascii="Bookman Old Style" w:eastAsia="Arial Unicode MS" w:hAnsi="Bookman Old Style" w:cs="Arial Unicode MS"/>
          <w:b/>
        </w:rPr>
        <w:t>CONSIDERANDO QUE:</w:t>
      </w: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</w:rPr>
      </w:pP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993" w:hanging="284"/>
        <w:jc w:val="both"/>
        <w:rPr>
          <w:rFonts w:ascii="Bookman Old Style" w:eastAsia="Arial Unicode MS" w:hAnsi="Bookman Old Style" w:cs="Arial Unicode MS"/>
        </w:rPr>
      </w:pPr>
      <w:r w:rsidRPr="00891B4D">
        <w:rPr>
          <w:rFonts w:ascii="Bookman Old Style" w:eastAsia="Arial Unicode MS" w:hAnsi="Bookman Old Style" w:cs="Arial Unicode MS"/>
        </w:rPr>
        <w:t>1.</w:t>
      </w:r>
      <w:r w:rsidRPr="00891B4D">
        <w:rPr>
          <w:rFonts w:ascii="Bookman Old Style" w:eastAsia="Arial Unicode MS" w:hAnsi="Bookman Old Style" w:cs="Arial Unicode MS"/>
        </w:rPr>
        <w:tab/>
        <w:t xml:space="preserve">La información solicitada en su oportunidad se trasladó  a la </w:t>
      </w:r>
      <w:r w:rsidR="005811C6" w:rsidRPr="00891B4D">
        <w:rPr>
          <w:rFonts w:ascii="Bookman Old Style" w:eastAsia="Arial Unicode MS" w:hAnsi="Bookman Old Style" w:cs="Arial Unicode MS"/>
        </w:rPr>
        <w:t xml:space="preserve">Dirección de Contraloría Sectorial </w:t>
      </w:r>
      <w:r w:rsidRPr="00891B4D">
        <w:rPr>
          <w:rFonts w:ascii="Bookman Old Style" w:eastAsia="Arial Unicode MS" w:hAnsi="Bookman Old Style" w:cs="Arial Unicode MS"/>
        </w:rPr>
        <w:t xml:space="preserve">para que provean respuesta a la misma; mediante </w:t>
      </w:r>
      <w:r w:rsidR="005811C6" w:rsidRPr="00891B4D">
        <w:rPr>
          <w:rFonts w:ascii="Bookman Old Style" w:eastAsia="Arial Unicode MS" w:hAnsi="Bookman Old Style" w:cs="Arial Unicode MS"/>
        </w:rPr>
        <w:t>memorándum de fecha cinco de</w:t>
      </w:r>
      <w:r w:rsidRPr="00891B4D">
        <w:rPr>
          <w:rFonts w:ascii="Bookman Old Style" w:eastAsia="Arial Unicode MS" w:hAnsi="Bookman Old Style" w:cs="Arial Unicode MS"/>
        </w:rPr>
        <w:t xml:space="preserve"> </w:t>
      </w:r>
      <w:r w:rsidR="005811C6" w:rsidRPr="00891B4D">
        <w:rPr>
          <w:rFonts w:ascii="Bookman Old Style" w:eastAsia="Arial Unicode MS" w:hAnsi="Bookman Old Style" w:cs="Arial Unicode MS"/>
        </w:rPr>
        <w:t xml:space="preserve">abril de </w:t>
      </w:r>
      <w:r w:rsidRPr="00891B4D">
        <w:rPr>
          <w:rFonts w:ascii="Bookman Old Style" w:eastAsia="Arial Unicode MS" w:hAnsi="Bookman Old Style" w:cs="Arial Unicode MS"/>
        </w:rPr>
        <w:t xml:space="preserve">dos mil dieciocho la Unidad de Acceso a la Información Pública ha recibido por </w:t>
      </w:r>
      <w:r w:rsidR="005811C6" w:rsidRPr="00891B4D">
        <w:rPr>
          <w:rFonts w:ascii="Bookman Old Style" w:eastAsia="Arial Unicode MS" w:hAnsi="Bookman Old Style" w:cs="Arial Unicode MS"/>
        </w:rPr>
        <w:t>parte del Director de dicha unidad organizativa</w:t>
      </w:r>
      <w:r w:rsidR="005302EC" w:rsidRPr="00891B4D">
        <w:rPr>
          <w:rFonts w:ascii="Bookman Old Style" w:eastAsia="Arial Unicode MS" w:hAnsi="Bookman Old Style" w:cs="Arial Unicode MS"/>
        </w:rPr>
        <w:t>,</w:t>
      </w:r>
      <w:r w:rsidR="005811C6" w:rsidRPr="00891B4D">
        <w:rPr>
          <w:rFonts w:ascii="Bookman Old Style" w:eastAsia="Arial Unicode MS" w:hAnsi="Bookman Old Style" w:cs="Arial Unicode MS"/>
        </w:rPr>
        <w:t xml:space="preserve"> </w:t>
      </w:r>
      <w:r w:rsidRPr="00891B4D">
        <w:rPr>
          <w:rFonts w:ascii="Bookman Old Style" w:eastAsia="Arial Unicode MS" w:hAnsi="Bookman Old Style" w:cs="Arial Unicode MS"/>
        </w:rPr>
        <w:t>solicitud de prórroga para entrega de la información y documentación solicitada “debido a la complejidad de la petición ya que se requiere tiempo para el procesamiento y búsqueda de la documentación</w:t>
      </w:r>
      <w:r w:rsidR="00A57D72">
        <w:rPr>
          <w:rFonts w:ascii="Bookman Old Style" w:eastAsia="Arial Unicode MS" w:hAnsi="Bookman Old Style" w:cs="Arial Unicode MS"/>
        </w:rPr>
        <w:t xml:space="preserve"> que es mayor a cinco años,</w:t>
      </w:r>
      <w:r w:rsidRPr="00891B4D">
        <w:rPr>
          <w:rFonts w:ascii="Bookman Old Style" w:eastAsia="Arial Unicode MS" w:hAnsi="Bookman Old Style" w:cs="Arial Unicode MS"/>
        </w:rPr>
        <w:t xml:space="preserve"> la cual el equipo técnico ya se encuentra preparando”</w:t>
      </w: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</w:rPr>
      </w:pPr>
    </w:p>
    <w:p w:rsidR="000E0EB7" w:rsidRPr="00891B4D" w:rsidRDefault="000E0EB7" w:rsidP="00891B4D">
      <w:pPr>
        <w:tabs>
          <w:tab w:val="left" w:pos="851"/>
          <w:tab w:val="left" w:pos="1140"/>
        </w:tabs>
        <w:spacing w:after="0" w:line="240" w:lineRule="auto"/>
        <w:ind w:left="993" w:hanging="284"/>
        <w:jc w:val="both"/>
        <w:rPr>
          <w:rFonts w:ascii="Bookman Old Style" w:eastAsia="Arial Unicode MS" w:hAnsi="Bookman Old Style" w:cs="Arial Unicode MS"/>
          <w:b/>
        </w:rPr>
      </w:pPr>
      <w:r w:rsidRPr="00891B4D">
        <w:rPr>
          <w:rFonts w:ascii="Bookman Old Style" w:eastAsia="Arial Unicode MS" w:hAnsi="Bookman Old Style" w:cs="Arial Unicode MS"/>
        </w:rPr>
        <w:t>2.</w:t>
      </w:r>
      <w:r w:rsidRPr="00891B4D">
        <w:rPr>
          <w:rFonts w:ascii="Bookman Old Style" w:eastAsia="Arial Unicode MS" w:hAnsi="Bookman Old Style" w:cs="Arial Unicode MS"/>
        </w:rPr>
        <w:tab/>
        <w:t>Dicha prórroga es procedente, de acuerdo a lo establecido en el artículo 71 de la Ley de Acceso a la Información</w:t>
      </w:r>
      <w:r w:rsidR="005302EC" w:rsidRPr="00891B4D">
        <w:rPr>
          <w:rFonts w:ascii="Bookman Old Style" w:eastAsia="Arial Unicode MS" w:hAnsi="Bookman Old Style" w:cs="Arial Unicode MS"/>
        </w:rPr>
        <w:t xml:space="preserve"> Pública, el cual establece: “Si la información requerida excede de los cinco años de haberse generado, el plazo podrá ampliarse por diez días hábiles más”.</w:t>
      </w: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  <w:r w:rsidRPr="00891B4D">
        <w:rPr>
          <w:rFonts w:ascii="Bookman Old Style" w:eastAsia="Arial Unicode MS" w:hAnsi="Bookman Old Style" w:cs="Arial Unicode MS"/>
        </w:rPr>
        <w:t>Por lo anterior la Unidad de Acceso a la Información Pública,</w:t>
      </w:r>
      <w:r w:rsidRPr="00891B4D">
        <w:rPr>
          <w:rFonts w:ascii="Bookman Old Style" w:eastAsia="Arial Unicode MS" w:hAnsi="Bookman Old Style" w:cs="Arial Unicode MS"/>
          <w:b/>
        </w:rPr>
        <w:t xml:space="preserve"> RESUELVE:</w:t>
      </w: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</w:p>
    <w:p w:rsidR="000E0EB7" w:rsidRDefault="000E0EB7" w:rsidP="004253C5">
      <w:pPr>
        <w:pStyle w:val="Prrafodelista"/>
        <w:numPr>
          <w:ilvl w:val="0"/>
          <w:numId w:val="9"/>
        </w:num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</w:rPr>
      </w:pPr>
      <w:r w:rsidRPr="004253C5">
        <w:rPr>
          <w:rFonts w:ascii="Bookman Old Style" w:eastAsia="Arial Unicode MS" w:hAnsi="Bookman Old Style" w:cs="Arial Unicode MS"/>
          <w:b/>
        </w:rPr>
        <w:t>AMPLIAR: El plazo de entr</w:t>
      </w:r>
      <w:r w:rsidR="005302EC" w:rsidRPr="004253C5">
        <w:rPr>
          <w:rFonts w:ascii="Bookman Old Style" w:eastAsia="Arial Unicode MS" w:hAnsi="Bookman Old Style" w:cs="Arial Unicode MS"/>
          <w:b/>
        </w:rPr>
        <w:t xml:space="preserve">ega de la información por diez </w:t>
      </w:r>
      <w:r w:rsidRPr="004253C5">
        <w:rPr>
          <w:rFonts w:ascii="Bookman Old Style" w:eastAsia="Arial Unicode MS" w:hAnsi="Bookman Old Style" w:cs="Arial Unicode MS"/>
          <w:b/>
        </w:rPr>
        <w:t>días hábiles adicionales,</w:t>
      </w:r>
      <w:r w:rsidR="005302EC" w:rsidRPr="004253C5">
        <w:rPr>
          <w:rFonts w:ascii="Bookman Old Style" w:eastAsia="Arial Unicode MS" w:hAnsi="Bookman Old Style" w:cs="Arial Unicode MS"/>
          <w:b/>
        </w:rPr>
        <w:t xml:space="preserve"> por ser información de más de cinco años que requiere tiempo en la búsqueda y procesamiento;</w:t>
      </w:r>
      <w:r w:rsidRPr="004253C5">
        <w:rPr>
          <w:rFonts w:ascii="Bookman Old Style" w:eastAsia="Arial Unicode MS" w:hAnsi="Bookman Old Style" w:cs="Arial Unicode MS"/>
          <w:b/>
        </w:rPr>
        <w:t xml:space="preserve"> plazo</w:t>
      </w:r>
      <w:r w:rsidR="004253C5" w:rsidRPr="004253C5">
        <w:rPr>
          <w:rFonts w:ascii="Bookman Old Style" w:eastAsia="Arial Unicode MS" w:hAnsi="Bookman Old Style" w:cs="Arial Unicode MS"/>
          <w:b/>
        </w:rPr>
        <w:t xml:space="preserve"> </w:t>
      </w:r>
      <w:r w:rsidRPr="004253C5">
        <w:rPr>
          <w:rFonts w:ascii="Bookman Old Style" w:eastAsia="Arial Unicode MS" w:hAnsi="Bookman Old Style" w:cs="Arial Unicode MS"/>
          <w:b/>
        </w:rPr>
        <w:t xml:space="preserve">que vencerá el día </w:t>
      </w:r>
      <w:r w:rsidR="005302EC" w:rsidRPr="004253C5">
        <w:rPr>
          <w:rFonts w:ascii="Bookman Old Style" w:eastAsia="Arial Unicode MS" w:hAnsi="Bookman Old Style" w:cs="Arial Unicode MS"/>
          <w:b/>
        </w:rPr>
        <w:t xml:space="preserve">veinte de abril </w:t>
      </w:r>
      <w:r w:rsidRPr="004253C5">
        <w:rPr>
          <w:rFonts w:ascii="Bookman Old Style" w:eastAsia="Arial Unicode MS" w:hAnsi="Bookman Old Style" w:cs="Arial Unicode MS"/>
          <w:b/>
        </w:rPr>
        <w:t>de dos mil dieciocho.</w:t>
      </w:r>
    </w:p>
    <w:p w:rsidR="00A57D72" w:rsidRDefault="00A57D72" w:rsidP="00A57D72">
      <w:p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</w:rPr>
      </w:pPr>
    </w:p>
    <w:p w:rsidR="00A57D72" w:rsidRPr="00A57D72" w:rsidRDefault="00A57D72" w:rsidP="00A57D72">
      <w:p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</w:rPr>
      </w:pPr>
    </w:p>
    <w:p w:rsidR="004253C5" w:rsidRDefault="004253C5" w:rsidP="004253C5">
      <w:p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</w:rPr>
      </w:pPr>
    </w:p>
    <w:p w:rsidR="004253C5" w:rsidRPr="004253C5" w:rsidRDefault="004253C5" w:rsidP="004253C5">
      <w:p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</w:rPr>
      </w:pP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</w:p>
    <w:p w:rsidR="000E0EB7" w:rsidRPr="00891B4D" w:rsidRDefault="000E0EB7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  <w:r w:rsidRPr="00891B4D">
        <w:rPr>
          <w:rFonts w:ascii="Bookman Old Style" w:eastAsia="Arial Unicode MS" w:hAnsi="Bookman Old Style" w:cs="Arial Unicode MS"/>
          <w:b/>
        </w:rPr>
        <w:t>2)</w:t>
      </w:r>
      <w:r w:rsidRPr="00891B4D">
        <w:rPr>
          <w:rFonts w:ascii="Bookman Old Style" w:eastAsia="Arial Unicode MS" w:hAnsi="Bookman Old Style" w:cs="Arial Unicode MS"/>
          <w:b/>
        </w:rPr>
        <w:tab/>
        <w:t>NOTIFÍQUESE: la presente resolución a las partes interesadas.</w:t>
      </w:r>
    </w:p>
    <w:p w:rsidR="005302EC" w:rsidRPr="00891B4D" w:rsidRDefault="005302EC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</w:p>
    <w:p w:rsidR="005302EC" w:rsidRPr="00891B4D" w:rsidRDefault="00234E2C" w:rsidP="00891B4D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37DDF83A" wp14:editId="59888B61">
            <wp:simplePos x="0" y="0"/>
            <wp:positionH relativeFrom="column">
              <wp:posOffset>2343150</wp:posOffset>
            </wp:positionH>
            <wp:positionV relativeFrom="paragraph">
              <wp:posOffset>10795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CB" w:rsidRDefault="008321AA" w:rsidP="00891B4D">
      <w:pPr>
        <w:spacing w:line="240" w:lineRule="auto"/>
        <w:ind w:left="704"/>
        <w:rPr>
          <w:rFonts w:ascii="Bookman Old Style" w:eastAsia="Arial Unicode MS" w:hAnsi="Bookman Old Style" w:cs="Arial Unicode MS"/>
          <w:lang w:val="es-SV"/>
        </w:rPr>
      </w:pPr>
      <w:r w:rsidRPr="00891B4D">
        <w:rPr>
          <w:rFonts w:ascii="Bookman Old Style" w:eastAsia="Arial Unicode MS" w:hAnsi="Bookman Old Style" w:cs="Arial Unicode MS"/>
          <w:lang w:val="es-SV"/>
        </w:rPr>
        <w:tab/>
      </w:r>
    </w:p>
    <w:p w:rsidR="00A57D72" w:rsidRPr="00891B4D" w:rsidRDefault="00A57D72" w:rsidP="00891B4D">
      <w:pPr>
        <w:spacing w:line="240" w:lineRule="auto"/>
        <w:ind w:left="704"/>
        <w:rPr>
          <w:rFonts w:ascii="Bookman Old Style" w:eastAsia="Arial Unicode MS" w:hAnsi="Bookman Old Style" w:cs="Arial Unicode MS"/>
        </w:rPr>
      </w:pPr>
    </w:p>
    <w:p w:rsidR="00234E2C" w:rsidRDefault="004253C5" w:rsidP="00234E2C">
      <w:pPr>
        <w:pStyle w:val="Textosinformato"/>
        <w:tabs>
          <w:tab w:val="center" w:pos="5040"/>
          <w:tab w:val="right" w:pos="10080"/>
        </w:tabs>
        <w:spacing w:line="120" w:lineRule="atLeast"/>
        <w:jc w:val="center"/>
      </w:pPr>
      <w:r w:rsidRPr="00891B4D">
        <w:rPr>
          <w:rFonts w:ascii="Bookman Old Style" w:eastAsia="Arial Unicode MS" w:hAnsi="Bookman Old Style" w:cs="Arial Unicode MS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353060</wp:posOffset>
                </wp:positionH>
                <wp:positionV relativeFrom="paragraph">
                  <wp:posOffset>488950</wp:posOffset>
                </wp:positionV>
                <wp:extent cx="6143625" cy="647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hrough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7.8pt;margin-top:38.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M9wLYH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34E2C" w:rsidRPr="00234E2C" w:rsidRDefault="00234E2C" w:rsidP="00234E2C">
      <w:pPr>
        <w:pStyle w:val="Textosinformato"/>
        <w:tabs>
          <w:tab w:val="center" w:pos="5040"/>
          <w:tab w:val="right" w:pos="10080"/>
        </w:tabs>
        <w:spacing w:line="120" w:lineRule="atLeast"/>
        <w:jc w:val="center"/>
      </w:pPr>
    </w:p>
    <w:p w:rsidR="00234E2C" w:rsidRPr="00234E2C" w:rsidRDefault="00234E2C" w:rsidP="00234E2C">
      <w:pPr>
        <w:rPr>
          <w:lang w:val="es-SV"/>
        </w:rPr>
      </w:pPr>
    </w:p>
    <w:p w:rsidR="00234E2C" w:rsidRPr="00234E2C" w:rsidRDefault="00234E2C" w:rsidP="00234E2C">
      <w:pPr>
        <w:rPr>
          <w:lang w:val="es-SV"/>
        </w:rPr>
      </w:pPr>
    </w:p>
    <w:p w:rsidR="00234E2C" w:rsidRDefault="00234E2C" w:rsidP="00234E2C">
      <w:pPr>
        <w:rPr>
          <w:lang w:val="es-SV"/>
        </w:rPr>
      </w:pPr>
    </w:p>
    <w:p w:rsidR="00234E2C" w:rsidRDefault="00234E2C" w:rsidP="00234E2C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234E2C" w:rsidRDefault="00234E2C" w:rsidP="00234E2C">
      <w:pPr>
        <w:tabs>
          <w:tab w:val="left" w:pos="1170"/>
        </w:tabs>
        <w:rPr>
          <w:lang w:val="es-SV"/>
        </w:rPr>
      </w:pPr>
    </w:p>
    <w:p w:rsidR="004B5189" w:rsidRPr="00234E2C" w:rsidRDefault="004B5189" w:rsidP="00234E2C">
      <w:pPr>
        <w:tabs>
          <w:tab w:val="left" w:pos="930"/>
        </w:tabs>
        <w:rPr>
          <w:lang w:val="es-SV"/>
        </w:rPr>
      </w:pPr>
      <w:bookmarkStart w:id="0" w:name="_GoBack"/>
      <w:bookmarkEnd w:id="0"/>
    </w:p>
    <w:sectPr w:rsidR="004B5189" w:rsidRPr="00234E2C" w:rsidSect="00891B4D">
      <w:pgSz w:w="12240" w:h="15840"/>
      <w:pgMar w:top="709" w:right="1077" w:bottom="144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F6" w:rsidRDefault="00237EF6" w:rsidP="00C55328">
      <w:pPr>
        <w:spacing w:after="0" w:line="240" w:lineRule="auto"/>
      </w:pPr>
      <w:r>
        <w:separator/>
      </w:r>
    </w:p>
  </w:endnote>
  <w:endnote w:type="continuationSeparator" w:id="0">
    <w:p w:rsidR="00237EF6" w:rsidRDefault="00237EF6" w:rsidP="00C55328">
      <w:pPr>
        <w:spacing w:after="0" w:line="240" w:lineRule="auto"/>
      </w:pPr>
      <w:r>
        <w:continuationSeparator/>
      </w:r>
    </w:p>
  </w:endnote>
  <w:endnote w:type="continuationNotice" w:id="1">
    <w:p w:rsidR="00237EF6" w:rsidRDefault="00237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F6" w:rsidRDefault="00237EF6" w:rsidP="00C55328">
      <w:pPr>
        <w:spacing w:after="0" w:line="240" w:lineRule="auto"/>
      </w:pPr>
      <w:r>
        <w:separator/>
      </w:r>
    </w:p>
  </w:footnote>
  <w:footnote w:type="continuationSeparator" w:id="0">
    <w:p w:rsidR="00237EF6" w:rsidRDefault="00237EF6" w:rsidP="00C55328">
      <w:pPr>
        <w:spacing w:after="0" w:line="240" w:lineRule="auto"/>
      </w:pPr>
      <w:r>
        <w:continuationSeparator/>
      </w:r>
    </w:p>
  </w:footnote>
  <w:footnote w:type="continuationNotice" w:id="1">
    <w:p w:rsidR="00237EF6" w:rsidRDefault="00237E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5C1023"/>
    <w:multiLevelType w:val="hybridMultilevel"/>
    <w:tmpl w:val="09A8F09E"/>
    <w:lvl w:ilvl="0" w:tplc="40DC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86705E"/>
    <w:multiLevelType w:val="hybridMultilevel"/>
    <w:tmpl w:val="B940767E"/>
    <w:lvl w:ilvl="0" w:tplc="D2C096B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56934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038C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977DF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F11B3"/>
    <w:rsid w:val="001F352D"/>
    <w:rsid w:val="001F67C3"/>
    <w:rsid w:val="00200DC3"/>
    <w:rsid w:val="00213ED2"/>
    <w:rsid w:val="0023131A"/>
    <w:rsid w:val="00234E2C"/>
    <w:rsid w:val="00237EF6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531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6D"/>
    <w:rsid w:val="003A6BF5"/>
    <w:rsid w:val="003A742C"/>
    <w:rsid w:val="003B048F"/>
    <w:rsid w:val="003B6DD4"/>
    <w:rsid w:val="003B6FB3"/>
    <w:rsid w:val="003C25B7"/>
    <w:rsid w:val="003E2024"/>
    <w:rsid w:val="003E2210"/>
    <w:rsid w:val="003E7A52"/>
    <w:rsid w:val="003F2531"/>
    <w:rsid w:val="00402EB0"/>
    <w:rsid w:val="00404C1C"/>
    <w:rsid w:val="004253C5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02E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11C6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7DB8"/>
    <w:rsid w:val="005F046B"/>
    <w:rsid w:val="005F3973"/>
    <w:rsid w:val="00607C34"/>
    <w:rsid w:val="0061016E"/>
    <w:rsid w:val="00616EF2"/>
    <w:rsid w:val="006234AB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064D"/>
    <w:rsid w:val="007F1B7C"/>
    <w:rsid w:val="007F7AF3"/>
    <w:rsid w:val="00803656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4586C"/>
    <w:rsid w:val="0086194B"/>
    <w:rsid w:val="00885EB0"/>
    <w:rsid w:val="00891B4D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57D72"/>
    <w:rsid w:val="00A6509A"/>
    <w:rsid w:val="00A65720"/>
    <w:rsid w:val="00A72FD6"/>
    <w:rsid w:val="00A81140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8682B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2018-04-06T20:51:00Z</cp:lastPrinted>
  <dcterms:created xsi:type="dcterms:W3CDTF">2018-05-03T15:23:00Z</dcterms:created>
  <dcterms:modified xsi:type="dcterms:W3CDTF">2018-05-03T15:24:00Z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