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93484884"/>
        <w:docPartObj>
          <w:docPartGallery w:val="Cover Pages"/>
          <w:docPartUnique/>
        </w:docPartObj>
      </w:sdtPr>
      <w:sdtEndPr>
        <w:rPr>
          <w:noProof/>
        </w:rPr>
      </w:sdtEndPr>
      <w:sdtContent>
        <w:p w:rsidR="000866CF" w:rsidRDefault="002D1897">
          <w:r>
            <w:rPr>
              <w:noProof/>
            </w:rPr>
            <mc:AlternateContent>
              <mc:Choice Requires="wpg">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6864350" cy="9123045"/>
                    <wp:effectExtent l="0" t="0" r="21590" b="635"/>
                    <wp:wrapNone/>
                    <wp:docPr id="193" name="Grupo 193"/>
                    <wp:cNvGraphicFramePr/>
                    <a:graphic xmlns:a="http://schemas.openxmlformats.org/drawingml/2006/main">
                      <a:graphicData uri="http://schemas.microsoft.com/office/word/2010/wordprocessingGroup">
                        <wpg:wgp>
                          <wpg:cNvGrpSpPr/>
                          <wpg:grpSpPr>
                            <a:xfrm>
                              <a:off x="0" y="0"/>
                              <a:ext cx="6864350" cy="9123045"/>
                              <a:chOff x="0" y="0"/>
                              <a:chExt cx="6864824" cy="9123528"/>
                            </a:xfrm>
                            <a:solidFill>
                              <a:schemeClr val="accent1">
                                <a:lumMod val="75000"/>
                              </a:schemeClr>
                            </a:solidFill>
                          </wpg:grpSpPr>
                          <wps:wsp>
                            <wps:cNvPr id="194" name="Rectángulo 194"/>
                            <wps:cNvSpPr/>
                            <wps:spPr>
                              <a:xfrm>
                                <a:off x="0" y="0"/>
                                <a:ext cx="6858000" cy="1371600"/>
                              </a:xfrm>
                              <a:prstGeom prst="rect">
                                <a:avLst/>
                              </a:prstGeom>
                              <a:grp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66CF" w:rsidRDefault="000866CF">
                                  <w:pPr>
                                    <w:pStyle w:val="Sinespaciado"/>
                                    <w:spacing w:before="120"/>
                                    <w:jc w:val="center"/>
                                    <w:rPr>
                                      <w:color w:val="FFFFFF" w:themeColor="background1"/>
                                    </w:rPr>
                                  </w:pPr>
                                </w:p>
                                <w:p w:rsidR="000866CF" w:rsidRPr="000866CF" w:rsidRDefault="000866CF" w:rsidP="000866CF">
                                  <w:pPr>
                                    <w:pStyle w:val="Sinespaciado"/>
                                    <w:spacing w:before="120"/>
                                    <w:jc w:val="center"/>
                                    <w:rPr>
                                      <w:b/>
                                      <w:color w:val="FFFFFF" w:themeColor="background1"/>
                                      <w:sz w:val="24"/>
                                    </w:rPr>
                                  </w:pPr>
                                  <w:r w:rsidRPr="000866CF">
                                    <w:rPr>
                                      <w:b/>
                                      <w:color w:val="FFFFFF" w:themeColor="background1"/>
                                      <w:sz w:val="24"/>
                                    </w:rPr>
                                    <w:t xml:space="preserve">San Salvador, </w:t>
                                  </w:r>
                                  <w:sdt>
                                    <w:sdtPr>
                                      <w:rPr>
                                        <w:b/>
                                        <w:color w:val="FFFFFF" w:themeColor="background1"/>
                                        <w:sz w:val="24"/>
                                      </w:rPr>
                                      <w:alias w:val="Dirección"/>
                                      <w:tag w:val=""/>
                                      <w:id w:val="-253358678"/>
                                      <w:dataBinding w:prefixMappings="xmlns:ns0='http://schemas.microsoft.com/office/2006/coverPageProps' " w:xpath="/ns0:CoverPageProperties[1]/ns0:CompanyAddress[1]" w:storeItemID="{55AF091B-3C7A-41E3-B477-F2FDAA23CFDA}"/>
                                      <w:text/>
                                    </w:sdtPr>
                                    <w:sdtEndPr/>
                                    <w:sdtContent>
                                      <w:r w:rsidRPr="000866CF">
                                        <w:rPr>
                                          <w:b/>
                                          <w:color w:val="FFFFFF" w:themeColor="background1"/>
                                          <w:sz w:val="24"/>
                                        </w:rPr>
                                        <w:t xml:space="preserve">El Salvador, Centroamérica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824" y="1371600"/>
                                <a:ext cx="6858000" cy="2722728"/>
                              </a:xfrm>
                              <a:prstGeom prst="rect">
                                <a:avLst/>
                              </a:prstGeom>
                              <a:solidFill>
                                <a:schemeClr val="accent5">
                                  <a:lumMod val="40000"/>
                                  <a:lumOff val="60000"/>
                                </a:schemeClr>
                              </a:solidFill>
                              <a:ln w="6350">
                                <a:solidFill>
                                  <a:schemeClr val="tx1">
                                    <a:lumMod val="95000"/>
                                    <a:lumOff val="5000"/>
                                  </a:schemeClr>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b/>
                                      <w:caps/>
                                      <w:color w:val="000000" w:themeColor="text1"/>
                                      <w:sz w:val="72"/>
                                      <w:szCs w:val="72"/>
                                    </w:rPr>
                                    <w:alias w:val="Título"/>
                                    <w:tag w:val=""/>
                                    <w:id w:val="-9991715"/>
                                    <w:showingPlcHdr/>
                                    <w:dataBinding w:prefixMappings="xmlns:ns0='http://purl.org/dc/elements/1.1/' xmlns:ns1='http://schemas.openxmlformats.org/package/2006/metadata/core-properties' " w:xpath="/ns1:coreProperties[1]/ns0:title[1]" w:storeItemID="{6C3C8BC8-F283-45AE-878A-BAB7291924A1}"/>
                                    <w:text/>
                                  </w:sdtPr>
                                  <w:sdtEndPr/>
                                  <w:sdtContent>
                                    <w:p w:rsidR="000866CF" w:rsidRPr="000866CF" w:rsidRDefault="002D1897" w:rsidP="002D1897">
                                      <w:pPr>
                                        <w:pStyle w:val="Sinespaciado"/>
                                        <w:rPr>
                                          <w:rFonts w:ascii="Arial" w:eastAsiaTheme="majorEastAsia" w:hAnsi="Arial" w:cs="Arial"/>
                                          <w:b/>
                                          <w:caps/>
                                          <w:color w:val="000000" w:themeColor="text1"/>
                                          <w:sz w:val="72"/>
                                          <w:szCs w:val="72"/>
                                        </w:rPr>
                                      </w:pPr>
                                      <w:r>
                                        <w:rPr>
                                          <w:rFonts w:ascii="Arial" w:eastAsiaTheme="majorEastAsia" w:hAnsi="Arial" w:cs="Arial"/>
                                          <w:b/>
                                          <w:caps/>
                                          <w:color w:val="000000" w:themeColor="text1"/>
                                          <w:sz w:val="72"/>
                                          <w:szCs w:val="72"/>
                                        </w:rPr>
                                        <w:t xml:space="preserve">     </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xmlns:w16se="http://schemas.microsoft.com/office/word/2015/wordml/symex" xmlns:cx1="http://schemas.microsoft.com/office/drawing/2015/9/8/chartex" xmlns:cx="http://schemas.microsoft.com/office/drawing/2014/chartex">
                <w:pict>
                  <v:group id="Grupo 193" o:spid="_x0000_s1026" style="position:absolute;margin-left:0;margin-top:0;width:540.5pt;height:718.35pt;z-index:-251646976;mso-width-percent:882;mso-height-percent:909;mso-position-horizontal:center;mso-position-horizontal-relative:margin;mso-position-vertical:center;mso-position-vertical-relative:margin;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">
                    <v:rect id="Rectángulo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vZB8MA&#10;AADcAAAADwAAAGRycy9kb3ducmV2LnhtbERPTWsCMRC9F/wPYQrearYita5GUUFolR6qhXocNtPN&#10;1s1kSdJ1/fdGEHqbx/uc2aKztWjJh8qxgudBBoK4cLriUsHXYfP0CiJEZI21Y1JwoQCLee9hhrl2&#10;Z/6kdh9LkUI45KjAxNjkUobCkMUwcA1x4n6ctxgT9KXUHs8p3NZymGUv0mLFqcFgQ2tDxWn/ZxXs&#10;Juv35cptP8zl+zi2PjtsqvZXqf5jt5yCiNTFf/Hd/abT/MkIbs+k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vZB8MAAADcAAAADwAAAAAAAAAAAAAAAACYAgAAZHJzL2Rv&#10;d25yZXYueG1sUEsFBgAAAAAEAAQA9QAAAIgDAAAAAA==&#10;" filled="f" strokecolor="#0d0d0d [3069]" strokeweight="1pt"/>
                    <v:rect id="Rectángulo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v5MQA&#10;AADcAAAADwAAAGRycy9kb3ducmV2LnhtbESPwW7CMBBE70j9B2sr9QYOUVuVgINQJSoq9QLlA5Z4&#10;SQz2OsQmpH9fV6rEbVcz83Z2sRycFT11wXhWMJ1kIIgrrw3XCvbf6/EbiBCRNVrPpOCHAizLh9EC&#10;C+1vvKV+F2uRIBwKVNDE2BZShqohh2HiW+KkHX3nMKa1q6Xu8Jbgzso8y16lQ8PpQoMtvTdUnXdX&#10;lyimZXu65NGa9fP28/qVHzb4odTT47Cag4g0xLv5P73Rqf7sBf6eSRP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lb+TEAAAA3AAAAA8AAAAAAAAAAAAAAAAAmAIAAGRycy9k&#10;b3ducmV2LnhtbFBLBQYAAAAABAAEAPUAAACJAwAAAAA=&#10;" filled="f" stroked="f" strokeweight="1pt">
                      <v:textbox inset="36pt,57.6pt,36pt,36pt">
                        <w:txbxContent>
                          <w:p w:rsidR="000866CF" w:rsidRDefault="000866CF">
                            <w:pPr>
                              <w:pStyle w:val="Sinespaciado"/>
                              <w:spacing w:before="120"/>
                              <w:jc w:val="center"/>
                              <w:rPr>
                                <w:color w:val="FFFFFF" w:themeColor="background1"/>
                              </w:rPr>
                            </w:pPr>
                          </w:p>
                          <w:p w:rsidR="000866CF" w:rsidRPr="000866CF" w:rsidRDefault="000866CF" w:rsidP="000866CF">
                            <w:pPr>
                              <w:pStyle w:val="Sinespaciado"/>
                              <w:spacing w:before="120"/>
                              <w:jc w:val="center"/>
                              <w:rPr>
                                <w:b/>
                                <w:color w:val="FFFFFF" w:themeColor="background1"/>
                                <w:sz w:val="24"/>
                              </w:rPr>
                            </w:pPr>
                            <w:r w:rsidRPr="000866CF">
                              <w:rPr>
                                <w:b/>
                                <w:color w:val="FFFFFF" w:themeColor="background1"/>
                                <w:sz w:val="24"/>
                              </w:rPr>
                              <w:t xml:space="preserve">San Salvador, </w:t>
                            </w:r>
                            <w:sdt>
                              <w:sdtPr>
                                <w:rPr>
                                  <w:b/>
                                  <w:color w:val="FFFFFF" w:themeColor="background1"/>
                                  <w:sz w:val="24"/>
                                </w:rPr>
                                <w:alias w:val="Dirección"/>
                                <w:tag w:val=""/>
                                <w:id w:val="-253358678"/>
                                <w:dataBinding w:prefixMappings="xmlns:ns0='http://schemas.microsoft.com/office/2006/coverPageProps' " w:xpath="/ns0:CoverPageProperties[1]/ns0:CompanyAddress[1]" w:storeItemID="{55AF091B-3C7A-41E3-B477-F2FDAA23CFDA}"/>
                                <w:text/>
                              </w:sdtPr>
                              <w:sdtContent>
                                <w:r w:rsidRPr="000866CF">
                                  <w:rPr>
                                    <w:b/>
                                    <w:color w:val="FFFFFF" w:themeColor="background1"/>
                                    <w:sz w:val="24"/>
                                  </w:rPr>
                                  <w:t xml:space="preserve">El Salvador, Centroamérica </w:t>
                                </w:r>
                              </w:sdtContent>
                            </w:sdt>
                          </w:p>
                        </w:txbxContent>
                      </v:textbox>
                    </v:rect>
                    <v:shapetype id="_x0000_t202" coordsize="21600,21600" o:spt="202" path="m,l,21600r21600,l21600,xe">
                      <v:stroke joinstyle="miter"/>
                      <v:path gradientshapeok="t" o:connecttype="rect"/>
                    </v:shapetype>
                    <v:shape id="Cuadro de texto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fLTsMA&#10;AADcAAAADwAAAGRycy9kb3ducmV2LnhtbESP0YrCMBBF3wX/IcyCb5quD+J2TcUVFgVB1uoHDM3Y&#10;liaT0mRr/XsjCL7NcO/ce2a1HqwRPXW+dqzgc5aAIC6crrlUcDn/TpcgfEDWaByTgjt5WGfj0QpT&#10;7W58oj4PpYgh7FNUUIXQplL6oiKLfuZa4qhdXWcxxLUrpe7wFsOtkfMkWUiLNceGClvaVlQ0+b9V&#10;cD6Yg+mbP3faHP31Zz7sbB/x1ORj2HyDCDSEt/l1vdcR/2sBz2fiBDJ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fLTsMAAADcAAAADwAAAAAAAAAAAAAAAACYAgAAZHJzL2Rv&#10;d25yZXYueG1sUEsFBgAAAAAEAAQA9QAAAIgDAAAAAA==&#10;" fillcolor="#b4c6e7 [1304]" strokecolor="#0d0d0d [3069]" strokeweight=".5pt">
                      <v:textbox inset="36pt,7.2pt,36pt,7.2pt">
                        <w:txbxContent>
                          <w:sdt>
                            <w:sdtPr>
                              <w:rPr>
                                <w:rFonts w:ascii="Arial" w:eastAsiaTheme="majorEastAsia" w:hAnsi="Arial" w:cs="Arial"/>
                                <w:b/>
                                <w:caps/>
                                <w:color w:val="000000" w:themeColor="text1"/>
                                <w:sz w:val="72"/>
                                <w:szCs w:val="72"/>
                              </w:rPr>
                              <w:alias w:val="Título"/>
                              <w:tag w:val=""/>
                              <w:id w:val="-9991715"/>
                              <w:showingPlcHdr/>
                              <w:dataBinding w:prefixMappings="xmlns:ns0='http://purl.org/dc/elements/1.1/' xmlns:ns1='http://schemas.openxmlformats.org/package/2006/metadata/core-properties' " w:xpath="/ns1:coreProperties[1]/ns0:title[1]" w:storeItemID="{6C3C8BC8-F283-45AE-878A-BAB7291924A1}"/>
                              <w:text/>
                            </w:sdtPr>
                            <w:sdtContent>
                              <w:p w:rsidR="000866CF" w:rsidRPr="000866CF" w:rsidRDefault="002D1897" w:rsidP="002D1897">
                                <w:pPr>
                                  <w:pStyle w:val="Sinespaciado"/>
                                  <w:rPr>
                                    <w:rFonts w:ascii="Arial" w:eastAsiaTheme="majorEastAsia" w:hAnsi="Arial" w:cs="Arial"/>
                                    <w:b/>
                                    <w:caps/>
                                    <w:color w:val="000000" w:themeColor="text1"/>
                                    <w:sz w:val="72"/>
                                    <w:szCs w:val="72"/>
                                  </w:rPr>
                                </w:pPr>
                                <w:r>
                                  <w:rPr>
                                    <w:rFonts w:ascii="Arial" w:eastAsiaTheme="majorEastAsia" w:hAnsi="Arial" w:cs="Arial"/>
                                    <w:b/>
                                    <w:caps/>
                                    <w:color w:val="000000" w:themeColor="text1"/>
                                    <w:sz w:val="72"/>
                                    <w:szCs w:val="72"/>
                                  </w:rPr>
                                  <w:t xml:space="preserve">     </w:t>
                                </w:r>
                              </w:p>
                            </w:sdtContent>
                          </w:sdt>
                        </w:txbxContent>
                      </v:textbox>
                    </v:shape>
                    <w10:wrap anchorx="margin" anchory="margin"/>
                  </v:group>
                </w:pict>
              </mc:Fallback>
            </mc:AlternateContent>
          </w:r>
          <w:r w:rsidRPr="002D1897">
            <w:rPr>
              <w:noProof/>
            </w:rPr>
            <w:t xml:space="preserve"> </w:t>
          </w:r>
        </w:p>
        <w:p w:rsidR="00AC6586" w:rsidRDefault="002D1897" w:rsidP="00EB3333">
          <w:pPr>
            <w:spacing w:after="160" w:line="259" w:lineRule="auto"/>
            <w:rPr>
              <w:noProof/>
            </w:rPr>
          </w:pPr>
          <w:r>
            <w:rPr>
              <w:noProof/>
            </w:rPr>
            <mc:AlternateContent>
              <mc:Choice Requires="wps">
                <w:drawing>
                  <wp:anchor distT="0" distB="0" distL="114300" distR="114300" simplePos="0" relativeHeight="251671552" behindDoc="0" locked="0" layoutInCell="1" allowOverlap="1">
                    <wp:simplePos x="0" y="0"/>
                    <wp:positionH relativeFrom="margin">
                      <wp:posOffset>1361607</wp:posOffset>
                    </wp:positionH>
                    <wp:positionV relativeFrom="paragraph">
                      <wp:posOffset>5540843</wp:posOffset>
                    </wp:positionV>
                    <wp:extent cx="3994484" cy="529389"/>
                    <wp:effectExtent l="0" t="0" r="0" b="4445"/>
                    <wp:wrapNone/>
                    <wp:docPr id="11" name="Cuadro de texto 11"/>
                    <wp:cNvGraphicFramePr/>
                    <a:graphic xmlns:a="http://schemas.openxmlformats.org/drawingml/2006/main">
                      <a:graphicData uri="http://schemas.microsoft.com/office/word/2010/wordprocessingShape">
                        <wps:wsp>
                          <wps:cNvSpPr txBox="1"/>
                          <wps:spPr>
                            <a:xfrm>
                              <a:off x="0" y="0"/>
                              <a:ext cx="3994484" cy="529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66CF" w:rsidRPr="000866CF" w:rsidRDefault="000866CF" w:rsidP="000866CF">
                                <w:pPr>
                                  <w:pStyle w:val="Encabezado"/>
                                  <w:rPr>
                                    <w:rFonts w:ascii="Arial Rounded MT Bold" w:hAnsi="Arial Rounded MT Bold" w:cs="Aharoni"/>
                                    <w:sz w:val="48"/>
                                  </w:rPr>
                                </w:pPr>
                                <w:r w:rsidRPr="000866CF">
                                  <w:rPr>
                                    <w:rFonts w:ascii="Arial Rounded MT Bold" w:hAnsi="Arial Rounded MT Bold" w:cs="Aharoni"/>
                                    <w:sz w:val="48"/>
                                  </w:rPr>
                                  <w:t>Ministerio de Tur</w:t>
                                </w:r>
                                <w:r w:rsidRPr="000866CF">
                                  <w:rPr>
                                    <w:rFonts w:ascii="Arial Rounded MT Bold" w:hAnsi="Arial Rounded MT Bold" w:cs="Aharoni"/>
                                  </w:rPr>
                                  <w:t xml:space="preserve"> </w:t>
                                </w:r>
                                <w:r w:rsidRPr="000866CF">
                                  <w:rPr>
                                    <w:rFonts w:ascii="Arial Rounded MT Bold" w:hAnsi="Arial Rounded MT Bold" w:cs="Aharoni"/>
                                    <w:sz w:val="48"/>
                                  </w:rPr>
                                  <w:t>ismo</w:t>
                                </w:r>
                              </w:p>
                              <w:p w:rsidR="000866CF" w:rsidRDefault="000866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Cuadro de texto 11" o:spid="_x0000_s1030" type="#_x0000_t202" style="position:absolute;margin-left:107.2pt;margin-top:436.3pt;width:314.55pt;height:41.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" filled="f" stroked="f" strokeweight=".5pt">
                    <v:textbox>
                      <w:txbxContent>
                        <w:p w:rsidR="000866CF" w:rsidRPr="000866CF" w:rsidRDefault="000866CF" w:rsidP="000866CF">
                          <w:pPr>
                            <w:pStyle w:val="Encabezado"/>
                            <w:rPr>
                              <w:rFonts w:ascii="Arial Rounded MT Bold" w:hAnsi="Arial Rounded MT Bold" w:cs="Aharoni"/>
                              <w:sz w:val="48"/>
                            </w:rPr>
                          </w:pPr>
                          <w:r w:rsidRPr="000866CF">
                            <w:rPr>
                              <w:rFonts w:ascii="Arial Rounded MT Bold" w:hAnsi="Arial Rounded MT Bold" w:cs="Aharoni"/>
                              <w:sz w:val="48"/>
                            </w:rPr>
                            <w:t>Ministerio de Tur</w:t>
                          </w:r>
                          <w:r w:rsidRPr="000866CF">
                            <w:rPr>
                              <w:rFonts w:ascii="Arial Rounded MT Bold" w:hAnsi="Arial Rounded MT Bold" w:cs="Aharoni"/>
                            </w:rPr>
                            <w:t xml:space="preserve"> </w:t>
                          </w:r>
                          <w:r w:rsidRPr="000866CF">
                            <w:rPr>
                              <w:rFonts w:ascii="Arial Rounded MT Bold" w:hAnsi="Arial Rounded MT Bold" w:cs="Aharoni"/>
                              <w:sz w:val="48"/>
                            </w:rPr>
                            <w:t>ismo</w:t>
                          </w:r>
                        </w:p>
                        <w:p w:rsidR="000866CF" w:rsidRDefault="000866CF"/>
                      </w:txbxContent>
                    </v:textbox>
                    <w10:wrap anchorx="margin"/>
                  </v:shape>
                </w:pict>
              </mc:Fallback>
            </mc:AlternateContent>
          </w:r>
          <w:r>
            <w:rPr>
              <w:noProof/>
            </w:rPr>
            <w:drawing>
              <wp:anchor distT="0" distB="0" distL="114300" distR="114300" simplePos="0" relativeHeight="251670528" behindDoc="0" locked="0" layoutInCell="1" allowOverlap="1">
                <wp:simplePos x="0" y="0"/>
                <wp:positionH relativeFrom="margin">
                  <wp:posOffset>880912</wp:posOffset>
                </wp:positionH>
                <wp:positionV relativeFrom="paragraph">
                  <wp:posOffset>2552198</wp:posOffset>
                </wp:positionV>
                <wp:extent cx="4507562" cy="2691240"/>
                <wp:effectExtent l="76200" t="76200" r="140970" b="128270"/>
                <wp:wrapNone/>
                <wp:docPr id="4" name="Imagen 4" descr="No hay texto alternativo automátic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hay texto alternativo automático disponible."/>
                        <pic:cNvPicPr>
                          <a:picLocks noChangeAspect="1" noChangeArrowheads="1"/>
                        </pic:cNvPicPr>
                      </pic:nvPicPr>
                      <pic:blipFill rotWithShape="1">
                        <a:blip r:embed="rId8">
                          <a:extLst>
                            <a:ext uri="{28A0092B-C50C-407E-A947-70E740481C1C}">
                              <a14:useLocalDpi xmlns:a14="http://schemas.microsoft.com/office/drawing/2010/main" val="0"/>
                            </a:ext>
                          </a:extLst>
                        </a:blip>
                        <a:srcRect t="22585" b="17710"/>
                        <a:stretch/>
                      </pic:blipFill>
                      <pic:spPr bwMode="auto">
                        <a:xfrm>
                          <a:off x="0" y="0"/>
                          <a:ext cx="4507562" cy="26912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2576" behindDoc="0" locked="0" layoutInCell="1" allowOverlap="1">
                    <wp:simplePos x="0" y="0"/>
                    <wp:positionH relativeFrom="margin">
                      <wp:posOffset>449112</wp:posOffset>
                    </wp:positionH>
                    <wp:positionV relativeFrom="paragraph">
                      <wp:posOffset>1195070</wp:posOffset>
                    </wp:positionV>
                    <wp:extent cx="5374105" cy="1235242"/>
                    <wp:effectExtent l="0" t="0" r="0" b="3175"/>
                    <wp:wrapNone/>
                    <wp:docPr id="14" name="Cuadro de texto 14"/>
                    <wp:cNvGraphicFramePr/>
                    <a:graphic xmlns:a="http://schemas.openxmlformats.org/drawingml/2006/main">
                      <a:graphicData uri="http://schemas.microsoft.com/office/word/2010/wordprocessingShape">
                        <wps:wsp>
                          <wps:cNvSpPr txBox="1"/>
                          <wps:spPr>
                            <a:xfrm>
                              <a:off x="0" y="0"/>
                              <a:ext cx="5374105" cy="1235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1897" w:rsidRPr="002D1897" w:rsidRDefault="002D1897" w:rsidP="002D1897">
                                <w:pPr>
                                  <w:jc w:val="center"/>
                                  <w:rPr>
                                    <w:b/>
                                    <w:sz w:val="72"/>
                                  </w:rPr>
                                </w:pPr>
                                <w:r w:rsidRPr="002D1897">
                                  <w:rPr>
                                    <w:b/>
                                    <w:sz w:val="72"/>
                                  </w:rPr>
                                  <w:t xml:space="preserve">GUÍA DE ORGANIZACIÓN </w:t>
                                </w:r>
                              </w:p>
                              <w:p w:rsidR="002D1897" w:rsidRPr="002D1897" w:rsidRDefault="002D1897" w:rsidP="002D1897">
                                <w:pPr>
                                  <w:jc w:val="center"/>
                                  <w:rPr>
                                    <w:b/>
                                    <w:sz w:val="72"/>
                                  </w:rPr>
                                </w:pPr>
                                <w:r w:rsidRPr="002D1897">
                                  <w:rPr>
                                    <w:b/>
                                    <w:sz w:val="72"/>
                                  </w:rPr>
                                  <w:t>DE ARCHIVO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Cuadro de texto 14" o:spid="_x0000_s1031" type="#_x0000_t202" style="position:absolute;margin-left:35.35pt;margin-top:94.1pt;width:423.15pt;height:9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" filled="f" stroked="f" strokeweight=".5pt">
                    <v:textbox>
                      <w:txbxContent>
                        <w:p w:rsidR="002D1897" w:rsidRPr="002D1897" w:rsidRDefault="002D1897" w:rsidP="002D1897">
                          <w:pPr>
                            <w:jc w:val="center"/>
                            <w:rPr>
                              <w:b/>
                              <w:sz w:val="72"/>
                            </w:rPr>
                          </w:pPr>
                          <w:r w:rsidRPr="002D1897">
                            <w:rPr>
                              <w:b/>
                              <w:sz w:val="72"/>
                            </w:rPr>
                            <w:t xml:space="preserve">GUÍA DE ORGANIZACIÓN </w:t>
                          </w:r>
                        </w:p>
                        <w:p w:rsidR="002D1897" w:rsidRPr="002D1897" w:rsidRDefault="002D1897" w:rsidP="002D1897">
                          <w:pPr>
                            <w:jc w:val="center"/>
                            <w:rPr>
                              <w:b/>
                              <w:sz w:val="72"/>
                            </w:rPr>
                          </w:pPr>
                          <w:r w:rsidRPr="002D1897">
                            <w:rPr>
                              <w:b/>
                              <w:sz w:val="72"/>
                            </w:rPr>
                            <w:t>DE ARCHIVO</w:t>
                          </w:r>
                        </w:p>
                      </w:txbxContent>
                    </v:textbox>
                    <w10:wrap anchorx="margin"/>
                  </v:shape>
                </w:pict>
              </mc:Fallback>
            </mc:AlternateContent>
          </w:r>
          <w:r w:rsidR="000866CF">
            <w:rPr>
              <w:noProof/>
            </w:rPr>
            <w:br w:type="page"/>
          </w:r>
        </w:p>
      </w:sdtContent>
    </w:sdt>
    <w:tbl>
      <w:tblPr>
        <w:tblStyle w:val="TableGrid"/>
        <w:tblpPr w:leftFromText="141" w:rightFromText="141" w:vertAnchor="page" w:horzAnchor="margin" w:tblpY="1673"/>
        <w:tblW w:w="9053" w:type="dxa"/>
        <w:tblInd w:w="0" w:type="dxa"/>
        <w:tblCellMar>
          <w:left w:w="107" w:type="dxa"/>
          <w:right w:w="45" w:type="dxa"/>
        </w:tblCellMar>
        <w:tblLook w:val="04A0" w:firstRow="1" w:lastRow="0" w:firstColumn="1" w:lastColumn="0" w:noHBand="0" w:noVBand="1"/>
      </w:tblPr>
      <w:tblGrid>
        <w:gridCol w:w="2206"/>
        <w:gridCol w:w="6847"/>
      </w:tblGrid>
      <w:tr w:rsidR="002D1897" w:rsidTr="005B1073">
        <w:trPr>
          <w:trHeight w:val="400"/>
        </w:trPr>
        <w:tc>
          <w:tcPr>
            <w:tcW w:w="9053" w:type="dxa"/>
            <w:gridSpan w:val="2"/>
            <w:tcBorders>
              <w:top w:val="single" w:sz="4" w:space="0" w:color="000000"/>
              <w:left w:val="single" w:sz="4" w:space="0" w:color="000000"/>
              <w:bottom w:val="single" w:sz="4" w:space="0" w:color="000000"/>
              <w:right w:val="single" w:sz="4" w:space="0" w:color="000000"/>
            </w:tcBorders>
            <w:shd w:val="clear" w:color="auto" w:fill="5B9BD5" w:themeFill="accent1"/>
          </w:tcPr>
          <w:p w:rsidR="002D1897" w:rsidRDefault="002D1897" w:rsidP="005B1073">
            <w:pPr>
              <w:jc w:val="center"/>
            </w:pPr>
            <w:r>
              <w:rPr>
                <w:b/>
                <w:sz w:val="32"/>
              </w:rPr>
              <w:lastRenderedPageBreak/>
              <w:t xml:space="preserve">Unidad de Gestión Documental y Archivos MITUR </w:t>
            </w:r>
          </w:p>
        </w:tc>
      </w:tr>
      <w:tr w:rsidR="002D1897" w:rsidTr="005B1073">
        <w:trPr>
          <w:trHeight w:val="276"/>
        </w:trPr>
        <w:tc>
          <w:tcPr>
            <w:tcW w:w="9053" w:type="dxa"/>
            <w:gridSpan w:val="2"/>
            <w:tcBorders>
              <w:top w:val="single" w:sz="4" w:space="0" w:color="000000"/>
              <w:left w:val="single" w:sz="4" w:space="0" w:color="000000"/>
              <w:bottom w:val="single" w:sz="4" w:space="0" w:color="000000"/>
              <w:right w:val="single" w:sz="4" w:space="0" w:color="000000"/>
            </w:tcBorders>
            <w:shd w:val="clear" w:color="auto" w:fill="5B9BD5" w:themeFill="accent1"/>
          </w:tcPr>
          <w:p w:rsidR="002D1897" w:rsidRDefault="002D1897" w:rsidP="005B1073">
            <w:pPr>
              <w:ind w:left="360"/>
            </w:pPr>
            <w:r>
              <w:rPr>
                <w:b/>
              </w:rPr>
              <w:t>1.</w:t>
            </w:r>
            <w:r>
              <w:rPr>
                <w:rFonts w:ascii="Arial" w:eastAsia="Arial" w:hAnsi="Arial" w:cs="Arial"/>
                <w:b/>
              </w:rPr>
              <w:t xml:space="preserve"> </w:t>
            </w:r>
            <w:r>
              <w:rPr>
                <w:b/>
              </w:rPr>
              <w:t xml:space="preserve">Área de Identificación  </w:t>
            </w:r>
          </w:p>
        </w:tc>
      </w:tr>
      <w:tr w:rsidR="002D1897" w:rsidTr="005B1073">
        <w:trPr>
          <w:trHeight w:val="280"/>
        </w:trPr>
        <w:tc>
          <w:tcPr>
            <w:tcW w:w="2206" w:type="dxa"/>
            <w:tcBorders>
              <w:top w:val="single" w:sz="4" w:space="0" w:color="000000"/>
              <w:left w:val="single" w:sz="4" w:space="0" w:color="000000"/>
              <w:bottom w:val="single" w:sz="4" w:space="0" w:color="000000"/>
              <w:right w:val="single" w:sz="4" w:space="0" w:color="000000"/>
            </w:tcBorders>
            <w:vAlign w:val="center"/>
          </w:tcPr>
          <w:p w:rsidR="002D1897" w:rsidRDefault="002D1897" w:rsidP="005B1073">
            <w:r>
              <w:rPr>
                <w:b/>
              </w:rPr>
              <w:t>1.1 Identificador</w:t>
            </w:r>
          </w:p>
        </w:tc>
        <w:tc>
          <w:tcPr>
            <w:tcW w:w="6847" w:type="dxa"/>
            <w:tcBorders>
              <w:top w:val="single" w:sz="4" w:space="0" w:color="000000"/>
              <w:left w:val="single" w:sz="4" w:space="0" w:color="000000"/>
              <w:bottom w:val="single" w:sz="4" w:space="0" w:color="000000"/>
              <w:right w:val="single" w:sz="4" w:space="0" w:color="000000"/>
            </w:tcBorders>
            <w:vAlign w:val="center"/>
          </w:tcPr>
          <w:p w:rsidR="002D1897" w:rsidRDefault="002D1897" w:rsidP="005B1073">
            <w:pPr>
              <w:ind w:left="1"/>
            </w:pPr>
            <w:r>
              <w:t>UGDA-MITUR</w:t>
            </w:r>
          </w:p>
        </w:tc>
      </w:tr>
      <w:tr w:rsidR="002D1897" w:rsidTr="005B1073">
        <w:trPr>
          <w:trHeight w:val="295"/>
        </w:trPr>
        <w:tc>
          <w:tcPr>
            <w:tcW w:w="2206" w:type="dxa"/>
            <w:tcBorders>
              <w:top w:val="single" w:sz="4" w:space="0" w:color="000000"/>
              <w:left w:val="single" w:sz="4" w:space="0" w:color="000000"/>
              <w:bottom w:val="nil"/>
              <w:right w:val="single" w:sz="4" w:space="0" w:color="000000"/>
            </w:tcBorders>
            <w:vAlign w:val="center"/>
          </w:tcPr>
          <w:p w:rsidR="002D1897" w:rsidRDefault="002D1897" w:rsidP="005B1073">
            <w:r>
              <w:rPr>
                <w:b/>
              </w:rPr>
              <w:t>1.2 Forma autorizada</w:t>
            </w:r>
          </w:p>
        </w:tc>
        <w:tc>
          <w:tcPr>
            <w:tcW w:w="6847" w:type="dxa"/>
            <w:tcBorders>
              <w:top w:val="single" w:sz="4" w:space="0" w:color="000000"/>
              <w:left w:val="single" w:sz="4" w:space="0" w:color="000000"/>
              <w:bottom w:val="nil"/>
              <w:right w:val="single" w:sz="4" w:space="0" w:color="000000"/>
            </w:tcBorders>
            <w:vAlign w:val="center"/>
          </w:tcPr>
          <w:p w:rsidR="002D1897" w:rsidRDefault="002D1897" w:rsidP="005B1073">
            <w:pPr>
              <w:ind w:left="1"/>
            </w:pPr>
          </w:p>
        </w:tc>
      </w:tr>
      <w:tr w:rsidR="002D1897" w:rsidTr="005B1073">
        <w:trPr>
          <w:trHeight w:val="252"/>
        </w:trPr>
        <w:tc>
          <w:tcPr>
            <w:tcW w:w="2206" w:type="dxa"/>
            <w:tcBorders>
              <w:top w:val="nil"/>
              <w:left w:val="single" w:sz="4" w:space="0" w:color="000000"/>
              <w:bottom w:val="single" w:sz="4" w:space="0" w:color="000000"/>
              <w:right w:val="single" w:sz="4" w:space="0" w:color="000000"/>
            </w:tcBorders>
            <w:vAlign w:val="center"/>
          </w:tcPr>
          <w:p w:rsidR="002D1897" w:rsidRDefault="002D1897" w:rsidP="005B1073">
            <w:r>
              <w:rPr>
                <w:b/>
              </w:rPr>
              <w:t>del nombre</w:t>
            </w:r>
          </w:p>
        </w:tc>
        <w:tc>
          <w:tcPr>
            <w:tcW w:w="6847" w:type="dxa"/>
            <w:tcBorders>
              <w:top w:val="nil"/>
              <w:left w:val="single" w:sz="4" w:space="0" w:color="000000"/>
              <w:bottom w:val="single" w:sz="4" w:space="0" w:color="000000"/>
              <w:right w:val="single" w:sz="4" w:space="0" w:color="000000"/>
            </w:tcBorders>
            <w:vAlign w:val="center"/>
          </w:tcPr>
          <w:p w:rsidR="002D1897" w:rsidRDefault="002D1897" w:rsidP="005B1073">
            <w:pPr>
              <w:ind w:left="1"/>
            </w:pPr>
            <w:r>
              <w:t>Unidad de Gestión Documental y Archivos</w:t>
            </w:r>
          </w:p>
        </w:tc>
      </w:tr>
      <w:tr w:rsidR="002D1897" w:rsidTr="005B1073">
        <w:trPr>
          <w:trHeight w:val="547"/>
        </w:trPr>
        <w:tc>
          <w:tcPr>
            <w:tcW w:w="2206" w:type="dxa"/>
            <w:tcBorders>
              <w:top w:val="single" w:sz="4" w:space="0" w:color="000000"/>
              <w:left w:val="single" w:sz="4" w:space="0" w:color="000000"/>
              <w:bottom w:val="single" w:sz="4" w:space="0" w:color="000000"/>
              <w:right w:val="single" w:sz="4" w:space="0" w:color="000000"/>
            </w:tcBorders>
            <w:vAlign w:val="center"/>
          </w:tcPr>
          <w:p w:rsidR="002D1897" w:rsidRDefault="002D1897" w:rsidP="005B1073">
            <w:r>
              <w:rPr>
                <w:b/>
              </w:rPr>
              <w:t>1.3 Forma paralela del nombre</w:t>
            </w:r>
          </w:p>
        </w:tc>
        <w:tc>
          <w:tcPr>
            <w:tcW w:w="6847" w:type="dxa"/>
            <w:tcBorders>
              <w:top w:val="single" w:sz="4" w:space="0" w:color="000000"/>
              <w:left w:val="single" w:sz="4" w:space="0" w:color="000000"/>
              <w:bottom w:val="single" w:sz="4" w:space="0" w:color="000000"/>
              <w:right w:val="single" w:sz="4" w:space="0" w:color="000000"/>
            </w:tcBorders>
            <w:vAlign w:val="center"/>
          </w:tcPr>
          <w:p w:rsidR="002D1897" w:rsidRDefault="002D1897" w:rsidP="005B1073">
            <w:pPr>
              <w:ind w:left="1"/>
            </w:pPr>
            <w:r>
              <w:t>UGDA</w:t>
            </w:r>
          </w:p>
        </w:tc>
      </w:tr>
      <w:tr w:rsidR="002D1897" w:rsidTr="005B1073">
        <w:trPr>
          <w:trHeight w:val="547"/>
        </w:trPr>
        <w:tc>
          <w:tcPr>
            <w:tcW w:w="2206" w:type="dxa"/>
            <w:tcBorders>
              <w:top w:val="single" w:sz="4" w:space="0" w:color="000000"/>
              <w:left w:val="single" w:sz="4" w:space="0" w:color="000000"/>
              <w:bottom w:val="single" w:sz="4" w:space="0" w:color="000000"/>
              <w:right w:val="single" w:sz="4" w:space="0" w:color="000000"/>
            </w:tcBorders>
            <w:vAlign w:val="center"/>
          </w:tcPr>
          <w:p w:rsidR="002D1897" w:rsidRDefault="002D1897" w:rsidP="005B1073">
            <w:r>
              <w:rPr>
                <w:b/>
              </w:rPr>
              <w:t>1.4 Otras Formas del nombre</w:t>
            </w:r>
          </w:p>
        </w:tc>
        <w:tc>
          <w:tcPr>
            <w:tcW w:w="6847" w:type="dxa"/>
            <w:tcBorders>
              <w:top w:val="single" w:sz="4" w:space="0" w:color="000000"/>
              <w:left w:val="single" w:sz="4" w:space="0" w:color="000000"/>
              <w:bottom w:val="single" w:sz="4" w:space="0" w:color="000000"/>
              <w:right w:val="single" w:sz="4" w:space="0" w:color="000000"/>
            </w:tcBorders>
            <w:vAlign w:val="center"/>
          </w:tcPr>
          <w:p w:rsidR="002D1897" w:rsidRDefault="002D1897" w:rsidP="005B1073">
            <w:pPr>
              <w:ind w:left="1"/>
            </w:pPr>
            <w:r>
              <w:t>No posee</w:t>
            </w:r>
          </w:p>
        </w:tc>
      </w:tr>
      <w:tr w:rsidR="002D1897" w:rsidTr="005B1073">
        <w:trPr>
          <w:trHeight w:val="294"/>
        </w:trPr>
        <w:tc>
          <w:tcPr>
            <w:tcW w:w="2206" w:type="dxa"/>
            <w:tcBorders>
              <w:top w:val="single" w:sz="4" w:space="0" w:color="000000"/>
              <w:left w:val="single" w:sz="4" w:space="0" w:color="000000"/>
              <w:bottom w:val="nil"/>
              <w:right w:val="single" w:sz="4" w:space="0" w:color="000000"/>
            </w:tcBorders>
            <w:vAlign w:val="center"/>
          </w:tcPr>
          <w:p w:rsidR="002D1897" w:rsidRDefault="002D1897" w:rsidP="005B1073">
            <w:r>
              <w:rPr>
                <w:b/>
              </w:rPr>
              <w:t>1.5 Tipo de</w:t>
            </w:r>
          </w:p>
        </w:tc>
        <w:tc>
          <w:tcPr>
            <w:tcW w:w="6847" w:type="dxa"/>
            <w:tcBorders>
              <w:top w:val="single" w:sz="4" w:space="0" w:color="000000"/>
              <w:left w:val="single" w:sz="4" w:space="0" w:color="000000"/>
              <w:bottom w:val="nil"/>
              <w:right w:val="single" w:sz="4" w:space="0" w:color="000000"/>
            </w:tcBorders>
            <w:vAlign w:val="center"/>
          </w:tcPr>
          <w:p w:rsidR="002D1897" w:rsidRDefault="002D1897" w:rsidP="005B1073">
            <w:pPr>
              <w:ind w:left="1"/>
            </w:pPr>
          </w:p>
        </w:tc>
      </w:tr>
      <w:tr w:rsidR="002D1897" w:rsidTr="005B1073">
        <w:trPr>
          <w:trHeight w:val="793"/>
        </w:trPr>
        <w:tc>
          <w:tcPr>
            <w:tcW w:w="2206" w:type="dxa"/>
            <w:tcBorders>
              <w:top w:val="nil"/>
              <w:left w:val="single" w:sz="4" w:space="0" w:color="000000"/>
              <w:bottom w:val="single" w:sz="4" w:space="0" w:color="000000"/>
              <w:right w:val="single" w:sz="4" w:space="0" w:color="000000"/>
            </w:tcBorders>
            <w:vAlign w:val="center"/>
          </w:tcPr>
          <w:p w:rsidR="002D1897" w:rsidRDefault="002D1897" w:rsidP="005B1073">
            <w:r>
              <w:rPr>
                <w:b/>
              </w:rPr>
              <w:t>institución que conserva los fondos de archivo</w:t>
            </w:r>
          </w:p>
        </w:tc>
        <w:tc>
          <w:tcPr>
            <w:tcW w:w="6847" w:type="dxa"/>
            <w:tcBorders>
              <w:top w:val="nil"/>
              <w:left w:val="single" w:sz="4" w:space="0" w:color="000000"/>
              <w:bottom w:val="single" w:sz="4" w:space="0" w:color="000000"/>
              <w:right w:val="single" w:sz="4" w:space="0" w:color="000000"/>
            </w:tcBorders>
            <w:vAlign w:val="center"/>
          </w:tcPr>
          <w:p w:rsidR="002D1897" w:rsidRDefault="002D1897" w:rsidP="005B1073">
            <w:pPr>
              <w:ind w:left="1"/>
            </w:pPr>
            <w:r>
              <w:t xml:space="preserve">Ministerio </w:t>
            </w:r>
            <w:r w:rsidR="006B3D69">
              <w:t>Público</w:t>
            </w:r>
          </w:p>
        </w:tc>
      </w:tr>
      <w:tr w:rsidR="002D1897" w:rsidTr="005B1073">
        <w:trPr>
          <w:trHeight w:val="276"/>
        </w:trPr>
        <w:tc>
          <w:tcPr>
            <w:tcW w:w="9053" w:type="dxa"/>
            <w:gridSpan w:val="2"/>
            <w:tcBorders>
              <w:top w:val="single" w:sz="4" w:space="0" w:color="000000"/>
              <w:left w:val="single" w:sz="4" w:space="0" w:color="000000"/>
              <w:bottom w:val="single" w:sz="4" w:space="0" w:color="000000"/>
              <w:right w:val="single" w:sz="4" w:space="0" w:color="000000"/>
            </w:tcBorders>
            <w:shd w:val="clear" w:color="auto" w:fill="5B9BD5" w:themeFill="accent1"/>
          </w:tcPr>
          <w:p w:rsidR="002D1897" w:rsidRDefault="002D1897" w:rsidP="005B1073">
            <w:pPr>
              <w:ind w:left="360"/>
            </w:pPr>
            <w:r>
              <w:rPr>
                <w:b/>
              </w:rPr>
              <w:t>2.</w:t>
            </w:r>
            <w:r>
              <w:rPr>
                <w:rFonts w:ascii="Arial" w:eastAsia="Arial" w:hAnsi="Arial" w:cs="Arial"/>
                <w:b/>
              </w:rPr>
              <w:t xml:space="preserve"> </w:t>
            </w:r>
            <w:r>
              <w:rPr>
                <w:b/>
              </w:rPr>
              <w:t xml:space="preserve">Área de Contacto </w:t>
            </w:r>
          </w:p>
        </w:tc>
      </w:tr>
      <w:tr w:rsidR="002D1897" w:rsidTr="005B1073">
        <w:trPr>
          <w:trHeight w:val="817"/>
        </w:trPr>
        <w:tc>
          <w:tcPr>
            <w:tcW w:w="2206" w:type="dxa"/>
            <w:tcBorders>
              <w:top w:val="single" w:sz="4" w:space="0" w:color="000000"/>
              <w:left w:val="single" w:sz="4" w:space="0" w:color="000000"/>
              <w:bottom w:val="single" w:sz="4" w:space="0" w:color="000000"/>
              <w:right w:val="single" w:sz="4" w:space="0" w:color="000000"/>
            </w:tcBorders>
            <w:vAlign w:val="center"/>
          </w:tcPr>
          <w:p w:rsidR="002D1897" w:rsidRDefault="002D1897" w:rsidP="005B1073">
            <w:r>
              <w:rPr>
                <w:b/>
              </w:rPr>
              <w:t xml:space="preserve">2.1 Localización y dirección </w:t>
            </w:r>
          </w:p>
        </w:tc>
        <w:tc>
          <w:tcPr>
            <w:tcW w:w="6847" w:type="dxa"/>
            <w:tcBorders>
              <w:top w:val="single" w:sz="4" w:space="0" w:color="000000"/>
              <w:left w:val="single" w:sz="4" w:space="0" w:color="000000"/>
              <w:bottom w:val="single" w:sz="4" w:space="0" w:color="000000"/>
              <w:right w:val="single" w:sz="4" w:space="0" w:color="000000"/>
            </w:tcBorders>
            <w:vAlign w:val="center"/>
          </w:tcPr>
          <w:p w:rsidR="00B548CC" w:rsidRDefault="00B548CC" w:rsidP="005B1073">
            <w:pPr>
              <w:spacing w:after="32" w:line="240" w:lineRule="auto"/>
              <w:ind w:left="1"/>
            </w:pPr>
          </w:p>
          <w:p w:rsidR="002D1897" w:rsidRDefault="002D1897" w:rsidP="005B1073">
            <w:pPr>
              <w:spacing w:after="32" w:line="240" w:lineRule="auto"/>
              <w:ind w:left="1"/>
            </w:pPr>
            <w:r>
              <w:t xml:space="preserve">Edificio </w:t>
            </w:r>
            <w:proofErr w:type="spellStart"/>
            <w:r>
              <w:t>Carbonel</w:t>
            </w:r>
            <w:proofErr w:type="spellEnd"/>
            <w:r>
              <w:t xml:space="preserve"> 2, segundo nivel </w:t>
            </w:r>
          </w:p>
          <w:p w:rsidR="00B548CC" w:rsidRDefault="002D1897" w:rsidP="005B1073">
            <w:pPr>
              <w:ind w:left="1"/>
            </w:pPr>
            <w:r>
              <w:t xml:space="preserve">Alameda Dr. Manuel Enrique Araujo, Edificio </w:t>
            </w:r>
            <w:proofErr w:type="spellStart"/>
            <w:r>
              <w:t>Carbonel</w:t>
            </w:r>
            <w:proofErr w:type="spellEnd"/>
            <w:r>
              <w:t xml:space="preserve"> 1 y 2, Pasaje </w:t>
            </w:r>
            <w:proofErr w:type="spellStart"/>
            <w:r>
              <w:t>Carbonel</w:t>
            </w:r>
            <w:proofErr w:type="spellEnd"/>
            <w:r>
              <w:t xml:space="preserve">, Colonia Roma, San Salvador El Salvador, Centroamérica. </w:t>
            </w:r>
          </w:p>
          <w:p w:rsidR="002D1897" w:rsidRDefault="002D1897" w:rsidP="005B1073">
            <w:pPr>
              <w:ind w:left="1"/>
            </w:pPr>
            <w:r>
              <w:t xml:space="preserve"> </w:t>
            </w:r>
          </w:p>
        </w:tc>
      </w:tr>
      <w:tr w:rsidR="002D1897" w:rsidTr="005B1073">
        <w:trPr>
          <w:trHeight w:val="1354"/>
        </w:trPr>
        <w:tc>
          <w:tcPr>
            <w:tcW w:w="2206" w:type="dxa"/>
            <w:tcBorders>
              <w:top w:val="single" w:sz="4" w:space="0" w:color="000000"/>
              <w:left w:val="single" w:sz="4" w:space="0" w:color="000000"/>
              <w:bottom w:val="single" w:sz="4" w:space="0" w:color="000000"/>
              <w:right w:val="single" w:sz="4" w:space="0" w:color="000000"/>
            </w:tcBorders>
            <w:vAlign w:val="center"/>
          </w:tcPr>
          <w:p w:rsidR="002D1897" w:rsidRDefault="002D1897" w:rsidP="005B1073">
            <w:pPr>
              <w:spacing w:after="32" w:line="240" w:lineRule="auto"/>
            </w:pPr>
            <w:r>
              <w:rPr>
                <w:b/>
              </w:rPr>
              <w:t xml:space="preserve"> </w:t>
            </w:r>
          </w:p>
          <w:p w:rsidR="002D1897" w:rsidRDefault="002D1897" w:rsidP="005B1073">
            <w:r>
              <w:rPr>
                <w:b/>
              </w:rPr>
              <w:t xml:space="preserve">2.2 Teléfono, fax, correo electrónico </w:t>
            </w:r>
          </w:p>
        </w:tc>
        <w:tc>
          <w:tcPr>
            <w:tcW w:w="6847" w:type="dxa"/>
            <w:tcBorders>
              <w:top w:val="single" w:sz="4" w:space="0" w:color="000000"/>
              <w:left w:val="single" w:sz="4" w:space="0" w:color="000000"/>
              <w:bottom w:val="single" w:sz="4" w:space="0" w:color="000000"/>
              <w:right w:val="single" w:sz="4" w:space="0" w:color="000000"/>
            </w:tcBorders>
            <w:vAlign w:val="center"/>
          </w:tcPr>
          <w:p w:rsidR="002D1897" w:rsidRDefault="002D1897" w:rsidP="005B1073">
            <w:pPr>
              <w:spacing w:after="32" w:line="240" w:lineRule="auto"/>
              <w:ind w:left="1"/>
            </w:pPr>
            <w:r>
              <w:t xml:space="preserve"> </w:t>
            </w:r>
          </w:p>
          <w:p w:rsidR="002D1897" w:rsidRDefault="002D1897" w:rsidP="005B1073">
            <w:pPr>
              <w:spacing w:after="32" w:line="240" w:lineRule="auto"/>
              <w:ind w:left="1"/>
            </w:pPr>
            <w:r>
              <w:t xml:space="preserve">PBX: 2243-7835 </w:t>
            </w:r>
          </w:p>
          <w:p w:rsidR="002D1897" w:rsidRDefault="002D1897" w:rsidP="005B1073">
            <w:pPr>
              <w:spacing w:after="32" w:line="240" w:lineRule="auto"/>
              <w:ind w:left="1"/>
            </w:pPr>
            <w:r>
              <w:t xml:space="preserve">Fax: 2223-6120 </w:t>
            </w:r>
          </w:p>
          <w:p w:rsidR="002D1897" w:rsidRDefault="0088120C" w:rsidP="005B1073">
            <w:pPr>
              <w:spacing w:after="32" w:line="240" w:lineRule="auto"/>
              <w:ind w:left="1"/>
            </w:pPr>
            <w:r>
              <w:t>Página</w:t>
            </w:r>
            <w:r w:rsidR="002D1897">
              <w:t xml:space="preserve"> web: </w:t>
            </w:r>
            <w:hyperlink r:id="rId9">
              <w:r w:rsidR="002D1897">
                <w:rPr>
                  <w:color w:val="0000FF"/>
                  <w:u w:val="single" w:color="0000FF"/>
                </w:rPr>
                <w:t>www.mitur.gob.sv</w:t>
              </w:r>
            </w:hyperlink>
            <w:hyperlink r:id="rId10">
              <w:r w:rsidR="002D1897">
                <w:t xml:space="preserve"> </w:t>
              </w:r>
            </w:hyperlink>
          </w:p>
          <w:p w:rsidR="002D1897" w:rsidRDefault="002D1897" w:rsidP="005B1073">
            <w:pPr>
              <w:ind w:left="1"/>
            </w:pPr>
            <w:r>
              <w:t xml:space="preserve">      </w:t>
            </w:r>
          </w:p>
        </w:tc>
      </w:tr>
      <w:tr w:rsidR="002D1897" w:rsidRPr="0088120C" w:rsidTr="005B1073">
        <w:trPr>
          <w:trHeight w:val="2159"/>
        </w:trPr>
        <w:tc>
          <w:tcPr>
            <w:tcW w:w="2206" w:type="dxa"/>
            <w:tcBorders>
              <w:top w:val="single" w:sz="4" w:space="0" w:color="000000"/>
              <w:left w:val="single" w:sz="4" w:space="0" w:color="000000"/>
              <w:bottom w:val="single" w:sz="4" w:space="0" w:color="000000"/>
              <w:right w:val="single" w:sz="4" w:space="0" w:color="000000"/>
            </w:tcBorders>
            <w:vAlign w:val="center"/>
          </w:tcPr>
          <w:p w:rsidR="002D1897" w:rsidRDefault="002D1897" w:rsidP="005B1073">
            <w:pPr>
              <w:spacing w:after="32" w:line="240" w:lineRule="auto"/>
            </w:pPr>
            <w:r>
              <w:rPr>
                <w:b/>
              </w:rPr>
              <w:t xml:space="preserve"> </w:t>
            </w:r>
          </w:p>
          <w:p w:rsidR="002D1897" w:rsidRDefault="002D1897" w:rsidP="005B1073">
            <w:pPr>
              <w:spacing w:after="32" w:line="240" w:lineRule="auto"/>
            </w:pPr>
            <w:r>
              <w:rPr>
                <w:b/>
              </w:rPr>
              <w:t xml:space="preserve"> </w:t>
            </w:r>
          </w:p>
          <w:p w:rsidR="002D1897" w:rsidRDefault="0088120C" w:rsidP="005B1073">
            <w:r>
              <w:rPr>
                <w:b/>
              </w:rPr>
              <w:t>2.3 Personas</w:t>
            </w:r>
            <w:r w:rsidR="002D1897">
              <w:rPr>
                <w:b/>
              </w:rPr>
              <w:t xml:space="preserve"> de contacto </w:t>
            </w:r>
          </w:p>
        </w:tc>
        <w:tc>
          <w:tcPr>
            <w:tcW w:w="6847" w:type="dxa"/>
            <w:tcBorders>
              <w:top w:val="single" w:sz="4" w:space="0" w:color="000000"/>
              <w:left w:val="single" w:sz="4" w:space="0" w:color="000000"/>
              <w:bottom w:val="single" w:sz="4" w:space="0" w:color="000000"/>
              <w:right w:val="single" w:sz="4" w:space="0" w:color="000000"/>
            </w:tcBorders>
            <w:vAlign w:val="center"/>
          </w:tcPr>
          <w:p w:rsidR="0088120C" w:rsidRPr="0088120C" w:rsidRDefault="0088120C" w:rsidP="005B1073">
            <w:pPr>
              <w:autoSpaceDE w:val="0"/>
              <w:autoSpaceDN w:val="0"/>
              <w:adjustRightInd w:val="0"/>
              <w:spacing w:line="240" w:lineRule="auto"/>
              <w:rPr>
                <w:rFonts w:eastAsiaTheme="minorEastAsia"/>
                <w:sz w:val="24"/>
                <w:szCs w:val="24"/>
              </w:rPr>
            </w:pPr>
          </w:p>
          <w:tbl>
            <w:tblPr>
              <w:tblW w:w="0" w:type="auto"/>
              <w:tblBorders>
                <w:top w:val="nil"/>
                <w:left w:val="nil"/>
                <w:bottom w:val="nil"/>
                <w:right w:val="nil"/>
              </w:tblBorders>
              <w:tblLook w:val="0000" w:firstRow="0" w:lastRow="0" w:firstColumn="0" w:lastColumn="0" w:noHBand="0" w:noVBand="0"/>
            </w:tblPr>
            <w:tblGrid>
              <w:gridCol w:w="3376"/>
            </w:tblGrid>
            <w:tr w:rsidR="0088120C" w:rsidRPr="0088120C">
              <w:trPr>
                <w:trHeight w:val="379"/>
              </w:trPr>
              <w:tc>
                <w:tcPr>
                  <w:tcW w:w="0" w:type="auto"/>
                </w:tcPr>
                <w:p w:rsidR="0088120C" w:rsidRPr="0088120C" w:rsidRDefault="0088120C" w:rsidP="00E53100">
                  <w:pPr>
                    <w:framePr w:hSpace="141" w:wrap="around" w:vAnchor="page" w:hAnchor="margin" w:y="1673"/>
                    <w:autoSpaceDE w:val="0"/>
                    <w:autoSpaceDN w:val="0"/>
                    <w:adjustRightInd w:val="0"/>
                    <w:spacing w:line="240" w:lineRule="auto"/>
                    <w:rPr>
                      <w:rFonts w:eastAsiaTheme="minorEastAsia"/>
                    </w:rPr>
                  </w:pPr>
                  <w:r w:rsidRPr="0088120C">
                    <w:rPr>
                      <w:rFonts w:eastAsiaTheme="minorEastAsia"/>
                    </w:rPr>
                    <w:t xml:space="preserve">Oficial de Información Ad-honorem </w:t>
                  </w:r>
                </w:p>
                <w:p w:rsidR="0088120C" w:rsidRPr="0088120C" w:rsidRDefault="0088120C" w:rsidP="00E53100">
                  <w:pPr>
                    <w:framePr w:hSpace="141" w:wrap="around" w:vAnchor="page" w:hAnchor="margin" w:y="1673"/>
                    <w:autoSpaceDE w:val="0"/>
                    <w:autoSpaceDN w:val="0"/>
                    <w:adjustRightInd w:val="0"/>
                    <w:spacing w:line="240" w:lineRule="auto"/>
                    <w:rPr>
                      <w:rFonts w:eastAsiaTheme="minorEastAsia"/>
                    </w:rPr>
                  </w:pPr>
                  <w:r w:rsidRPr="0088120C">
                    <w:rPr>
                      <w:rFonts w:eastAsiaTheme="minorEastAsia"/>
                    </w:rPr>
                    <w:t xml:space="preserve">Licda. Glenda de Cáceres </w:t>
                  </w:r>
                </w:p>
                <w:p w:rsidR="0088120C" w:rsidRPr="0088120C" w:rsidRDefault="0088120C" w:rsidP="00E53100">
                  <w:pPr>
                    <w:framePr w:hSpace="141" w:wrap="around" w:vAnchor="page" w:hAnchor="margin" w:y="1673"/>
                    <w:autoSpaceDE w:val="0"/>
                    <w:autoSpaceDN w:val="0"/>
                    <w:adjustRightInd w:val="0"/>
                    <w:spacing w:line="240" w:lineRule="auto"/>
                    <w:rPr>
                      <w:rFonts w:eastAsiaTheme="minorEastAsia"/>
                    </w:rPr>
                  </w:pPr>
                  <w:r w:rsidRPr="0088120C">
                    <w:rPr>
                      <w:rFonts w:eastAsiaTheme="minorEastAsia"/>
                    </w:rPr>
                    <w:t xml:space="preserve">E-mail: gdcaceres@mitur.gob.sv </w:t>
                  </w:r>
                </w:p>
              </w:tc>
            </w:tr>
          </w:tbl>
          <w:p w:rsidR="002D1897" w:rsidRPr="0088120C" w:rsidRDefault="002D1897" w:rsidP="005B1073">
            <w:pPr>
              <w:spacing w:after="30" w:line="240" w:lineRule="auto"/>
              <w:ind w:left="1"/>
            </w:pPr>
          </w:p>
          <w:p w:rsidR="002D1897" w:rsidRPr="0088120C" w:rsidRDefault="002D1897" w:rsidP="005B1073">
            <w:pPr>
              <w:spacing w:after="32" w:line="240" w:lineRule="auto"/>
              <w:ind w:left="1"/>
            </w:pPr>
            <w:r w:rsidRPr="0088120C">
              <w:t>Encargada de Archivos Ad</w:t>
            </w:r>
            <w:r w:rsidR="0088120C" w:rsidRPr="0088120C">
              <w:t>-</w:t>
            </w:r>
            <w:r w:rsidRPr="0088120C">
              <w:t xml:space="preserve">honorem </w:t>
            </w:r>
          </w:p>
          <w:p w:rsidR="002D1897" w:rsidRPr="0088120C" w:rsidRDefault="00B070E1" w:rsidP="005B1073">
            <w:pPr>
              <w:spacing w:after="32" w:line="240" w:lineRule="auto"/>
              <w:ind w:left="1"/>
            </w:pPr>
            <w:r>
              <w:t>Srt</w:t>
            </w:r>
            <w:r w:rsidR="0088120C" w:rsidRPr="0088120C">
              <w:t>a. Karen Paola Hasbún Miranda</w:t>
            </w:r>
          </w:p>
          <w:p w:rsidR="002D1897" w:rsidRPr="0088120C" w:rsidRDefault="002D1897" w:rsidP="005B1073">
            <w:pPr>
              <w:spacing w:after="32" w:line="240" w:lineRule="auto"/>
              <w:ind w:left="1"/>
            </w:pPr>
            <w:r w:rsidRPr="0088120C">
              <w:t xml:space="preserve">E-mail: </w:t>
            </w:r>
            <w:r w:rsidR="0088120C" w:rsidRPr="0088120C">
              <w:rPr>
                <w:color w:val="0000FF"/>
                <w:u w:val="single" w:color="0000FF"/>
              </w:rPr>
              <w:t>khasbun@mitur.gob.sv</w:t>
            </w:r>
            <w:r w:rsidRPr="0088120C">
              <w:t xml:space="preserve"> </w:t>
            </w:r>
          </w:p>
          <w:p w:rsidR="002D1897" w:rsidRPr="0088120C" w:rsidRDefault="002D1897" w:rsidP="005B1073">
            <w:pPr>
              <w:ind w:left="1"/>
            </w:pPr>
            <w:r w:rsidRPr="0088120C">
              <w:t xml:space="preserve"> </w:t>
            </w:r>
          </w:p>
        </w:tc>
      </w:tr>
      <w:tr w:rsidR="002D1897" w:rsidTr="005B1073">
        <w:trPr>
          <w:trHeight w:val="276"/>
        </w:trPr>
        <w:tc>
          <w:tcPr>
            <w:tcW w:w="9053" w:type="dxa"/>
            <w:gridSpan w:val="2"/>
            <w:tcBorders>
              <w:top w:val="single" w:sz="4" w:space="0" w:color="000000"/>
              <w:left w:val="single" w:sz="4" w:space="0" w:color="000000"/>
              <w:bottom w:val="single" w:sz="4" w:space="0" w:color="000000"/>
              <w:right w:val="single" w:sz="4" w:space="0" w:color="000000"/>
            </w:tcBorders>
            <w:shd w:val="clear" w:color="auto" w:fill="5B9BD5" w:themeFill="accent1"/>
          </w:tcPr>
          <w:p w:rsidR="002D1897" w:rsidRPr="0088120C" w:rsidRDefault="0088120C" w:rsidP="005B1073">
            <w:pPr>
              <w:ind w:left="360"/>
            </w:pPr>
            <w:r w:rsidRPr="0088120C">
              <w:rPr>
                <w:b/>
              </w:rPr>
              <w:t>3.</w:t>
            </w:r>
            <w:r w:rsidRPr="0088120C">
              <w:rPr>
                <w:rFonts w:ascii="Arial" w:eastAsia="Arial" w:hAnsi="Arial" w:cs="Arial"/>
                <w:b/>
              </w:rPr>
              <w:t xml:space="preserve"> </w:t>
            </w:r>
            <w:r w:rsidRPr="0088120C">
              <w:rPr>
                <w:b/>
              </w:rPr>
              <w:t>Área de Descripción</w:t>
            </w:r>
          </w:p>
        </w:tc>
      </w:tr>
      <w:tr w:rsidR="0088120C" w:rsidTr="005B1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841"/>
        </w:trPr>
        <w:tc>
          <w:tcPr>
            <w:tcW w:w="2206" w:type="dxa"/>
            <w:vAlign w:val="center"/>
          </w:tcPr>
          <w:p w:rsidR="0088120C" w:rsidRDefault="0088120C" w:rsidP="005B1073">
            <w:r>
              <w:rPr>
                <w:b/>
              </w:rPr>
              <w:t>3.1  Historia de la Institución que custodia los fondos de archivo</w:t>
            </w:r>
          </w:p>
          <w:p w:rsidR="0088120C" w:rsidRPr="0088120C" w:rsidRDefault="0088120C" w:rsidP="005B1073">
            <w:pPr>
              <w:ind w:firstLine="708"/>
            </w:pPr>
          </w:p>
        </w:tc>
        <w:tc>
          <w:tcPr>
            <w:tcW w:w="6847" w:type="dxa"/>
            <w:vAlign w:val="center"/>
          </w:tcPr>
          <w:p w:rsidR="00B548CC" w:rsidRDefault="00B548CC" w:rsidP="005B1073">
            <w:pPr>
              <w:spacing w:after="312" w:line="247" w:lineRule="auto"/>
              <w:ind w:right="7"/>
              <w:jc w:val="both"/>
              <w:rPr>
                <w:rFonts w:asciiTheme="minorHAnsi" w:eastAsia="Verdana" w:hAnsiTheme="minorHAnsi" w:cs="Verdana"/>
              </w:rPr>
            </w:pPr>
          </w:p>
          <w:p w:rsidR="0088120C" w:rsidRDefault="0088120C" w:rsidP="005B1073">
            <w:pPr>
              <w:spacing w:after="312" w:line="247" w:lineRule="auto"/>
              <w:ind w:right="7"/>
              <w:jc w:val="both"/>
              <w:rPr>
                <w:rFonts w:asciiTheme="minorHAnsi" w:eastAsia="Verdana" w:hAnsiTheme="minorHAnsi" w:cs="Verdana"/>
              </w:rPr>
            </w:pPr>
            <w:r w:rsidRPr="004F7678">
              <w:rPr>
                <w:rFonts w:asciiTheme="minorHAnsi" w:eastAsia="Verdana" w:hAnsiTheme="minorHAnsi" w:cs="Verdana"/>
              </w:rPr>
              <w:t xml:space="preserve">El Ministerio de Turismo (MITUR) es la institución rectora en materia de turismo, le corresponde determinar y velar por el cumplimiento de la Política y Plan Nacional de Turismo. </w:t>
            </w:r>
          </w:p>
          <w:p w:rsidR="00B548CC" w:rsidRPr="004F7678" w:rsidRDefault="00B548CC" w:rsidP="005B1073">
            <w:pPr>
              <w:spacing w:after="312" w:line="247" w:lineRule="auto"/>
              <w:ind w:right="7"/>
              <w:jc w:val="both"/>
              <w:rPr>
                <w:rFonts w:asciiTheme="minorHAnsi" w:hAnsiTheme="minorHAnsi"/>
              </w:rPr>
            </w:pPr>
          </w:p>
          <w:p w:rsidR="0088120C" w:rsidRPr="004F7678" w:rsidRDefault="0088120C" w:rsidP="005B1073">
            <w:pPr>
              <w:spacing w:after="33" w:line="240" w:lineRule="auto"/>
              <w:ind w:left="1"/>
              <w:rPr>
                <w:rFonts w:asciiTheme="minorHAnsi" w:hAnsiTheme="minorHAnsi"/>
              </w:rPr>
            </w:pPr>
            <w:r w:rsidRPr="004F7678">
              <w:rPr>
                <w:rFonts w:asciiTheme="minorHAnsi" w:eastAsia="Verdana" w:hAnsiTheme="minorHAnsi" w:cs="Verdana"/>
              </w:rPr>
              <w:t>MITUR, es creada por medio del Decreto Ejecu</w:t>
            </w:r>
            <w:r w:rsidR="005B1244">
              <w:rPr>
                <w:rFonts w:asciiTheme="minorHAnsi" w:eastAsia="Verdana" w:hAnsiTheme="minorHAnsi" w:cs="Verdana"/>
              </w:rPr>
              <w:t>tivo Número 1 de fecha</w:t>
            </w:r>
            <w:r w:rsidRPr="004F7678">
              <w:rPr>
                <w:rFonts w:asciiTheme="minorHAnsi" w:eastAsia="Verdana" w:hAnsiTheme="minorHAnsi" w:cs="Verdana"/>
              </w:rPr>
              <w:t xml:space="preserve"> </w:t>
            </w:r>
          </w:p>
          <w:p w:rsidR="0088120C" w:rsidRPr="004F7678" w:rsidRDefault="0088120C" w:rsidP="005B1073">
            <w:pPr>
              <w:spacing w:after="314" w:line="244" w:lineRule="auto"/>
              <w:ind w:left="1"/>
              <w:jc w:val="both"/>
              <w:rPr>
                <w:rFonts w:asciiTheme="minorHAnsi" w:hAnsiTheme="minorHAnsi"/>
              </w:rPr>
            </w:pPr>
            <w:r w:rsidRPr="004F7678">
              <w:rPr>
                <w:rFonts w:asciiTheme="minorHAnsi" w:eastAsia="Verdana" w:hAnsiTheme="minorHAnsi" w:cs="Verdana"/>
              </w:rPr>
              <w:t>1 de junio de 2004, publicado en el Diario O</w:t>
            </w:r>
            <w:r w:rsidR="005B1244">
              <w:rPr>
                <w:rFonts w:asciiTheme="minorHAnsi" w:eastAsia="Verdana" w:hAnsiTheme="minorHAnsi" w:cs="Verdana"/>
              </w:rPr>
              <w:t>ficial Número 100, Tomo No. 36</w:t>
            </w:r>
            <w:r w:rsidRPr="004F7678">
              <w:rPr>
                <w:rFonts w:asciiTheme="minorHAnsi" w:eastAsia="Verdana" w:hAnsiTheme="minorHAnsi" w:cs="Verdana"/>
              </w:rPr>
              <w:t xml:space="preserve">. </w:t>
            </w:r>
          </w:p>
          <w:p w:rsidR="0088120C" w:rsidRPr="004F7678" w:rsidRDefault="0088120C" w:rsidP="005B1073">
            <w:pPr>
              <w:spacing w:after="150" w:line="247" w:lineRule="auto"/>
              <w:ind w:left="1"/>
              <w:jc w:val="both"/>
              <w:rPr>
                <w:rFonts w:asciiTheme="minorHAnsi" w:hAnsiTheme="minorHAnsi"/>
              </w:rPr>
            </w:pPr>
            <w:r w:rsidRPr="004F7678">
              <w:rPr>
                <w:rFonts w:asciiTheme="minorHAnsi" w:eastAsia="Verdana" w:hAnsiTheme="minorHAnsi" w:cs="Verdana"/>
              </w:rPr>
              <w:t xml:space="preserve">Como una muestra de respaldo y apoyo al sector turismo, se crea en junio de 2004 el Ministerio de Turismo, a quien se le entrega la responsabilidad de las dos instituciones ya existentes, ISTU y CORSATUR, encargándoseles 5 ejes sobre los cuales descansará la actividad turística y que están contemplados dentro de la Estrategia Nacional de Turismo, los cuales son:  </w:t>
            </w:r>
          </w:p>
          <w:p w:rsidR="0088120C" w:rsidRPr="004F7678" w:rsidRDefault="0088120C" w:rsidP="005B1073">
            <w:pPr>
              <w:numPr>
                <w:ilvl w:val="0"/>
                <w:numId w:val="1"/>
              </w:numPr>
              <w:spacing w:after="153" w:line="240" w:lineRule="auto"/>
              <w:ind w:hanging="360"/>
              <w:rPr>
                <w:rFonts w:asciiTheme="minorHAnsi" w:hAnsiTheme="minorHAnsi"/>
              </w:rPr>
            </w:pPr>
            <w:r w:rsidRPr="004F7678">
              <w:rPr>
                <w:rFonts w:asciiTheme="minorHAnsi" w:eastAsia="Verdana" w:hAnsiTheme="minorHAnsi" w:cs="Verdana"/>
              </w:rPr>
              <w:t xml:space="preserve">Impulso del turismo como política de estado. </w:t>
            </w:r>
          </w:p>
          <w:p w:rsidR="004F7678" w:rsidRDefault="0088120C" w:rsidP="005B1073">
            <w:pPr>
              <w:numPr>
                <w:ilvl w:val="0"/>
                <w:numId w:val="1"/>
              </w:numPr>
              <w:spacing w:after="151" w:line="240" w:lineRule="auto"/>
              <w:ind w:hanging="360"/>
              <w:rPr>
                <w:rFonts w:asciiTheme="minorHAnsi" w:hAnsiTheme="minorHAnsi"/>
              </w:rPr>
            </w:pPr>
            <w:r w:rsidRPr="004F7678">
              <w:rPr>
                <w:rFonts w:asciiTheme="minorHAnsi" w:eastAsia="Verdana" w:hAnsiTheme="minorHAnsi" w:cs="Verdana"/>
              </w:rPr>
              <w:t xml:space="preserve">Desarrollo del destino turístico. </w:t>
            </w:r>
          </w:p>
          <w:p w:rsidR="0088120C" w:rsidRPr="004F7678" w:rsidRDefault="0088120C" w:rsidP="005B1073">
            <w:pPr>
              <w:numPr>
                <w:ilvl w:val="0"/>
                <w:numId w:val="1"/>
              </w:numPr>
              <w:spacing w:after="151" w:line="240" w:lineRule="auto"/>
              <w:ind w:hanging="360"/>
              <w:rPr>
                <w:rFonts w:asciiTheme="minorHAnsi" w:hAnsiTheme="minorHAnsi"/>
              </w:rPr>
            </w:pPr>
            <w:r w:rsidRPr="004F7678">
              <w:rPr>
                <w:rFonts w:asciiTheme="minorHAnsi" w:eastAsia="Verdana" w:hAnsiTheme="minorHAnsi" w:cs="Verdana"/>
              </w:rPr>
              <w:t>Promoción y Mercadeo turístico.</w:t>
            </w:r>
          </w:p>
          <w:p w:rsidR="004F7678" w:rsidRPr="004F7678" w:rsidRDefault="004F7678" w:rsidP="005B1073">
            <w:pPr>
              <w:numPr>
                <w:ilvl w:val="0"/>
                <w:numId w:val="1"/>
              </w:numPr>
              <w:spacing w:after="151" w:line="240" w:lineRule="auto"/>
              <w:ind w:hanging="360"/>
              <w:rPr>
                <w:rFonts w:asciiTheme="minorHAnsi" w:hAnsiTheme="minorHAnsi"/>
              </w:rPr>
            </w:pPr>
            <w:r>
              <w:rPr>
                <w:rFonts w:asciiTheme="minorHAnsi" w:eastAsia="Verdana" w:hAnsiTheme="minorHAnsi" w:cs="Verdana"/>
              </w:rPr>
              <w:t>Apoyo a la competitividad turística.</w:t>
            </w:r>
          </w:p>
          <w:p w:rsidR="004F7678" w:rsidRPr="004F7678" w:rsidRDefault="004F7678" w:rsidP="005B1073">
            <w:pPr>
              <w:numPr>
                <w:ilvl w:val="0"/>
                <w:numId w:val="1"/>
              </w:numPr>
              <w:spacing w:after="151" w:line="240" w:lineRule="auto"/>
              <w:ind w:hanging="360"/>
              <w:rPr>
                <w:rFonts w:asciiTheme="minorHAnsi" w:hAnsiTheme="minorHAnsi"/>
              </w:rPr>
            </w:pPr>
            <w:r>
              <w:rPr>
                <w:rFonts w:asciiTheme="minorHAnsi" w:eastAsia="Verdana" w:hAnsiTheme="minorHAnsi" w:cs="Verdana"/>
              </w:rPr>
              <w:t>Facilitación turística.</w:t>
            </w:r>
          </w:p>
          <w:p w:rsidR="004F7678" w:rsidRDefault="005B1244" w:rsidP="005B1073">
            <w:pPr>
              <w:spacing w:after="151" w:line="240" w:lineRule="auto"/>
              <w:jc w:val="both"/>
              <w:rPr>
                <w:rFonts w:asciiTheme="minorHAnsi" w:eastAsia="Verdana" w:hAnsiTheme="minorHAnsi" w:cs="Verdana"/>
              </w:rPr>
            </w:pPr>
            <w:r>
              <w:rPr>
                <w:rFonts w:asciiTheme="minorHAnsi" w:eastAsia="Verdana" w:hAnsiTheme="minorHAnsi" w:cs="Verdana"/>
              </w:rPr>
              <w:t>La Ley de Turismo cobró</w:t>
            </w:r>
            <w:r w:rsidR="004F7678">
              <w:rPr>
                <w:rFonts w:asciiTheme="minorHAnsi" w:eastAsia="Verdana" w:hAnsiTheme="minorHAnsi" w:cs="Verdana"/>
              </w:rPr>
              <w:t xml:space="preserve"> vida en diciembre de 2005, como una herramienta que serviría al Ministerio de Turismo para proporcionar el impulso del sector.</w:t>
            </w:r>
          </w:p>
          <w:p w:rsidR="00EA3C79" w:rsidRPr="00645AE7" w:rsidRDefault="00EA3C79" w:rsidP="00EA3C79">
            <w:pPr>
              <w:spacing w:after="151" w:line="240" w:lineRule="auto"/>
              <w:jc w:val="both"/>
              <w:rPr>
                <w:rFonts w:asciiTheme="minorHAnsi" w:eastAsia="Verdana" w:hAnsiTheme="minorHAnsi" w:cs="Verdana"/>
              </w:rPr>
            </w:pPr>
            <w:r w:rsidRPr="00645AE7">
              <w:rPr>
                <w:rFonts w:asciiTheme="minorHAnsi" w:eastAsia="Verdana" w:hAnsiTheme="minorHAnsi" w:cs="Verdana"/>
              </w:rPr>
              <w:t>El Articulo 48 de La Ley de Acceso a la Información Pública, establece que los entes obligados del sector público deberán crear unidades de acceso a la información pública, las cuales serán organizadas según las características de cada entidad e institución para manejar las solicitudes de información.</w:t>
            </w:r>
          </w:p>
          <w:p w:rsidR="00B548CC" w:rsidRDefault="00B548CC" w:rsidP="00EA3C79">
            <w:pPr>
              <w:spacing w:after="151" w:line="240" w:lineRule="auto"/>
              <w:jc w:val="both"/>
              <w:rPr>
                <w:rFonts w:asciiTheme="minorHAnsi" w:eastAsia="Verdana" w:hAnsiTheme="minorHAnsi" w:cs="Verdana"/>
              </w:rPr>
            </w:pPr>
          </w:p>
          <w:p w:rsidR="00EA3C79" w:rsidRDefault="00EA3C79" w:rsidP="00EA3C79">
            <w:pPr>
              <w:spacing w:after="151" w:line="240" w:lineRule="auto"/>
              <w:jc w:val="both"/>
              <w:rPr>
                <w:rFonts w:asciiTheme="minorHAnsi" w:eastAsia="Verdana" w:hAnsiTheme="minorHAnsi" w:cs="Verdana"/>
              </w:rPr>
            </w:pPr>
            <w:r w:rsidRPr="00645AE7">
              <w:rPr>
                <w:rFonts w:asciiTheme="minorHAnsi" w:eastAsia="Verdana" w:hAnsiTheme="minorHAnsi" w:cs="Verdana"/>
              </w:rPr>
              <w:t>A partir de noviembre de 2011, la Unidad de Acceso a la Información Pública forma parte de la estructura de MITUR.</w:t>
            </w:r>
          </w:p>
          <w:p w:rsidR="00B548CC" w:rsidRDefault="00B548CC" w:rsidP="005B1073">
            <w:pPr>
              <w:spacing w:after="151" w:line="240" w:lineRule="auto"/>
              <w:jc w:val="both"/>
              <w:rPr>
                <w:rFonts w:asciiTheme="minorHAnsi" w:eastAsia="Verdana" w:hAnsiTheme="minorHAnsi" w:cs="Verdana"/>
              </w:rPr>
            </w:pPr>
          </w:p>
          <w:p w:rsidR="005B1244" w:rsidRDefault="005B1244" w:rsidP="005B1073">
            <w:pPr>
              <w:spacing w:after="151" w:line="240" w:lineRule="auto"/>
              <w:jc w:val="both"/>
              <w:rPr>
                <w:rFonts w:asciiTheme="minorHAnsi" w:eastAsia="Verdana" w:hAnsiTheme="minorHAnsi" w:cs="Verdana"/>
              </w:rPr>
            </w:pPr>
            <w:r>
              <w:rPr>
                <w:rFonts w:asciiTheme="minorHAnsi" w:eastAsia="Verdana" w:hAnsiTheme="minorHAnsi" w:cs="Verdana"/>
              </w:rPr>
              <w:t>El Ministerio ha tenido cambios en su organigrama. En el año 2012, s</w:t>
            </w:r>
            <w:r w:rsidRPr="005B1244">
              <w:rPr>
                <w:rFonts w:asciiTheme="minorHAnsi" w:eastAsia="Verdana" w:hAnsiTheme="minorHAnsi" w:cs="Verdana"/>
              </w:rPr>
              <w:t xml:space="preserve">e realizó traspaso de </w:t>
            </w:r>
            <w:r>
              <w:rPr>
                <w:rFonts w:asciiTheme="minorHAnsi" w:eastAsia="Verdana" w:hAnsiTheme="minorHAnsi" w:cs="Verdana"/>
              </w:rPr>
              <w:t xml:space="preserve">la </w:t>
            </w:r>
            <w:r w:rsidRPr="005B1244">
              <w:rPr>
                <w:rFonts w:asciiTheme="minorHAnsi" w:eastAsia="Verdana" w:hAnsiTheme="minorHAnsi" w:cs="Verdana"/>
              </w:rPr>
              <w:t>Secretaria de la Unidad de Adquisiciones y Contrataciones Institucional hacia el Despacho Ministerial con Acuerdo N° 44/2012</w:t>
            </w:r>
            <w:r>
              <w:rPr>
                <w:rFonts w:asciiTheme="minorHAnsi" w:eastAsia="Verdana" w:hAnsiTheme="minorHAnsi" w:cs="Verdana"/>
              </w:rPr>
              <w:t>. En junio de 2012, se crea la Unidad de Informática tras la necesidad</w:t>
            </w:r>
            <w:r w:rsidR="00645AE7">
              <w:rPr>
                <w:rFonts w:asciiTheme="minorHAnsi" w:eastAsia="Verdana" w:hAnsiTheme="minorHAnsi" w:cs="Verdana"/>
              </w:rPr>
              <w:t xml:space="preserve"> de contar con un soporte técnico en el Ministerio; así también se contrata al Jefe de Informática.</w:t>
            </w:r>
          </w:p>
          <w:p w:rsidR="00B548CC" w:rsidRDefault="00B548CC" w:rsidP="00645AE7">
            <w:pPr>
              <w:spacing w:after="151" w:line="240" w:lineRule="auto"/>
              <w:jc w:val="both"/>
              <w:rPr>
                <w:rFonts w:asciiTheme="minorHAnsi" w:eastAsia="Verdana" w:hAnsiTheme="minorHAnsi" w:cs="Verdana"/>
              </w:rPr>
            </w:pPr>
          </w:p>
          <w:p w:rsidR="00645AE7" w:rsidRPr="00645AE7" w:rsidRDefault="00645AE7" w:rsidP="00645AE7">
            <w:pPr>
              <w:spacing w:after="151" w:line="240" w:lineRule="auto"/>
              <w:jc w:val="both"/>
              <w:rPr>
                <w:rFonts w:asciiTheme="minorHAnsi" w:eastAsia="Verdana" w:hAnsiTheme="minorHAnsi" w:cs="Verdana"/>
              </w:rPr>
            </w:pPr>
            <w:r w:rsidRPr="00645AE7">
              <w:rPr>
                <w:rFonts w:asciiTheme="minorHAnsi" w:eastAsia="Verdana" w:hAnsiTheme="minorHAnsi" w:cs="Verdana"/>
              </w:rPr>
              <w:t>Para el 2015, la Unidad de Gestión Documental pasa a depender jerárquicamente del Despacho del Viceministro y se renombra como Unidad de Gestión Documental y Archivo Institucional.</w:t>
            </w:r>
          </w:p>
          <w:p w:rsidR="00B548CC" w:rsidRDefault="00B548CC" w:rsidP="00645AE7">
            <w:pPr>
              <w:spacing w:after="151" w:line="240" w:lineRule="auto"/>
              <w:jc w:val="both"/>
              <w:rPr>
                <w:rFonts w:asciiTheme="minorHAnsi" w:eastAsia="Verdana" w:hAnsiTheme="minorHAnsi" w:cs="Verdana"/>
              </w:rPr>
            </w:pPr>
          </w:p>
          <w:p w:rsidR="00B548CC" w:rsidRDefault="00B548CC" w:rsidP="00645AE7">
            <w:pPr>
              <w:spacing w:after="151" w:line="240" w:lineRule="auto"/>
              <w:jc w:val="both"/>
              <w:rPr>
                <w:rFonts w:asciiTheme="minorHAnsi" w:eastAsia="Verdana" w:hAnsiTheme="minorHAnsi" w:cs="Verdana"/>
              </w:rPr>
            </w:pPr>
          </w:p>
          <w:p w:rsidR="00645AE7" w:rsidRPr="00645AE7" w:rsidRDefault="00645AE7" w:rsidP="00645AE7">
            <w:pPr>
              <w:spacing w:after="151" w:line="240" w:lineRule="auto"/>
              <w:jc w:val="both"/>
              <w:rPr>
                <w:rFonts w:asciiTheme="minorHAnsi" w:eastAsia="Verdana" w:hAnsiTheme="minorHAnsi" w:cs="Verdana"/>
              </w:rPr>
            </w:pPr>
            <w:r w:rsidRPr="00645AE7">
              <w:rPr>
                <w:rFonts w:asciiTheme="minorHAnsi" w:eastAsia="Verdana" w:hAnsiTheme="minorHAnsi" w:cs="Verdana"/>
              </w:rPr>
              <w:lastRenderedPageBreak/>
              <w:t>En cumplimiento de compromisos regionales e internacionales suscritos por el Estado Salvadoreño, en materia de los derechos humanos de las mujeres, crea la Unidad de Género en el año 2015 dependiendo jerárquicamente de la Dirección de Planificación, Política Sectorial y Administrativo.</w:t>
            </w:r>
          </w:p>
          <w:p w:rsidR="00B548CC" w:rsidRDefault="00B548CC" w:rsidP="00645AE7">
            <w:pPr>
              <w:spacing w:after="151" w:line="240" w:lineRule="auto"/>
              <w:jc w:val="both"/>
              <w:rPr>
                <w:rFonts w:asciiTheme="minorHAnsi" w:eastAsia="Verdana" w:hAnsiTheme="minorHAnsi" w:cs="Arial"/>
              </w:rPr>
            </w:pPr>
          </w:p>
          <w:p w:rsidR="00645AE7" w:rsidRDefault="00645AE7" w:rsidP="00645AE7">
            <w:pPr>
              <w:spacing w:after="151" w:line="240" w:lineRule="auto"/>
              <w:jc w:val="both"/>
              <w:rPr>
                <w:rFonts w:asciiTheme="minorHAnsi" w:eastAsia="Verdana" w:hAnsiTheme="minorHAnsi" w:cs="Arial"/>
              </w:rPr>
            </w:pPr>
            <w:r w:rsidRPr="00645AE7">
              <w:rPr>
                <w:rFonts w:asciiTheme="minorHAnsi" w:eastAsia="Verdana" w:hAnsiTheme="minorHAnsi" w:cs="Arial"/>
              </w:rPr>
              <w:t>Como institución pública que forma parte de Sistema Nacional de Gestión del Medio Ambiente, cuenta con la Unida</w:t>
            </w:r>
            <w:r>
              <w:rPr>
                <w:rFonts w:asciiTheme="minorHAnsi" w:eastAsia="Verdana" w:hAnsiTheme="minorHAnsi" w:cs="Arial"/>
              </w:rPr>
              <w:t>d</w:t>
            </w:r>
            <w:r w:rsidRPr="00645AE7">
              <w:rPr>
                <w:rFonts w:asciiTheme="minorHAnsi" w:eastAsia="Verdana" w:hAnsiTheme="minorHAnsi" w:cs="Arial"/>
              </w:rPr>
              <w:t xml:space="preserve"> Ambiental en el año 2015.</w:t>
            </w:r>
          </w:p>
          <w:p w:rsidR="00B548CC" w:rsidRDefault="00B548CC" w:rsidP="00586E15">
            <w:pPr>
              <w:spacing w:after="151" w:line="240" w:lineRule="auto"/>
              <w:jc w:val="both"/>
              <w:rPr>
                <w:rFonts w:asciiTheme="minorHAnsi" w:eastAsia="Verdana" w:hAnsiTheme="minorHAnsi" w:cs="Arial"/>
              </w:rPr>
            </w:pPr>
          </w:p>
          <w:p w:rsidR="00A46A4B" w:rsidRDefault="00586E15" w:rsidP="00586E15">
            <w:pPr>
              <w:spacing w:after="151" w:line="240" w:lineRule="auto"/>
              <w:jc w:val="both"/>
              <w:rPr>
                <w:rFonts w:asciiTheme="minorHAnsi" w:hAnsiTheme="minorHAnsi"/>
              </w:rPr>
            </w:pPr>
            <w:r w:rsidRPr="00A46A4B">
              <w:rPr>
                <w:rFonts w:asciiTheme="minorHAnsi" w:eastAsia="Verdana" w:hAnsiTheme="minorHAnsi" w:cs="Arial"/>
              </w:rPr>
              <w:t>En el año 2016 se crea</w:t>
            </w:r>
            <w:r w:rsidR="00645AE7" w:rsidRPr="00A46A4B">
              <w:rPr>
                <w:rFonts w:asciiTheme="minorHAnsi" w:hAnsiTheme="minorHAnsi"/>
              </w:rPr>
              <w:t xml:space="preserve"> la plaza a Dirección de Relaciones Internacionales y se mantiene la plaza de Coordinador d</w:t>
            </w:r>
            <w:r w:rsidRPr="00A46A4B">
              <w:rPr>
                <w:rFonts w:asciiTheme="minorHAnsi" w:hAnsiTheme="minorHAnsi"/>
              </w:rPr>
              <w:t>e Cooperación en esta Dirección dependiendo jerárquicamente de esta Dirección.</w:t>
            </w:r>
            <w:r w:rsidR="00A46A4B" w:rsidRPr="00A46A4B">
              <w:rPr>
                <w:rFonts w:asciiTheme="minorHAnsi" w:hAnsiTheme="minorHAnsi"/>
              </w:rPr>
              <w:t xml:space="preserve"> </w:t>
            </w:r>
          </w:p>
          <w:p w:rsidR="00B548CC" w:rsidRDefault="00B548CC" w:rsidP="00586E15">
            <w:pPr>
              <w:spacing w:after="151" w:line="240" w:lineRule="auto"/>
              <w:jc w:val="both"/>
              <w:rPr>
                <w:rFonts w:asciiTheme="minorHAnsi" w:eastAsia="Verdana" w:hAnsiTheme="minorHAnsi" w:cs="Arial"/>
              </w:rPr>
            </w:pPr>
          </w:p>
          <w:p w:rsidR="00A46A4B" w:rsidRPr="00A46A4B" w:rsidRDefault="00A46A4B" w:rsidP="00586E15">
            <w:pPr>
              <w:spacing w:after="151" w:line="240" w:lineRule="auto"/>
              <w:jc w:val="both"/>
              <w:rPr>
                <w:rFonts w:asciiTheme="minorHAnsi" w:eastAsia="Verdana" w:hAnsiTheme="minorHAnsi" w:cs="Arial"/>
              </w:rPr>
            </w:pPr>
            <w:r w:rsidRPr="00A46A4B">
              <w:rPr>
                <w:rFonts w:asciiTheme="minorHAnsi" w:eastAsia="Verdana" w:hAnsiTheme="minorHAnsi" w:cs="Arial"/>
              </w:rPr>
              <w:t>El 28 de julio de 2016, se renombra la Dirección de Planificación y Política Sectorial a Dirección de Planificación, Política Sectorial y Administración.</w:t>
            </w:r>
          </w:p>
          <w:p w:rsidR="00B548CC" w:rsidRDefault="00B548CC" w:rsidP="00B548CC">
            <w:pPr>
              <w:spacing w:after="151" w:line="240" w:lineRule="auto"/>
              <w:jc w:val="both"/>
              <w:rPr>
                <w:rFonts w:asciiTheme="minorHAnsi" w:hAnsiTheme="minorHAnsi"/>
              </w:rPr>
            </w:pPr>
          </w:p>
          <w:p w:rsidR="004F7678" w:rsidRPr="004F7678" w:rsidRDefault="00A46A4B" w:rsidP="00B548CC">
            <w:pPr>
              <w:spacing w:after="151" w:line="240" w:lineRule="auto"/>
              <w:jc w:val="both"/>
              <w:rPr>
                <w:rFonts w:asciiTheme="minorHAnsi" w:hAnsiTheme="minorHAnsi"/>
              </w:rPr>
            </w:pPr>
            <w:r>
              <w:rPr>
                <w:rFonts w:asciiTheme="minorHAnsi" w:hAnsiTheme="minorHAnsi"/>
              </w:rPr>
              <w:t>La Unidad de Informática, Gestión Documental y Archivo y la Unidad Administrativa p</w:t>
            </w:r>
            <w:r w:rsidRPr="00A46A4B">
              <w:rPr>
                <w:rFonts w:asciiTheme="minorHAnsi" w:hAnsiTheme="minorHAnsi"/>
              </w:rPr>
              <w:t>asa a ser jerárquicamente dependencia de la Dirección de Planificación, Política Sectorial y Administración</w:t>
            </w:r>
            <w:r>
              <w:rPr>
                <w:rFonts w:asciiTheme="minorHAnsi" w:hAnsiTheme="minorHAnsi"/>
              </w:rPr>
              <w:t xml:space="preserve"> en el año 2016.</w:t>
            </w:r>
          </w:p>
        </w:tc>
      </w:tr>
      <w:tr w:rsidR="0088120C" w:rsidTr="005B1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939"/>
        </w:trPr>
        <w:tc>
          <w:tcPr>
            <w:tcW w:w="2206" w:type="dxa"/>
            <w:vAlign w:val="center"/>
          </w:tcPr>
          <w:p w:rsidR="0088120C" w:rsidRPr="006B3D69" w:rsidRDefault="006B3D69" w:rsidP="005B1073">
            <w:pPr>
              <w:rPr>
                <w:b/>
              </w:rPr>
            </w:pPr>
            <w:r w:rsidRPr="006B3D69">
              <w:rPr>
                <w:b/>
              </w:rPr>
              <w:lastRenderedPageBreak/>
              <w:t xml:space="preserve">3.2. Contexto cultural geográfico </w:t>
            </w:r>
          </w:p>
        </w:tc>
        <w:tc>
          <w:tcPr>
            <w:tcW w:w="6847" w:type="dxa"/>
            <w:vAlign w:val="center"/>
          </w:tcPr>
          <w:p w:rsidR="0088120C" w:rsidRDefault="0088120C" w:rsidP="005B1073"/>
          <w:p w:rsidR="006B3D69" w:rsidRDefault="006B3D69" w:rsidP="005B1073">
            <w:r>
              <w:rPr>
                <w:noProof/>
              </w:rPr>
              <w:drawing>
                <wp:anchor distT="0" distB="0" distL="114300" distR="114300" simplePos="0" relativeHeight="251673600" behindDoc="0" locked="0" layoutInCell="1" allowOverlap="1">
                  <wp:simplePos x="0" y="0"/>
                  <wp:positionH relativeFrom="column">
                    <wp:posOffset>189865</wp:posOffset>
                  </wp:positionH>
                  <wp:positionV relativeFrom="paragraph">
                    <wp:posOffset>88265</wp:posOffset>
                  </wp:positionV>
                  <wp:extent cx="3900170" cy="26035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2119" r="1716" b="2525"/>
                          <a:stretch/>
                        </pic:blipFill>
                        <pic:spPr bwMode="auto">
                          <a:xfrm>
                            <a:off x="0" y="0"/>
                            <a:ext cx="3900170" cy="2603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B3D69" w:rsidRDefault="006B3D69" w:rsidP="005B1073"/>
          <w:p w:rsidR="006B3D69" w:rsidRDefault="006B3D69" w:rsidP="005B1073"/>
          <w:p w:rsidR="006B3D69" w:rsidRDefault="006B3D69" w:rsidP="005B1073"/>
          <w:p w:rsidR="006B3D69" w:rsidRDefault="006B3D69" w:rsidP="005B1073"/>
          <w:p w:rsidR="006B3D69" w:rsidRDefault="006B3D69" w:rsidP="005B1073"/>
          <w:p w:rsidR="006B3D69" w:rsidRDefault="006B3D69" w:rsidP="005B1073"/>
          <w:p w:rsidR="006B3D69" w:rsidRDefault="006B3D69" w:rsidP="005B1073"/>
          <w:p w:rsidR="006B3D69" w:rsidRDefault="006B3D69" w:rsidP="005B1073"/>
          <w:p w:rsidR="006B3D69" w:rsidRDefault="006B3D69" w:rsidP="005B1073"/>
          <w:p w:rsidR="006B3D69" w:rsidRDefault="006B3D69" w:rsidP="005B1073"/>
          <w:p w:rsidR="006B3D69" w:rsidRDefault="006B3D69" w:rsidP="005B1073"/>
          <w:p w:rsidR="006B3D69" w:rsidRDefault="006B3D69" w:rsidP="005B1073"/>
          <w:p w:rsidR="006B3D69" w:rsidRDefault="006B3D69" w:rsidP="005B1073"/>
          <w:p w:rsidR="006B3D69" w:rsidRDefault="006B3D69" w:rsidP="005B1073"/>
          <w:p w:rsidR="00B548CC" w:rsidRDefault="00B548CC" w:rsidP="005B1073"/>
          <w:p w:rsidR="00B548CC" w:rsidRDefault="00B548CC" w:rsidP="005B1073"/>
          <w:p w:rsidR="00B548CC" w:rsidRDefault="00B548CC" w:rsidP="005B1073"/>
          <w:p w:rsidR="00B548CC" w:rsidRDefault="00B548CC" w:rsidP="005B1073"/>
        </w:tc>
      </w:tr>
      <w:tr w:rsidR="0088120C" w:rsidTr="005B1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50"/>
        </w:trPr>
        <w:tc>
          <w:tcPr>
            <w:tcW w:w="2206" w:type="dxa"/>
          </w:tcPr>
          <w:p w:rsidR="00B548CC" w:rsidRDefault="00B548CC" w:rsidP="005B1073">
            <w:pPr>
              <w:rPr>
                <w:b/>
              </w:rPr>
            </w:pPr>
          </w:p>
          <w:p w:rsidR="00B548CC" w:rsidRDefault="00B548CC" w:rsidP="005B1073">
            <w:pPr>
              <w:rPr>
                <w:b/>
              </w:rPr>
            </w:pPr>
          </w:p>
          <w:p w:rsidR="00B548CC" w:rsidRDefault="00B548CC" w:rsidP="005B1073">
            <w:pPr>
              <w:rPr>
                <w:b/>
              </w:rPr>
            </w:pPr>
          </w:p>
          <w:p w:rsidR="0088120C" w:rsidRPr="006B3D69" w:rsidRDefault="006B3D69" w:rsidP="005B1073">
            <w:pPr>
              <w:rPr>
                <w:b/>
              </w:rPr>
            </w:pPr>
            <w:r>
              <w:rPr>
                <w:b/>
              </w:rPr>
              <w:t>3.3. A</w:t>
            </w:r>
            <w:r w:rsidRPr="006B3D69">
              <w:rPr>
                <w:b/>
              </w:rPr>
              <w:t>tribuciones/ fuentes legales</w:t>
            </w:r>
          </w:p>
        </w:tc>
        <w:tc>
          <w:tcPr>
            <w:tcW w:w="6847" w:type="dxa"/>
          </w:tcPr>
          <w:p w:rsidR="00B548CC" w:rsidRDefault="00B548CC" w:rsidP="00B548CC">
            <w:pPr>
              <w:pStyle w:val="Prrafodelista"/>
            </w:pPr>
          </w:p>
          <w:p w:rsidR="00B548CC" w:rsidRDefault="00B548CC" w:rsidP="00B548CC">
            <w:pPr>
              <w:pStyle w:val="Prrafodelista"/>
            </w:pPr>
          </w:p>
          <w:p w:rsidR="00B548CC" w:rsidRDefault="00B548CC" w:rsidP="00B548CC"/>
          <w:p w:rsidR="0088120C" w:rsidRDefault="006B3D69" w:rsidP="005B1073">
            <w:pPr>
              <w:pStyle w:val="Prrafodelista"/>
              <w:numPr>
                <w:ilvl w:val="0"/>
                <w:numId w:val="2"/>
              </w:numPr>
            </w:pPr>
            <w:r>
              <w:t xml:space="preserve">Ley de Acceso a la Información Pública </w:t>
            </w:r>
          </w:p>
          <w:p w:rsidR="006B3D69" w:rsidRDefault="006B3D69" w:rsidP="005B1073">
            <w:pPr>
              <w:pStyle w:val="Prrafodelista"/>
              <w:numPr>
                <w:ilvl w:val="0"/>
                <w:numId w:val="2"/>
              </w:numPr>
            </w:pPr>
            <w:r>
              <w:t xml:space="preserve">Reglamento de la  Ley de Acceso a la Información Pública </w:t>
            </w:r>
          </w:p>
          <w:p w:rsidR="006B3D69" w:rsidRDefault="006B3D69" w:rsidP="005B1073">
            <w:pPr>
              <w:pStyle w:val="Prrafodelista"/>
              <w:numPr>
                <w:ilvl w:val="0"/>
                <w:numId w:val="2"/>
              </w:numPr>
            </w:pPr>
            <w:r>
              <w:t>Lineamientos de Gestión Documental y Archivos</w:t>
            </w:r>
          </w:p>
        </w:tc>
      </w:tr>
      <w:tr w:rsidR="006B3D69" w:rsidTr="005B1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21"/>
        </w:trPr>
        <w:tc>
          <w:tcPr>
            <w:tcW w:w="2206" w:type="dxa"/>
          </w:tcPr>
          <w:p w:rsidR="006B3D69" w:rsidRDefault="006B3D69" w:rsidP="005B1073">
            <w:r>
              <w:lastRenderedPageBreak/>
              <w:t>3.4. Estructura administrativa</w:t>
            </w:r>
          </w:p>
        </w:tc>
        <w:tc>
          <w:tcPr>
            <w:tcW w:w="6847" w:type="dxa"/>
          </w:tcPr>
          <w:p w:rsidR="005B1073" w:rsidRDefault="005B1073" w:rsidP="005B1073"/>
          <w:p w:rsidR="005B1073" w:rsidRDefault="005B1073" w:rsidP="005B1073">
            <w:r w:rsidRPr="002257BF">
              <w:rPr>
                <w:noProof/>
              </w:rPr>
              <w:drawing>
                <wp:anchor distT="0" distB="0" distL="114300" distR="114300" simplePos="0" relativeHeight="251677696" behindDoc="0" locked="0" layoutInCell="1" allowOverlap="1" wp14:anchorId="1CED312F" wp14:editId="5284931E">
                  <wp:simplePos x="0" y="0"/>
                  <wp:positionH relativeFrom="page">
                    <wp:posOffset>39675</wp:posOffset>
                  </wp:positionH>
                  <wp:positionV relativeFrom="paragraph">
                    <wp:posOffset>17844</wp:posOffset>
                  </wp:positionV>
                  <wp:extent cx="4258950" cy="481393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1593"/>
                          <a:stretch/>
                        </pic:blipFill>
                        <pic:spPr bwMode="auto">
                          <a:xfrm>
                            <a:off x="0" y="0"/>
                            <a:ext cx="4275555" cy="48327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5B1073" w:rsidRDefault="005B1073" w:rsidP="005B1073"/>
          <w:p w:rsidR="006B3D69" w:rsidRDefault="006B3D69" w:rsidP="005B1073"/>
        </w:tc>
      </w:tr>
      <w:tr w:rsidR="005B1073" w:rsidTr="005B1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729"/>
        </w:trPr>
        <w:tc>
          <w:tcPr>
            <w:tcW w:w="2206" w:type="dxa"/>
            <w:vAlign w:val="center"/>
          </w:tcPr>
          <w:p w:rsidR="005B1073" w:rsidRDefault="005B1073" w:rsidP="005B1073">
            <w:r>
              <w:rPr>
                <w:b/>
              </w:rPr>
              <w:t>3.5 Gestión de documentos y política de ingreso</w:t>
            </w:r>
          </w:p>
        </w:tc>
        <w:tc>
          <w:tcPr>
            <w:tcW w:w="6847" w:type="dxa"/>
            <w:vAlign w:val="center"/>
          </w:tcPr>
          <w:p w:rsidR="005B1073" w:rsidRDefault="005B1073" w:rsidP="005B1073">
            <w:r>
              <w:t xml:space="preserve">Los documentos resguardados en las instalaciones del Ministerio de Turismo, pertenecen a los documentos producidos por cada una de las Unidades, Gerencias y Direcciones de la Institución.  </w:t>
            </w:r>
          </w:p>
        </w:tc>
      </w:tr>
      <w:tr w:rsidR="005B1073" w:rsidTr="005B1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19"/>
        </w:trPr>
        <w:tc>
          <w:tcPr>
            <w:tcW w:w="2206" w:type="dxa"/>
            <w:vAlign w:val="center"/>
          </w:tcPr>
          <w:p w:rsidR="005B1073" w:rsidRDefault="005B1073" w:rsidP="005B1073">
            <w:r>
              <w:rPr>
                <w:b/>
              </w:rPr>
              <w:t>3.6 Edificio</w:t>
            </w:r>
          </w:p>
        </w:tc>
        <w:tc>
          <w:tcPr>
            <w:tcW w:w="6847" w:type="dxa"/>
            <w:vAlign w:val="center"/>
          </w:tcPr>
          <w:p w:rsidR="005B1073" w:rsidRDefault="005B1073" w:rsidP="005B1073"/>
        </w:tc>
      </w:tr>
      <w:tr w:rsidR="005B1073" w:rsidTr="005B1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02"/>
        </w:trPr>
        <w:tc>
          <w:tcPr>
            <w:tcW w:w="2206" w:type="dxa"/>
            <w:vAlign w:val="center"/>
          </w:tcPr>
          <w:p w:rsidR="005B1073" w:rsidRDefault="005B1073" w:rsidP="005B1073">
            <w:r>
              <w:rPr>
                <w:b/>
              </w:rPr>
              <w:t>3.7 Secciones y otras colecciones custodiadas</w:t>
            </w:r>
          </w:p>
        </w:tc>
        <w:tc>
          <w:tcPr>
            <w:tcW w:w="6847" w:type="dxa"/>
            <w:vAlign w:val="center"/>
          </w:tcPr>
          <w:p w:rsidR="005B1073" w:rsidRDefault="005B1073" w:rsidP="005B1073">
            <w:r>
              <w:t xml:space="preserve">Los archivos se encuentran en dos formatos, digital y físico (año anterior y año en curso) en orden cronológico, los archivos de años anteriores se encuentran  en cada una de las Unidades generadoras del documento.   </w:t>
            </w:r>
          </w:p>
        </w:tc>
      </w:tr>
    </w:tbl>
    <w:p w:rsidR="0088120C" w:rsidRDefault="0088120C" w:rsidP="0088120C"/>
    <w:p w:rsidR="0088120C" w:rsidRPr="0088120C" w:rsidRDefault="0088120C" w:rsidP="0088120C"/>
    <w:p w:rsidR="0088120C" w:rsidRPr="0088120C" w:rsidRDefault="0088120C" w:rsidP="0088120C"/>
    <w:p w:rsidR="0088120C" w:rsidRPr="0088120C" w:rsidRDefault="0088120C" w:rsidP="0088120C"/>
    <w:tbl>
      <w:tblPr>
        <w:tblStyle w:val="TableGrid"/>
        <w:tblW w:w="9053" w:type="dxa"/>
        <w:tblInd w:w="155" w:type="dxa"/>
        <w:tblCellMar>
          <w:left w:w="107" w:type="dxa"/>
          <w:right w:w="115" w:type="dxa"/>
        </w:tblCellMar>
        <w:tblLook w:val="04A0" w:firstRow="1" w:lastRow="0" w:firstColumn="1" w:lastColumn="0" w:noHBand="0" w:noVBand="1"/>
      </w:tblPr>
      <w:tblGrid>
        <w:gridCol w:w="2152"/>
        <w:gridCol w:w="6901"/>
      </w:tblGrid>
      <w:tr w:rsidR="004C7274" w:rsidTr="005B1073">
        <w:trPr>
          <w:trHeight w:val="817"/>
        </w:trPr>
        <w:tc>
          <w:tcPr>
            <w:tcW w:w="2152" w:type="dxa"/>
            <w:tcBorders>
              <w:top w:val="single" w:sz="4" w:space="0" w:color="000000"/>
              <w:left w:val="single" w:sz="4" w:space="0" w:color="000000"/>
              <w:bottom w:val="single" w:sz="4" w:space="0" w:color="000000"/>
              <w:right w:val="single" w:sz="4" w:space="0" w:color="000000"/>
            </w:tcBorders>
          </w:tcPr>
          <w:p w:rsidR="004C7274" w:rsidRDefault="007651F2">
            <w:r>
              <w:rPr>
                <w:b/>
              </w:rPr>
              <w:t xml:space="preserve">3.8 Instrumentos de descripción, guías y publicaciones </w:t>
            </w:r>
          </w:p>
        </w:tc>
        <w:tc>
          <w:tcPr>
            <w:tcW w:w="6901" w:type="dxa"/>
            <w:tcBorders>
              <w:top w:val="single" w:sz="4" w:space="0" w:color="000000"/>
              <w:left w:val="single" w:sz="4" w:space="0" w:color="000000"/>
              <w:bottom w:val="single" w:sz="4" w:space="0" w:color="000000"/>
              <w:right w:val="single" w:sz="4" w:space="0" w:color="000000"/>
            </w:tcBorders>
          </w:tcPr>
          <w:p w:rsidR="004C7274" w:rsidRDefault="007651F2">
            <w:pPr>
              <w:spacing w:after="32" w:line="240" w:lineRule="auto"/>
              <w:ind w:left="1"/>
            </w:pPr>
            <w:r>
              <w:t xml:space="preserve"> </w:t>
            </w:r>
          </w:p>
          <w:p w:rsidR="004C7274" w:rsidRDefault="005B1073">
            <w:pPr>
              <w:spacing w:after="32" w:line="240" w:lineRule="auto"/>
              <w:ind w:left="1"/>
            </w:pPr>
            <w:r>
              <w:t xml:space="preserve">Guía de organización </w:t>
            </w:r>
          </w:p>
          <w:p w:rsidR="005B1073" w:rsidRDefault="005B1073">
            <w:pPr>
              <w:spacing w:after="32" w:line="240" w:lineRule="auto"/>
              <w:ind w:left="1"/>
            </w:pPr>
            <w:r>
              <w:t>Información publica oficiosa por medio del sitio web institucional</w:t>
            </w:r>
          </w:p>
          <w:p w:rsidR="004C7274" w:rsidRDefault="007651F2">
            <w:pPr>
              <w:ind w:left="1"/>
            </w:pPr>
            <w:r>
              <w:t xml:space="preserve"> </w:t>
            </w:r>
          </w:p>
        </w:tc>
      </w:tr>
      <w:tr w:rsidR="004C7274" w:rsidTr="005B1073">
        <w:trPr>
          <w:trHeight w:val="276"/>
        </w:trPr>
        <w:tc>
          <w:tcPr>
            <w:tcW w:w="9053" w:type="dxa"/>
            <w:gridSpan w:val="2"/>
            <w:tcBorders>
              <w:top w:val="single" w:sz="4" w:space="0" w:color="000000"/>
              <w:left w:val="single" w:sz="4" w:space="0" w:color="000000"/>
              <w:bottom w:val="single" w:sz="4" w:space="0" w:color="000000"/>
              <w:right w:val="single" w:sz="4" w:space="0" w:color="000000"/>
            </w:tcBorders>
            <w:shd w:val="clear" w:color="auto" w:fill="5B9BD5" w:themeFill="accent1"/>
          </w:tcPr>
          <w:p w:rsidR="004C7274" w:rsidRDefault="007651F2">
            <w:pPr>
              <w:ind w:left="360"/>
            </w:pPr>
            <w:r>
              <w:rPr>
                <w:b/>
              </w:rPr>
              <w:t>4.</w:t>
            </w:r>
            <w:r>
              <w:rPr>
                <w:rFonts w:ascii="Arial" w:eastAsia="Arial" w:hAnsi="Arial" w:cs="Arial"/>
                <w:b/>
              </w:rPr>
              <w:t xml:space="preserve"> </w:t>
            </w:r>
            <w:r w:rsidR="005B1073">
              <w:rPr>
                <w:b/>
              </w:rPr>
              <w:t>Área de Acces</w:t>
            </w:r>
            <w:r>
              <w:rPr>
                <w:b/>
              </w:rPr>
              <w:t xml:space="preserve">o </w:t>
            </w:r>
          </w:p>
        </w:tc>
      </w:tr>
      <w:tr w:rsidR="004C7274" w:rsidTr="005B1073">
        <w:trPr>
          <w:trHeight w:val="549"/>
        </w:trPr>
        <w:tc>
          <w:tcPr>
            <w:tcW w:w="2152" w:type="dxa"/>
            <w:tcBorders>
              <w:top w:val="single" w:sz="4" w:space="0" w:color="000000"/>
              <w:left w:val="single" w:sz="4" w:space="0" w:color="000000"/>
              <w:bottom w:val="single" w:sz="4" w:space="0" w:color="000000"/>
              <w:right w:val="single" w:sz="4" w:space="0" w:color="000000"/>
            </w:tcBorders>
          </w:tcPr>
          <w:p w:rsidR="004C7274" w:rsidRDefault="007651F2">
            <w:r>
              <w:rPr>
                <w:b/>
              </w:rPr>
              <w:t xml:space="preserve">4.1 Horarios de apertura </w:t>
            </w:r>
          </w:p>
        </w:tc>
        <w:tc>
          <w:tcPr>
            <w:tcW w:w="6901" w:type="dxa"/>
            <w:tcBorders>
              <w:top w:val="single" w:sz="4" w:space="0" w:color="000000"/>
              <w:left w:val="single" w:sz="4" w:space="0" w:color="000000"/>
              <w:bottom w:val="single" w:sz="4" w:space="0" w:color="000000"/>
              <w:right w:val="single" w:sz="4" w:space="0" w:color="000000"/>
            </w:tcBorders>
          </w:tcPr>
          <w:p w:rsidR="004C7274" w:rsidRDefault="007651F2">
            <w:pPr>
              <w:ind w:left="1"/>
            </w:pPr>
            <w:r>
              <w:t xml:space="preserve">Apertura al público: lunes a viernes de  8:00 am – 4:00 pm, con receso de 12:30-1:30 pm.  </w:t>
            </w:r>
          </w:p>
          <w:p w:rsidR="00412CA4" w:rsidRDefault="00412CA4">
            <w:pPr>
              <w:ind w:left="1"/>
            </w:pPr>
            <w:r>
              <w:t>Cerrado al público los fines de semana.</w:t>
            </w:r>
          </w:p>
        </w:tc>
      </w:tr>
      <w:tr w:rsidR="004C7274" w:rsidTr="005B1073">
        <w:trPr>
          <w:trHeight w:val="1891"/>
        </w:trPr>
        <w:tc>
          <w:tcPr>
            <w:tcW w:w="2152" w:type="dxa"/>
            <w:tcBorders>
              <w:top w:val="single" w:sz="4" w:space="0" w:color="000000"/>
              <w:left w:val="single" w:sz="4" w:space="0" w:color="000000"/>
              <w:bottom w:val="single" w:sz="4" w:space="0" w:color="000000"/>
              <w:right w:val="single" w:sz="4" w:space="0" w:color="000000"/>
            </w:tcBorders>
          </w:tcPr>
          <w:p w:rsidR="004C7274" w:rsidRDefault="007651F2">
            <w:pPr>
              <w:spacing w:after="32" w:line="240" w:lineRule="auto"/>
            </w:pPr>
            <w:r>
              <w:rPr>
                <w:b/>
              </w:rPr>
              <w:t xml:space="preserve"> </w:t>
            </w:r>
          </w:p>
          <w:p w:rsidR="004C7274" w:rsidRDefault="007651F2">
            <w:r>
              <w:rPr>
                <w:b/>
              </w:rPr>
              <w:t xml:space="preserve">4.2 Condiciones y requisitos para el uso y el acceso </w:t>
            </w:r>
          </w:p>
        </w:tc>
        <w:tc>
          <w:tcPr>
            <w:tcW w:w="6901" w:type="dxa"/>
            <w:tcBorders>
              <w:top w:val="single" w:sz="4" w:space="0" w:color="000000"/>
              <w:left w:val="single" w:sz="4" w:space="0" w:color="000000"/>
              <w:bottom w:val="single" w:sz="4" w:space="0" w:color="000000"/>
              <w:right w:val="single" w:sz="4" w:space="0" w:color="000000"/>
            </w:tcBorders>
          </w:tcPr>
          <w:p w:rsidR="004C7274" w:rsidRDefault="007651F2">
            <w:pPr>
              <w:spacing w:after="32" w:line="248" w:lineRule="auto"/>
              <w:ind w:left="1"/>
            </w:pPr>
            <w:r>
              <w:t xml:space="preserve">Para el ingreso a las instalaciones al Ministerio de Turismo se debe presentar el Documento Único de Identidad Personal con el personal de vigilancia de la institución.   </w:t>
            </w:r>
          </w:p>
          <w:p w:rsidR="004C7274" w:rsidRDefault="007651F2">
            <w:pPr>
              <w:spacing w:after="32" w:line="240" w:lineRule="auto"/>
              <w:ind w:left="1"/>
            </w:pPr>
            <w:r>
              <w:t xml:space="preserve"> </w:t>
            </w:r>
          </w:p>
          <w:p w:rsidR="004C7274" w:rsidRDefault="007651F2">
            <w:pPr>
              <w:ind w:left="1"/>
            </w:pPr>
            <w:r>
              <w:t xml:space="preserve">En el Edificio </w:t>
            </w:r>
            <w:proofErr w:type="spellStart"/>
            <w:r>
              <w:t>Carbonel</w:t>
            </w:r>
            <w:proofErr w:type="spellEnd"/>
            <w:r>
              <w:t xml:space="preserve"> 2, segundo nivel, se encuentra la UAIP, lugar donde  se proporcionará el formulario respectivo para las consultas de documentos.  </w:t>
            </w:r>
          </w:p>
        </w:tc>
      </w:tr>
      <w:tr w:rsidR="004C7274" w:rsidTr="005B1073">
        <w:trPr>
          <w:trHeight w:val="1622"/>
        </w:trPr>
        <w:tc>
          <w:tcPr>
            <w:tcW w:w="2152" w:type="dxa"/>
            <w:tcBorders>
              <w:top w:val="single" w:sz="4" w:space="0" w:color="000000"/>
              <w:left w:val="single" w:sz="4" w:space="0" w:color="000000"/>
              <w:bottom w:val="single" w:sz="4" w:space="0" w:color="000000"/>
              <w:right w:val="single" w:sz="4" w:space="0" w:color="000000"/>
            </w:tcBorders>
          </w:tcPr>
          <w:p w:rsidR="004C7274" w:rsidRDefault="007651F2">
            <w:pPr>
              <w:spacing w:after="32" w:line="240" w:lineRule="auto"/>
            </w:pPr>
            <w:r>
              <w:rPr>
                <w:b/>
              </w:rPr>
              <w:t xml:space="preserve"> </w:t>
            </w:r>
          </w:p>
          <w:p w:rsidR="004C7274" w:rsidRDefault="007651F2">
            <w:r>
              <w:rPr>
                <w:b/>
              </w:rPr>
              <w:t xml:space="preserve">4.3 Accesibilidad </w:t>
            </w:r>
          </w:p>
        </w:tc>
        <w:tc>
          <w:tcPr>
            <w:tcW w:w="6901" w:type="dxa"/>
            <w:tcBorders>
              <w:top w:val="single" w:sz="4" w:space="0" w:color="000000"/>
              <w:left w:val="single" w:sz="4" w:space="0" w:color="000000"/>
              <w:bottom w:val="single" w:sz="4" w:space="0" w:color="000000"/>
              <w:right w:val="single" w:sz="4" w:space="0" w:color="000000"/>
            </w:tcBorders>
          </w:tcPr>
          <w:p w:rsidR="004C7274" w:rsidRDefault="007651F2">
            <w:pPr>
              <w:spacing w:after="30" w:line="248" w:lineRule="auto"/>
              <w:ind w:left="1"/>
            </w:pPr>
            <w:r>
              <w:t xml:space="preserve">La entrada principal al Ministerio de  Turismo es sobre la Alameda Dr. Manuel Enrique Araujo, cuenta además con una entrada sobre el Pasaje </w:t>
            </w:r>
            <w:proofErr w:type="spellStart"/>
            <w:r>
              <w:t>Carbonel</w:t>
            </w:r>
            <w:proofErr w:type="spellEnd"/>
            <w:r>
              <w:t xml:space="preserve"> por la cual se puede acceder a la UAIP. </w:t>
            </w:r>
          </w:p>
          <w:p w:rsidR="004C7274" w:rsidRDefault="007651F2">
            <w:pPr>
              <w:ind w:left="1"/>
            </w:pPr>
            <w:r>
              <w:t xml:space="preserve">Quienes se transportan en vehículo pueden hacer uso del estacionamiento situado a una corta distancia de la segunda entrada a la Institución.  </w:t>
            </w:r>
          </w:p>
        </w:tc>
      </w:tr>
      <w:tr w:rsidR="004C7274" w:rsidTr="005B1073">
        <w:trPr>
          <w:trHeight w:val="276"/>
        </w:trPr>
        <w:tc>
          <w:tcPr>
            <w:tcW w:w="9053" w:type="dxa"/>
            <w:gridSpan w:val="2"/>
            <w:tcBorders>
              <w:top w:val="single" w:sz="4" w:space="0" w:color="000000"/>
              <w:left w:val="single" w:sz="4" w:space="0" w:color="000000"/>
              <w:bottom w:val="single" w:sz="4" w:space="0" w:color="000000"/>
              <w:right w:val="single" w:sz="4" w:space="0" w:color="000000"/>
            </w:tcBorders>
            <w:shd w:val="clear" w:color="auto" w:fill="5B9BD5" w:themeFill="accent1"/>
          </w:tcPr>
          <w:p w:rsidR="004C7274" w:rsidRDefault="007651F2">
            <w:pPr>
              <w:ind w:left="360"/>
            </w:pPr>
            <w:r>
              <w:rPr>
                <w:b/>
              </w:rPr>
              <w:t>5.</w:t>
            </w:r>
            <w:r>
              <w:rPr>
                <w:rFonts w:ascii="Arial" w:eastAsia="Arial" w:hAnsi="Arial" w:cs="Arial"/>
                <w:b/>
              </w:rPr>
              <w:t xml:space="preserve"> </w:t>
            </w:r>
            <w:r w:rsidR="001F4045">
              <w:rPr>
                <w:b/>
              </w:rPr>
              <w:t>Área de Servic</w:t>
            </w:r>
            <w:r>
              <w:rPr>
                <w:b/>
              </w:rPr>
              <w:t xml:space="preserve">io </w:t>
            </w:r>
          </w:p>
        </w:tc>
      </w:tr>
      <w:tr w:rsidR="004C7274" w:rsidTr="005B1073">
        <w:trPr>
          <w:trHeight w:val="1086"/>
        </w:trPr>
        <w:tc>
          <w:tcPr>
            <w:tcW w:w="2152" w:type="dxa"/>
            <w:tcBorders>
              <w:top w:val="single" w:sz="4" w:space="0" w:color="000000"/>
              <w:left w:val="single" w:sz="4" w:space="0" w:color="000000"/>
              <w:bottom w:val="single" w:sz="4" w:space="0" w:color="000000"/>
              <w:right w:val="single" w:sz="4" w:space="0" w:color="000000"/>
            </w:tcBorders>
          </w:tcPr>
          <w:p w:rsidR="004C7274" w:rsidRDefault="007651F2">
            <w:r>
              <w:rPr>
                <w:b/>
              </w:rPr>
              <w:t xml:space="preserve">5.1. Servicios de ayuda a la investigación </w:t>
            </w:r>
          </w:p>
        </w:tc>
        <w:tc>
          <w:tcPr>
            <w:tcW w:w="6901" w:type="dxa"/>
            <w:tcBorders>
              <w:top w:val="single" w:sz="4" w:space="0" w:color="000000"/>
              <w:left w:val="single" w:sz="4" w:space="0" w:color="000000"/>
              <w:bottom w:val="single" w:sz="4" w:space="0" w:color="000000"/>
              <w:right w:val="single" w:sz="4" w:space="0" w:color="000000"/>
            </w:tcBorders>
          </w:tcPr>
          <w:p w:rsidR="001F4045" w:rsidRDefault="001F4045" w:rsidP="001F4045">
            <w:pPr>
              <w:spacing w:after="32" w:line="240" w:lineRule="auto"/>
              <w:ind w:left="1"/>
            </w:pPr>
          </w:p>
          <w:p w:rsidR="004C7274" w:rsidRDefault="001F4045" w:rsidP="001F4045">
            <w:pPr>
              <w:spacing w:after="32" w:line="240" w:lineRule="auto"/>
              <w:ind w:left="1"/>
            </w:pPr>
            <w:r>
              <w:t>Se cuenta con r</w:t>
            </w:r>
            <w:r w:rsidR="007651F2">
              <w:t xml:space="preserve">eproducción documental impresa y digital. </w:t>
            </w:r>
          </w:p>
        </w:tc>
      </w:tr>
      <w:tr w:rsidR="004C7274" w:rsidTr="00E53100">
        <w:trPr>
          <w:trHeight w:val="549"/>
        </w:trPr>
        <w:tc>
          <w:tcPr>
            <w:tcW w:w="2152" w:type="dxa"/>
            <w:tcBorders>
              <w:top w:val="single" w:sz="4" w:space="0" w:color="000000"/>
              <w:left w:val="single" w:sz="4" w:space="0" w:color="000000"/>
              <w:bottom w:val="single" w:sz="4" w:space="0" w:color="000000"/>
              <w:right w:val="single" w:sz="4" w:space="0" w:color="000000"/>
            </w:tcBorders>
          </w:tcPr>
          <w:p w:rsidR="00E53100" w:rsidRDefault="007651F2" w:rsidP="00E53100">
            <w:pPr>
              <w:spacing w:after="32" w:line="240" w:lineRule="auto"/>
            </w:pPr>
            <w:r>
              <w:rPr>
                <w:b/>
              </w:rPr>
              <w:t xml:space="preserve"> 5.2. Servicios de reproducción </w:t>
            </w:r>
            <w:r w:rsidR="00E53100">
              <w:rPr>
                <w:b/>
              </w:rPr>
              <w:t xml:space="preserve">                                      </w:t>
            </w:r>
          </w:p>
          <w:p w:rsidR="004C7274" w:rsidRPr="00E53100" w:rsidRDefault="004C7274" w:rsidP="00E53100"/>
        </w:tc>
        <w:tc>
          <w:tcPr>
            <w:tcW w:w="6901" w:type="dxa"/>
            <w:tcBorders>
              <w:top w:val="single" w:sz="4" w:space="0" w:color="000000"/>
              <w:left w:val="single" w:sz="4" w:space="0" w:color="000000"/>
              <w:bottom w:val="single" w:sz="4" w:space="0" w:color="000000"/>
              <w:right w:val="single" w:sz="4" w:space="0" w:color="000000"/>
            </w:tcBorders>
          </w:tcPr>
          <w:p w:rsidR="004C7274" w:rsidRPr="00E53100" w:rsidRDefault="007651F2" w:rsidP="00E53100">
            <w:pPr>
              <w:ind w:left="1"/>
            </w:pPr>
            <w:r>
              <w:t xml:space="preserve"> </w:t>
            </w:r>
            <w:r w:rsidR="00E53100">
              <w:t>No existen costos de reproducción.</w:t>
            </w:r>
            <w:bookmarkStart w:id="0" w:name="_GoBack"/>
            <w:bookmarkEnd w:id="0"/>
          </w:p>
        </w:tc>
      </w:tr>
      <w:tr w:rsidR="004C7274" w:rsidTr="005B1073">
        <w:trPr>
          <w:trHeight w:val="550"/>
        </w:trPr>
        <w:tc>
          <w:tcPr>
            <w:tcW w:w="2152" w:type="dxa"/>
            <w:tcBorders>
              <w:top w:val="single" w:sz="4" w:space="0" w:color="000000"/>
              <w:left w:val="single" w:sz="4" w:space="0" w:color="000000"/>
              <w:bottom w:val="single" w:sz="4" w:space="0" w:color="000000"/>
              <w:right w:val="single" w:sz="4" w:space="0" w:color="000000"/>
            </w:tcBorders>
          </w:tcPr>
          <w:p w:rsidR="004C7274" w:rsidRDefault="007651F2">
            <w:r>
              <w:rPr>
                <w:b/>
              </w:rPr>
              <w:t xml:space="preserve">5.3. Espacios públicos </w:t>
            </w:r>
          </w:p>
        </w:tc>
        <w:tc>
          <w:tcPr>
            <w:tcW w:w="6901" w:type="dxa"/>
            <w:tcBorders>
              <w:top w:val="single" w:sz="4" w:space="0" w:color="000000"/>
              <w:left w:val="single" w:sz="4" w:space="0" w:color="000000"/>
              <w:bottom w:val="single" w:sz="4" w:space="0" w:color="000000"/>
              <w:right w:val="single" w:sz="4" w:space="0" w:color="000000"/>
            </w:tcBorders>
          </w:tcPr>
          <w:p w:rsidR="004C7274" w:rsidRDefault="007651F2">
            <w:pPr>
              <w:ind w:left="1"/>
            </w:pPr>
            <w:r>
              <w:t xml:space="preserve">Dentro de las instalaciones se cuentan con sala de espera en recepción y baños para las personas que visitan y realizan consultas.   </w:t>
            </w:r>
          </w:p>
        </w:tc>
      </w:tr>
      <w:tr w:rsidR="004C7274" w:rsidTr="005B1073">
        <w:trPr>
          <w:trHeight w:val="275"/>
        </w:trPr>
        <w:tc>
          <w:tcPr>
            <w:tcW w:w="9053" w:type="dxa"/>
            <w:gridSpan w:val="2"/>
            <w:tcBorders>
              <w:top w:val="single" w:sz="4" w:space="0" w:color="000000"/>
              <w:left w:val="single" w:sz="4" w:space="0" w:color="000000"/>
              <w:bottom w:val="single" w:sz="4" w:space="0" w:color="000000"/>
              <w:right w:val="single" w:sz="4" w:space="0" w:color="000000"/>
            </w:tcBorders>
            <w:shd w:val="clear" w:color="auto" w:fill="5B9BD5" w:themeFill="accent1"/>
          </w:tcPr>
          <w:p w:rsidR="004C7274" w:rsidRDefault="007651F2">
            <w:pPr>
              <w:ind w:left="360"/>
            </w:pPr>
            <w:r>
              <w:rPr>
                <w:b/>
              </w:rPr>
              <w:t>6.</w:t>
            </w:r>
            <w:r>
              <w:rPr>
                <w:rFonts w:ascii="Arial" w:eastAsia="Arial" w:hAnsi="Arial" w:cs="Arial"/>
                <w:b/>
              </w:rPr>
              <w:t xml:space="preserve"> </w:t>
            </w:r>
            <w:r w:rsidR="001F4045">
              <w:rPr>
                <w:b/>
              </w:rPr>
              <w:t>Área de Contr</w:t>
            </w:r>
            <w:r>
              <w:rPr>
                <w:b/>
              </w:rPr>
              <w:t xml:space="preserve">ol – En Proceso </w:t>
            </w:r>
          </w:p>
        </w:tc>
      </w:tr>
      <w:tr w:rsidR="004C7274" w:rsidTr="00897455">
        <w:trPr>
          <w:trHeight w:val="548"/>
        </w:trPr>
        <w:tc>
          <w:tcPr>
            <w:tcW w:w="2152"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r>
              <w:rPr>
                <w:b/>
              </w:rPr>
              <w:t xml:space="preserve">6.1. Identificador de la descripción </w:t>
            </w:r>
          </w:p>
        </w:tc>
        <w:tc>
          <w:tcPr>
            <w:tcW w:w="6901"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pPr>
              <w:ind w:left="1"/>
            </w:pPr>
            <w:r>
              <w:t xml:space="preserve"> </w:t>
            </w:r>
            <w:r w:rsidR="001F4045">
              <w:t>SV-MITUR</w:t>
            </w:r>
          </w:p>
          <w:p w:rsidR="001F4045" w:rsidRDefault="001F4045" w:rsidP="00897455">
            <w:pPr>
              <w:ind w:left="1"/>
            </w:pPr>
            <w:r>
              <w:t>El Salvador, Ministerio de Turismo</w:t>
            </w:r>
          </w:p>
        </w:tc>
      </w:tr>
      <w:tr w:rsidR="004C7274" w:rsidTr="00897455">
        <w:trPr>
          <w:trHeight w:val="547"/>
        </w:trPr>
        <w:tc>
          <w:tcPr>
            <w:tcW w:w="2152"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r>
              <w:rPr>
                <w:b/>
              </w:rPr>
              <w:t xml:space="preserve">6.2. Identificador de la institución </w:t>
            </w:r>
          </w:p>
        </w:tc>
        <w:tc>
          <w:tcPr>
            <w:tcW w:w="6901" w:type="dxa"/>
            <w:tcBorders>
              <w:top w:val="single" w:sz="4" w:space="0" w:color="000000"/>
              <w:left w:val="single" w:sz="4" w:space="0" w:color="000000"/>
              <w:bottom w:val="single" w:sz="4" w:space="0" w:color="000000"/>
              <w:right w:val="single" w:sz="4" w:space="0" w:color="000000"/>
            </w:tcBorders>
            <w:vAlign w:val="center"/>
          </w:tcPr>
          <w:p w:rsidR="001F4045" w:rsidRDefault="007651F2" w:rsidP="00897455">
            <w:pPr>
              <w:ind w:left="1"/>
            </w:pPr>
            <w:r>
              <w:t xml:space="preserve"> </w:t>
            </w:r>
            <w:r w:rsidR="001F4045">
              <w:t>MITUR</w:t>
            </w:r>
          </w:p>
          <w:p w:rsidR="004C7274" w:rsidRDefault="001F4045" w:rsidP="00897455">
            <w:pPr>
              <w:ind w:left="1"/>
            </w:pPr>
            <w:r>
              <w:t>Ministerio de Turismo</w:t>
            </w:r>
          </w:p>
          <w:p w:rsidR="001F4045" w:rsidRDefault="001F4045" w:rsidP="00897455">
            <w:pPr>
              <w:ind w:left="1"/>
            </w:pPr>
            <w:r>
              <w:t>Unidad de Gestión de Documentación y Archivo</w:t>
            </w:r>
          </w:p>
        </w:tc>
      </w:tr>
      <w:tr w:rsidR="004C7274" w:rsidTr="00897455">
        <w:trPr>
          <w:trHeight w:val="547"/>
        </w:trPr>
        <w:tc>
          <w:tcPr>
            <w:tcW w:w="2152"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r>
              <w:rPr>
                <w:b/>
              </w:rPr>
              <w:t xml:space="preserve">6.3. Reglas y/o convenciones </w:t>
            </w:r>
          </w:p>
        </w:tc>
        <w:tc>
          <w:tcPr>
            <w:tcW w:w="6901"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pPr>
              <w:ind w:left="1"/>
            </w:pPr>
            <w:r>
              <w:t xml:space="preserve"> </w:t>
            </w:r>
          </w:p>
        </w:tc>
      </w:tr>
      <w:tr w:rsidR="004C7274" w:rsidTr="00897455">
        <w:trPr>
          <w:trHeight w:val="547"/>
        </w:trPr>
        <w:tc>
          <w:tcPr>
            <w:tcW w:w="2152"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r>
              <w:rPr>
                <w:b/>
              </w:rPr>
              <w:t xml:space="preserve">6.4. Estado de elaboración </w:t>
            </w:r>
          </w:p>
        </w:tc>
        <w:tc>
          <w:tcPr>
            <w:tcW w:w="6901"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pPr>
              <w:ind w:left="1"/>
            </w:pPr>
            <w:r>
              <w:t xml:space="preserve"> </w:t>
            </w:r>
          </w:p>
        </w:tc>
      </w:tr>
      <w:tr w:rsidR="004C7274" w:rsidTr="00897455">
        <w:trPr>
          <w:trHeight w:val="279"/>
        </w:trPr>
        <w:tc>
          <w:tcPr>
            <w:tcW w:w="2152"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r>
              <w:rPr>
                <w:b/>
              </w:rPr>
              <w:lastRenderedPageBreak/>
              <w:t xml:space="preserve">6.5. Nivel de detalle </w:t>
            </w:r>
          </w:p>
        </w:tc>
        <w:tc>
          <w:tcPr>
            <w:tcW w:w="6901"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pPr>
              <w:ind w:left="1"/>
            </w:pPr>
            <w:r>
              <w:t xml:space="preserve"> </w:t>
            </w:r>
          </w:p>
        </w:tc>
      </w:tr>
      <w:tr w:rsidR="004C7274" w:rsidTr="00897455">
        <w:trPr>
          <w:trHeight w:val="816"/>
        </w:trPr>
        <w:tc>
          <w:tcPr>
            <w:tcW w:w="2152"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r>
              <w:rPr>
                <w:b/>
              </w:rPr>
              <w:t xml:space="preserve">6.6. Fechas de creación, revisión o eliminación </w:t>
            </w:r>
          </w:p>
        </w:tc>
        <w:tc>
          <w:tcPr>
            <w:tcW w:w="6901"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pPr>
              <w:ind w:left="1"/>
            </w:pPr>
            <w:r>
              <w:t xml:space="preserve"> </w:t>
            </w:r>
          </w:p>
        </w:tc>
      </w:tr>
      <w:tr w:rsidR="004C7274" w:rsidTr="00897455">
        <w:trPr>
          <w:trHeight w:val="547"/>
        </w:trPr>
        <w:tc>
          <w:tcPr>
            <w:tcW w:w="2152"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r>
              <w:rPr>
                <w:b/>
              </w:rPr>
              <w:t xml:space="preserve">6.7. Lengua(s) y escritura(s) </w:t>
            </w:r>
          </w:p>
        </w:tc>
        <w:tc>
          <w:tcPr>
            <w:tcW w:w="6901"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pPr>
              <w:ind w:left="1"/>
            </w:pPr>
            <w:r>
              <w:t xml:space="preserve"> </w:t>
            </w:r>
          </w:p>
        </w:tc>
      </w:tr>
      <w:tr w:rsidR="004C7274" w:rsidTr="00897455">
        <w:trPr>
          <w:trHeight w:val="278"/>
        </w:trPr>
        <w:tc>
          <w:tcPr>
            <w:tcW w:w="2152"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r>
              <w:rPr>
                <w:b/>
              </w:rPr>
              <w:t xml:space="preserve">6.8. Fuentes </w:t>
            </w:r>
          </w:p>
        </w:tc>
        <w:tc>
          <w:tcPr>
            <w:tcW w:w="6901"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pPr>
              <w:ind w:left="1"/>
            </w:pPr>
            <w:r>
              <w:t xml:space="preserve"> </w:t>
            </w:r>
          </w:p>
        </w:tc>
      </w:tr>
      <w:tr w:rsidR="004C7274" w:rsidTr="00897455">
        <w:trPr>
          <w:trHeight w:val="547"/>
        </w:trPr>
        <w:tc>
          <w:tcPr>
            <w:tcW w:w="2152"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r>
              <w:rPr>
                <w:b/>
              </w:rPr>
              <w:t xml:space="preserve">6.9. Notas de mantenimiento </w:t>
            </w:r>
          </w:p>
        </w:tc>
        <w:tc>
          <w:tcPr>
            <w:tcW w:w="6901" w:type="dxa"/>
            <w:tcBorders>
              <w:top w:val="single" w:sz="4" w:space="0" w:color="000000"/>
              <w:left w:val="single" w:sz="4" w:space="0" w:color="000000"/>
              <w:bottom w:val="single" w:sz="4" w:space="0" w:color="000000"/>
              <w:right w:val="single" w:sz="4" w:space="0" w:color="000000"/>
            </w:tcBorders>
            <w:vAlign w:val="center"/>
          </w:tcPr>
          <w:p w:rsidR="004C7274" w:rsidRDefault="007651F2" w:rsidP="00897455">
            <w:pPr>
              <w:ind w:left="1"/>
            </w:pPr>
            <w:r>
              <w:t xml:space="preserve"> </w:t>
            </w:r>
          </w:p>
        </w:tc>
      </w:tr>
    </w:tbl>
    <w:p w:rsidR="004C7274" w:rsidRDefault="007651F2">
      <w:pPr>
        <w:spacing w:line="240" w:lineRule="auto"/>
        <w:ind w:left="262"/>
        <w:jc w:val="both"/>
      </w:pPr>
      <w:r>
        <w:t xml:space="preserve"> </w:t>
      </w:r>
    </w:p>
    <w:sectPr w:rsidR="004C7274" w:rsidSect="000866CF">
      <w:headerReference w:type="default" r:id="rId13"/>
      <w:pgSz w:w="12240" w:h="15840"/>
      <w:pgMar w:top="1421"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E5C" w:rsidRDefault="00854E5C" w:rsidP="00AC6586">
      <w:pPr>
        <w:spacing w:line="240" w:lineRule="auto"/>
      </w:pPr>
      <w:r>
        <w:separator/>
      </w:r>
    </w:p>
  </w:endnote>
  <w:endnote w:type="continuationSeparator" w:id="0">
    <w:p w:rsidR="00854E5C" w:rsidRDefault="00854E5C" w:rsidP="00AC6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E5C" w:rsidRDefault="00854E5C" w:rsidP="00AC6586">
      <w:pPr>
        <w:spacing w:line="240" w:lineRule="auto"/>
      </w:pPr>
      <w:r>
        <w:separator/>
      </w:r>
    </w:p>
  </w:footnote>
  <w:footnote w:type="continuationSeparator" w:id="0">
    <w:p w:rsidR="00854E5C" w:rsidRDefault="00854E5C" w:rsidP="00AC65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586" w:rsidRPr="00AC6586" w:rsidRDefault="00AC6586" w:rsidP="00AC6586">
    <w:pPr>
      <w:pStyle w:val="Encabezado"/>
      <w:jc w:val="center"/>
      <w:rPr>
        <w:rFonts w:ascii="Arial" w:hAnsi="Arial" w:cs="Arial"/>
        <w:b/>
        <w:sz w:val="24"/>
        <w:szCs w:val="24"/>
      </w:rPr>
    </w:pPr>
    <w:r>
      <w:rPr>
        <w:rFonts w:ascii="Arial" w:hAnsi="Arial" w:cs="Arial"/>
        <w:b/>
        <w:noProof/>
        <w:sz w:val="24"/>
        <w:szCs w:val="24"/>
      </w:rPr>
      <w:drawing>
        <wp:anchor distT="0" distB="0" distL="114300" distR="114300" simplePos="0" relativeHeight="251659264" behindDoc="0" locked="0" layoutInCell="1" allowOverlap="1">
          <wp:simplePos x="0" y="0"/>
          <wp:positionH relativeFrom="margin">
            <wp:posOffset>104775</wp:posOffset>
          </wp:positionH>
          <wp:positionV relativeFrom="paragraph">
            <wp:posOffset>-209550</wp:posOffset>
          </wp:positionV>
          <wp:extent cx="828675" cy="528109"/>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28109"/>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5047615</wp:posOffset>
          </wp:positionH>
          <wp:positionV relativeFrom="paragraph">
            <wp:posOffset>-238125</wp:posOffset>
          </wp:positionV>
          <wp:extent cx="733425" cy="585102"/>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585102"/>
                  </a:xfrm>
                  <a:prstGeom prst="rect">
                    <a:avLst/>
                  </a:prstGeom>
                  <a:noFill/>
                </pic:spPr>
              </pic:pic>
            </a:graphicData>
          </a:graphic>
          <wp14:sizeRelH relativeFrom="margin">
            <wp14:pctWidth>0</wp14:pctWidth>
          </wp14:sizeRelH>
          <wp14:sizeRelV relativeFrom="margin">
            <wp14:pctHeight>0</wp14:pctHeight>
          </wp14:sizeRelV>
        </wp:anchor>
      </w:drawing>
    </w:r>
    <w:r w:rsidRPr="00AC6586">
      <w:rPr>
        <w:rFonts w:ascii="Arial" w:hAnsi="Arial" w:cs="Arial"/>
        <w:b/>
        <w:sz w:val="24"/>
        <w:szCs w:val="24"/>
      </w:rPr>
      <w:t>Ministerio de Turismo</w:t>
    </w:r>
  </w:p>
  <w:p w:rsidR="00AC6586" w:rsidRPr="00AC6586" w:rsidRDefault="00AC6586" w:rsidP="00AC6586">
    <w:pPr>
      <w:pStyle w:val="Encabezado"/>
      <w:jc w:val="center"/>
      <w:rPr>
        <w:rFonts w:ascii="Arial" w:hAnsi="Arial" w:cs="Arial"/>
        <w:b/>
        <w:sz w:val="24"/>
        <w:szCs w:val="24"/>
      </w:rPr>
    </w:pPr>
    <w:r w:rsidRPr="00AC6586">
      <w:rPr>
        <w:rFonts w:ascii="Arial" w:hAnsi="Arial" w:cs="Arial"/>
        <w:b/>
        <w:sz w:val="24"/>
        <w:szCs w:val="24"/>
      </w:rPr>
      <w:t>Guía de Organización de Archivo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D1E48"/>
    <w:multiLevelType w:val="hybridMultilevel"/>
    <w:tmpl w:val="E932CF1E"/>
    <w:lvl w:ilvl="0" w:tplc="567E8E80">
      <w:start w:val="1"/>
      <w:numFmt w:val="bullet"/>
      <w:lvlText w:val="-"/>
      <w:lvlJc w:val="left"/>
      <w:pPr>
        <w:ind w:left="722"/>
      </w:pPr>
      <w:rPr>
        <w:rFonts w:ascii="Candara" w:eastAsia="Candara" w:hAnsi="Candara" w:cs="Candara"/>
        <w:b w:val="0"/>
        <w:i w:val="0"/>
        <w:strike w:val="0"/>
        <w:dstrike w:val="0"/>
        <w:color w:val="000000"/>
        <w:sz w:val="18"/>
        <w:u w:val="none" w:color="000000"/>
        <w:bdr w:val="none" w:sz="0" w:space="0" w:color="auto"/>
        <w:shd w:val="clear" w:color="auto" w:fill="auto"/>
        <w:vertAlign w:val="baseline"/>
      </w:rPr>
    </w:lvl>
    <w:lvl w:ilvl="1" w:tplc="6130D7A2">
      <w:start w:val="1"/>
      <w:numFmt w:val="bullet"/>
      <w:lvlText w:val="o"/>
      <w:lvlJc w:val="left"/>
      <w:pPr>
        <w:ind w:left="1442"/>
      </w:pPr>
      <w:rPr>
        <w:rFonts w:ascii="Candara" w:eastAsia="Candara" w:hAnsi="Candara" w:cs="Candara"/>
        <w:b w:val="0"/>
        <w:i w:val="0"/>
        <w:strike w:val="0"/>
        <w:dstrike w:val="0"/>
        <w:color w:val="000000"/>
        <w:sz w:val="18"/>
        <w:u w:val="none" w:color="000000"/>
        <w:bdr w:val="none" w:sz="0" w:space="0" w:color="auto"/>
        <w:shd w:val="clear" w:color="auto" w:fill="auto"/>
        <w:vertAlign w:val="baseline"/>
      </w:rPr>
    </w:lvl>
    <w:lvl w:ilvl="2" w:tplc="DE72492C">
      <w:start w:val="1"/>
      <w:numFmt w:val="bullet"/>
      <w:lvlText w:val="▪"/>
      <w:lvlJc w:val="left"/>
      <w:pPr>
        <w:ind w:left="2162"/>
      </w:pPr>
      <w:rPr>
        <w:rFonts w:ascii="Candara" w:eastAsia="Candara" w:hAnsi="Candara" w:cs="Candara"/>
        <w:b w:val="0"/>
        <w:i w:val="0"/>
        <w:strike w:val="0"/>
        <w:dstrike w:val="0"/>
        <w:color w:val="000000"/>
        <w:sz w:val="18"/>
        <w:u w:val="none" w:color="000000"/>
        <w:bdr w:val="none" w:sz="0" w:space="0" w:color="auto"/>
        <w:shd w:val="clear" w:color="auto" w:fill="auto"/>
        <w:vertAlign w:val="baseline"/>
      </w:rPr>
    </w:lvl>
    <w:lvl w:ilvl="3" w:tplc="B1DCF2FA">
      <w:start w:val="1"/>
      <w:numFmt w:val="bullet"/>
      <w:lvlText w:val="•"/>
      <w:lvlJc w:val="left"/>
      <w:pPr>
        <w:ind w:left="2882"/>
      </w:pPr>
      <w:rPr>
        <w:rFonts w:ascii="Candara" w:eastAsia="Candara" w:hAnsi="Candara" w:cs="Candara"/>
        <w:b w:val="0"/>
        <w:i w:val="0"/>
        <w:strike w:val="0"/>
        <w:dstrike w:val="0"/>
        <w:color w:val="000000"/>
        <w:sz w:val="18"/>
        <w:u w:val="none" w:color="000000"/>
        <w:bdr w:val="none" w:sz="0" w:space="0" w:color="auto"/>
        <w:shd w:val="clear" w:color="auto" w:fill="auto"/>
        <w:vertAlign w:val="baseline"/>
      </w:rPr>
    </w:lvl>
    <w:lvl w:ilvl="4" w:tplc="EC786AD6">
      <w:start w:val="1"/>
      <w:numFmt w:val="bullet"/>
      <w:lvlText w:val="o"/>
      <w:lvlJc w:val="left"/>
      <w:pPr>
        <w:ind w:left="3602"/>
      </w:pPr>
      <w:rPr>
        <w:rFonts w:ascii="Candara" w:eastAsia="Candara" w:hAnsi="Candara" w:cs="Candara"/>
        <w:b w:val="0"/>
        <w:i w:val="0"/>
        <w:strike w:val="0"/>
        <w:dstrike w:val="0"/>
        <w:color w:val="000000"/>
        <w:sz w:val="18"/>
        <w:u w:val="none" w:color="000000"/>
        <w:bdr w:val="none" w:sz="0" w:space="0" w:color="auto"/>
        <w:shd w:val="clear" w:color="auto" w:fill="auto"/>
        <w:vertAlign w:val="baseline"/>
      </w:rPr>
    </w:lvl>
    <w:lvl w:ilvl="5" w:tplc="2204340A">
      <w:start w:val="1"/>
      <w:numFmt w:val="bullet"/>
      <w:lvlText w:val="▪"/>
      <w:lvlJc w:val="left"/>
      <w:pPr>
        <w:ind w:left="4322"/>
      </w:pPr>
      <w:rPr>
        <w:rFonts w:ascii="Candara" w:eastAsia="Candara" w:hAnsi="Candara" w:cs="Candara"/>
        <w:b w:val="0"/>
        <w:i w:val="0"/>
        <w:strike w:val="0"/>
        <w:dstrike w:val="0"/>
        <w:color w:val="000000"/>
        <w:sz w:val="18"/>
        <w:u w:val="none" w:color="000000"/>
        <w:bdr w:val="none" w:sz="0" w:space="0" w:color="auto"/>
        <w:shd w:val="clear" w:color="auto" w:fill="auto"/>
        <w:vertAlign w:val="baseline"/>
      </w:rPr>
    </w:lvl>
    <w:lvl w:ilvl="6" w:tplc="D6A0679C">
      <w:start w:val="1"/>
      <w:numFmt w:val="bullet"/>
      <w:lvlText w:val="•"/>
      <w:lvlJc w:val="left"/>
      <w:pPr>
        <w:ind w:left="5042"/>
      </w:pPr>
      <w:rPr>
        <w:rFonts w:ascii="Candara" w:eastAsia="Candara" w:hAnsi="Candara" w:cs="Candara"/>
        <w:b w:val="0"/>
        <w:i w:val="0"/>
        <w:strike w:val="0"/>
        <w:dstrike w:val="0"/>
        <w:color w:val="000000"/>
        <w:sz w:val="18"/>
        <w:u w:val="none" w:color="000000"/>
        <w:bdr w:val="none" w:sz="0" w:space="0" w:color="auto"/>
        <w:shd w:val="clear" w:color="auto" w:fill="auto"/>
        <w:vertAlign w:val="baseline"/>
      </w:rPr>
    </w:lvl>
    <w:lvl w:ilvl="7" w:tplc="5FBAEBE8">
      <w:start w:val="1"/>
      <w:numFmt w:val="bullet"/>
      <w:lvlText w:val="o"/>
      <w:lvlJc w:val="left"/>
      <w:pPr>
        <w:ind w:left="5762"/>
      </w:pPr>
      <w:rPr>
        <w:rFonts w:ascii="Candara" w:eastAsia="Candara" w:hAnsi="Candara" w:cs="Candara"/>
        <w:b w:val="0"/>
        <w:i w:val="0"/>
        <w:strike w:val="0"/>
        <w:dstrike w:val="0"/>
        <w:color w:val="000000"/>
        <w:sz w:val="18"/>
        <w:u w:val="none" w:color="000000"/>
        <w:bdr w:val="none" w:sz="0" w:space="0" w:color="auto"/>
        <w:shd w:val="clear" w:color="auto" w:fill="auto"/>
        <w:vertAlign w:val="baseline"/>
      </w:rPr>
    </w:lvl>
    <w:lvl w:ilvl="8" w:tplc="C65EAFC6">
      <w:start w:val="1"/>
      <w:numFmt w:val="bullet"/>
      <w:lvlText w:val="▪"/>
      <w:lvlJc w:val="left"/>
      <w:pPr>
        <w:ind w:left="6482"/>
      </w:pPr>
      <w:rPr>
        <w:rFonts w:ascii="Candara" w:eastAsia="Candara" w:hAnsi="Candara" w:cs="Candar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479602B4"/>
    <w:multiLevelType w:val="hybridMultilevel"/>
    <w:tmpl w:val="B53C2D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274"/>
    <w:rsid w:val="000866CF"/>
    <w:rsid w:val="001A4CBC"/>
    <w:rsid w:val="001F4045"/>
    <w:rsid w:val="002D1897"/>
    <w:rsid w:val="00412CA4"/>
    <w:rsid w:val="004C7274"/>
    <w:rsid w:val="004D5602"/>
    <w:rsid w:val="004F7678"/>
    <w:rsid w:val="00536FEF"/>
    <w:rsid w:val="00586E15"/>
    <w:rsid w:val="005B1073"/>
    <w:rsid w:val="005B1244"/>
    <w:rsid w:val="00610532"/>
    <w:rsid w:val="00645AE7"/>
    <w:rsid w:val="006B3D69"/>
    <w:rsid w:val="007651F2"/>
    <w:rsid w:val="00854E5C"/>
    <w:rsid w:val="0088120C"/>
    <w:rsid w:val="00897455"/>
    <w:rsid w:val="00A05C31"/>
    <w:rsid w:val="00A46A4B"/>
    <w:rsid w:val="00AC6586"/>
    <w:rsid w:val="00B070E1"/>
    <w:rsid w:val="00B548CC"/>
    <w:rsid w:val="00E53100"/>
    <w:rsid w:val="00EA3C79"/>
    <w:rsid w:val="00EB33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8DB3EF-0500-4777-8AF1-CBE55BF9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AC658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C6586"/>
    <w:rPr>
      <w:rFonts w:ascii="Calibri" w:eastAsia="Calibri" w:hAnsi="Calibri" w:cs="Calibri"/>
      <w:color w:val="000000"/>
    </w:rPr>
  </w:style>
  <w:style w:type="paragraph" w:styleId="Piedepgina">
    <w:name w:val="footer"/>
    <w:basedOn w:val="Normal"/>
    <w:link w:val="PiedepginaCar"/>
    <w:uiPriority w:val="99"/>
    <w:unhideWhenUsed/>
    <w:rsid w:val="00AC658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C6586"/>
    <w:rPr>
      <w:rFonts w:ascii="Calibri" w:eastAsia="Calibri" w:hAnsi="Calibri" w:cs="Calibri"/>
      <w:color w:val="000000"/>
    </w:rPr>
  </w:style>
  <w:style w:type="paragraph" w:styleId="Sinespaciado">
    <w:name w:val="No Spacing"/>
    <w:link w:val="SinespaciadoCar"/>
    <w:uiPriority w:val="1"/>
    <w:qFormat/>
    <w:rsid w:val="000866CF"/>
    <w:pPr>
      <w:spacing w:after="0" w:line="240" w:lineRule="auto"/>
    </w:pPr>
  </w:style>
  <w:style w:type="character" w:customStyle="1" w:styleId="SinespaciadoCar">
    <w:name w:val="Sin espaciado Car"/>
    <w:basedOn w:val="Fuentedeprrafopredeter"/>
    <w:link w:val="Sinespaciado"/>
    <w:uiPriority w:val="1"/>
    <w:rsid w:val="000866CF"/>
  </w:style>
  <w:style w:type="paragraph" w:customStyle="1" w:styleId="Default">
    <w:name w:val="Default"/>
    <w:rsid w:val="0088120C"/>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6B3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422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tur.gob.sv/" TargetMode="External"/><Relationship Id="rId4" Type="http://schemas.openxmlformats.org/officeDocument/2006/relationships/settings" Target="settings.xml"/><Relationship Id="rId9" Type="http://schemas.openxmlformats.org/officeDocument/2006/relationships/hyperlink" Target="http://www.mitur.gob.s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El Salvador, Centroamérica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1051</Words>
  <Characters>5782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Marisol Campos de Cáceres</dc:creator>
  <cp:keywords/>
  <cp:lastModifiedBy>Glenda Marisol Campos de Cáceres</cp:lastModifiedBy>
  <cp:revision>2</cp:revision>
  <dcterms:created xsi:type="dcterms:W3CDTF">2017-09-14T19:56:00Z</dcterms:created>
  <dcterms:modified xsi:type="dcterms:W3CDTF">2017-09-14T19:56:00Z</dcterms:modified>
</cp:coreProperties>
</file>