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332C23" w:rsidP="00B44B93">
      <w:pPr>
        <w:jc w:val="center"/>
        <w:rPr>
          <w:rFonts w:ascii="Century Gothic" w:hAnsi="Century Gothic"/>
          <w:sz w:val="20"/>
          <w:szCs w:val="20"/>
        </w:rPr>
      </w:pPr>
      <w:r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213ED2" w:rsidRPr="00906697" w:rsidRDefault="00095CC3" w:rsidP="00095CC3">
      <w:pPr>
        <w:tabs>
          <w:tab w:val="left" w:pos="3000"/>
        </w:tabs>
        <w:spacing w:after="0"/>
        <w:jc w:val="center"/>
        <w:rPr>
          <w:b/>
          <w:sz w:val="24"/>
          <w:szCs w:val="24"/>
        </w:rPr>
      </w:pPr>
      <w:r w:rsidRPr="00906697">
        <w:rPr>
          <w:b/>
          <w:sz w:val="24"/>
          <w:szCs w:val="24"/>
        </w:rPr>
        <w:t>UNIDAD DE ACCESO A LA INFORMACIÓ</w:t>
      </w:r>
      <w:r w:rsidR="00213ED2" w:rsidRPr="00906697">
        <w:rPr>
          <w:b/>
          <w:sz w:val="24"/>
          <w:szCs w:val="24"/>
        </w:rPr>
        <w:t>N PÚBLICA.</w:t>
      </w:r>
    </w:p>
    <w:p w:rsidR="00213ED2" w:rsidRDefault="00C03FCB" w:rsidP="00C03FCB">
      <w:pPr>
        <w:tabs>
          <w:tab w:val="left" w:pos="2475"/>
          <w:tab w:val="left" w:pos="3000"/>
          <w:tab w:val="center" w:pos="5040"/>
        </w:tabs>
        <w:spacing w:after="0" w:line="240" w:lineRule="atLeast"/>
        <w:rPr>
          <w:b/>
          <w:sz w:val="24"/>
          <w:szCs w:val="24"/>
        </w:rPr>
      </w:pPr>
      <w:r>
        <w:rPr>
          <w:b/>
          <w:sz w:val="24"/>
          <w:szCs w:val="24"/>
        </w:rPr>
        <w:tab/>
      </w:r>
      <w:r>
        <w:rPr>
          <w:b/>
          <w:sz w:val="24"/>
          <w:szCs w:val="24"/>
        </w:rPr>
        <w:tab/>
      </w:r>
      <w:r>
        <w:rPr>
          <w:b/>
          <w:sz w:val="24"/>
          <w:szCs w:val="24"/>
        </w:rPr>
        <w:tab/>
      </w:r>
      <w:r w:rsidR="00213ED2" w:rsidRPr="00906697">
        <w:rPr>
          <w:b/>
          <w:sz w:val="24"/>
          <w:szCs w:val="24"/>
        </w:rPr>
        <w:t>Resolución de Entrega de Información.</w:t>
      </w:r>
    </w:p>
    <w:p w:rsidR="00032921" w:rsidRPr="00906697" w:rsidRDefault="00C03FCB" w:rsidP="00C03FCB">
      <w:pPr>
        <w:tabs>
          <w:tab w:val="left" w:pos="2610"/>
          <w:tab w:val="left" w:pos="3000"/>
          <w:tab w:val="center" w:pos="5040"/>
          <w:tab w:val="left" w:pos="6825"/>
        </w:tabs>
        <w:spacing w:after="0" w:line="240" w:lineRule="atLeast"/>
        <w:rPr>
          <w:b/>
          <w:sz w:val="24"/>
          <w:szCs w:val="24"/>
        </w:rPr>
      </w:pPr>
      <w:r>
        <w:rPr>
          <w:b/>
          <w:sz w:val="24"/>
          <w:szCs w:val="24"/>
        </w:rPr>
        <w:tab/>
      </w:r>
      <w:r>
        <w:rPr>
          <w:b/>
          <w:sz w:val="24"/>
          <w:szCs w:val="24"/>
        </w:rPr>
        <w:tab/>
      </w:r>
      <w:r>
        <w:rPr>
          <w:b/>
          <w:sz w:val="24"/>
          <w:szCs w:val="24"/>
        </w:rPr>
        <w:tab/>
      </w:r>
      <w:r w:rsidR="0035463E">
        <w:rPr>
          <w:b/>
          <w:sz w:val="24"/>
          <w:szCs w:val="24"/>
        </w:rPr>
        <w:t>UAIP-MITUR No.00</w:t>
      </w:r>
      <w:r w:rsidR="002E38AB">
        <w:rPr>
          <w:b/>
          <w:sz w:val="24"/>
          <w:szCs w:val="24"/>
        </w:rPr>
        <w:t>9</w:t>
      </w:r>
      <w:r w:rsidR="00AD29E9">
        <w:rPr>
          <w:b/>
          <w:sz w:val="24"/>
          <w:szCs w:val="24"/>
        </w:rPr>
        <w:t>/</w:t>
      </w:r>
      <w:r w:rsidR="00032921">
        <w:rPr>
          <w:b/>
          <w:sz w:val="24"/>
          <w:szCs w:val="24"/>
        </w:rPr>
        <w:t>201</w:t>
      </w:r>
      <w:r w:rsidR="0035463E">
        <w:rPr>
          <w:b/>
          <w:sz w:val="24"/>
          <w:szCs w:val="24"/>
        </w:rPr>
        <w:t>6</w:t>
      </w:r>
      <w:r>
        <w:rPr>
          <w:b/>
          <w:sz w:val="24"/>
          <w:szCs w:val="24"/>
        </w:rPr>
        <w:tab/>
      </w:r>
    </w:p>
    <w:p w:rsidR="00095CC3" w:rsidRPr="00906697" w:rsidRDefault="00095CC3" w:rsidP="00A41234">
      <w:pPr>
        <w:tabs>
          <w:tab w:val="left" w:pos="3000"/>
        </w:tabs>
        <w:spacing w:after="0" w:line="240" w:lineRule="atLeast"/>
        <w:jc w:val="center"/>
        <w:rPr>
          <w:sz w:val="24"/>
          <w:szCs w:val="24"/>
        </w:rPr>
      </w:pPr>
    </w:p>
    <w:p w:rsidR="0061016E" w:rsidRPr="00195E36" w:rsidRDefault="00070469" w:rsidP="0061016E">
      <w:pPr>
        <w:tabs>
          <w:tab w:val="left" w:pos="1140"/>
        </w:tabs>
        <w:spacing w:after="0" w:line="240" w:lineRule="atLeast"/>
        <w:ind w:left="709"/>
        <w:jc w:val="both"/>
      </w:pPr>
      <w:r>
        <w:t>San Salvador, a las quince</w:t>
      </w:r>
      <w:r w:rsidR="002E38AB">
        <w:t xml:space="preserve"> horas</w:t>
      </w:r>
      <w:r w:rsidR="001C5C46" w:rsidRPr="00195E36">
        <w:t xml:space="preserve"> </w:t>
      </w:r>
      <w:r w:rsidR="002E38AB">
        <w:t>del veinticuatro</w:t>
      </w:r>
      <w:r w:rsidR="00112A0A">
        <w:t xml:space="preserve"> de mayo</w:t>
      </w:r>
      <w:r w:rsidR="00B203A0" w:rsidRPr="00195E36">
        <w:t xml:space="preserve"> de </w:t>
      </w:r>
      <w:r w:rsidR="00CD26B9" w:rsidRPr="00195E36">
        <w:t xml:space="preserve">dos mil </w:t>
      </w:r>
      <w:r w:rsidR="00531CB0" w:rsidRPr="00195E36">
        <w:t>dieciséis</w:t>
      </w:r>
      <w:r w:rsidR="00D63885" w:rsidRPr="00195E36">
        <w:t>, el Ministerio de Turismo</w:t>
      </w:r>
      <w:r w:rsidR="00213ED2" w:rsidRPr="00195E36">
        <w:t>, luego de haber recibido y admitido la s</w:t>
      </w:r>
      <w:r w:rsidR="00E2169C" w:rsidRPr="00195E36">
        <w:t xml:space="preserve">olicitud de </w:t>
      </w:r>
      <w:r w:rsidR="00D75E5C" w:rsidRPr="00195E36">
        <w:t>información,</w:t>
      </w:r>
      <w:r w:rsidR="00FE79A2" w:rsidRPr="00195E36">
        <w:t xml:space="preserve"> respecto a:</w:t>
      </w:r>
    </w:p>
    <w:p w:rsidR="0061016E" w:rsidRDefault="0061016E" w:rsidP="0061016E">
      <w:pPr>
        <w:tabs>
          <w:tab w:val="left" w:pos="1140"/>
        </w:tabs>
        <w:spacing w:after="0" w:line="240" w:lineRule="atLeast"/>
        <w:ind w:left="709"/>
        <w:jc w:val="both"/>
      </w:pPr>
    </w:p>
    <w:p w:rsidR="005323E6" w:rsidRDefault="005323E6" w:rsidP="00A44161">
      <w:pPr>
        <w:pStyle w:val="Prrafodelista"/>
        <w:numPr>
          <w:ilvl w:val="0"/>
          <w:numId w:val="2"/>
        </w:numPr>
        <w:tabs>
          <w:tab w:val="left" w:pos="1140"/>
        </w:tabs>
        <w:spacing w:after="0" w:line="120" w:lineRule="atLeast"/>
        <w:jc w:val="both"/>
      </w:pPr>
      <w:r>
        <w:t>Listado completo de proyectos que han sido declarados como de interés turístico nacional por el MITUR, desde entrada en vigor la Ley de Turismo hasta la actualidad y que ha gozado o gozan de incentivos o exenciones fiscales.</w:t>
      </w:r>
    </w:p>
    <w:p w:rsidR="00A44161" w:rsidRDefault="00A44161" w:rsidP="00A44161">
      <w:pPr>
        <w:pStyle w:val="Prrafodelista"/>
        <w:tabs>
          <w:tab w:val="left" w:pos="1140"/>
        </w:tabs>
        <w:spacing w:after="0" w:line="120" w:lineRule="atLeast"/>
        <w:jc w:val="both"/>
      </w:pPr>
    </w:p>
    <w:p w:rsidR="005323E6" w:rsidRDefault="005323E6" w:rsidP="00A44161">
      <w:pPr>
        <w:pStyle w:val="Prrafodelista"/>
        <w:numPr>
          <w:ilvl w:val="0"/>
          <w:numId w:val="2"/>
        </w:numPr>
        <w:tabs>
          <w:tab w:val="left" w:pos="1140"/>
        </w:tabs>
        <w:spacing w:after="0" w:line="120" w:lineRule="atLeast"/>
        <w:ind w:left="714" w:hanging="357"/>
        <w:jc w:val="both"/>
      </w:pPr>
      <w:r>
        <w:t xml:space="preserve">Listado completo de proyectos que han sido declarados como de interés turístico nacional por el MITUR, desde entrada la Ley de Turismo hasta la actualidad y su respectivo cálculo presentado del incentivo fiscal por la exención del impuesto sobre la renta en cada ejercicio fiscal durante el tiempo que manda la Ley de Turismo (cálculos que deben presentarse con base en el numeral </w:t>
      </w:r>
      <w:r w:rsidR="00825097">
        <w:t>6 del artículo 36 de la Ley de T</w:t>
      </w:r>
      <w:r>
        <w:t xml:space="preserve">urismo) </w:t>
      </w:r>
    </w:p>
    <w:p w:rsidR="00A44161" w:rsidRDefault="00A44161" w:rsidP="00A44161">
      <w:pPr>
        <w:pStyle w:val="Prrafodelista"/>
        <w:spacing w:line="120" w:lineRule="atLeast"/>
      </w:pPr>
    </w:p>
    <w:p w:rsidR="005323E6" w:rsidRDefault="005323E6" w:rsidP="00A44161">
      <w:pPr>
        <w:pStyle w:val="Prrafodelista"/>
        <w:numPr>
          <w:ilvl w:val="0"/>
          <w:numId w:val="2"/>
        </w:numPr>
        <w:tabs>
          <w:tab w:val="left" w:pos="1140"/>
        </w:tabs>
        <w:spacing w:after="0" w:line="120" w:lineRule="atLeast"/>
        <w:ind w:left="714" w:hanging="357"/>
        <w:jc w:val="both"/>
      </w:pPr>
      <w:r>
        <w:t>Listado completo de proyectos que han sido declarados como de interés turístico nacional por el MITUR, desde entrada la Ley de Turismo hasta la actualidad y su respectivo monto anual en dólares de los Estados Unidos de América, equivalente a la exención de impuesto como resultado del incentivo fiscal.</w:t>
      </w:r>
    </w:p>
    <w:p w:rsidR="00F1035C" w:rsidRPr="00195E36" w:rsidRDefault="00F1035C" w:rsidP="005E045E">
      <w:pPr>
        <w:tabs>
          <w:tab w:val="left" w:pos="1140"/>
        </w:tabs>
        <w:spacing w:after="0" w:line="240" w:lineRule="atLeast"/>
        <w:jc w:val="both"/>
      </w:pPr>
    </w:p>
    <w:p w:rsidR="00C64FCF" w:rsidRDefault="0061016E" w:rsidP="005E045E">
      <w:pPr>
        <w:tabs>
          <w:tab w:val="left" w:pos="1140"/>
        </w:tabs>
        <w:spacing w:after="0" w:line="240" w:lineRule="auto"/>
        <w:ind w:left="709"/>
        <w:jc w:val="both"/>
      </w:pPr>
      <w:r w:rsidRPr="00195E36">
        <w:t>P</w:t>
      </w:r>
      <w:r w:rsidR="00213ED2" w:rsidRPr="00195E36">
        <w:t>resentada ante la Unidad de Acceso a la Información Pública de esta dependencia por parte de</w:t>
      </w:r>
      <w:r w:rsidR="00CA6D68" w:rsidRPr="00195E36">
        <w:t xml:space="preserve"> </w:t>
      </w:r>
      <w:r w:rsidR="006E1C10" w:rsidRPr="006E1C10">
        <w:rPr>
          <w:highlight w:val="black"/>
        </w:rPr>
        <w:t>xxxxxxxxxxxxx</w:t>
      </w:r>
      <w:r w:rsidR="00032921" w:rsidRPr="00195E36">
        <w:t xml:space="preserve">, </w:t>
      </w:r>
      <w:r w:rsidR="00095CC3" w:rsidRPr="00195E36">
        <w:t>con</w:t>
      </w:r>
      <w:r w:rsidR="00193483" w:rsidRPr="00195E36">
        <w:t xml:space="preserve"> Docume</w:t>
      </w:r>
      <w:r w:rsidR="008E1AA2" w:rsidRPr="00195E36">
        <w:t xml:space="preserve">nto Único de Identidad </w:t>
      </w:r>
      <w:r w:rsidR="006E1C10" w:rsidRPr="006E1C10">
        <w:rPr>
          <w:highlight w:val="black"/>
        </w:rPr>
        <w:t>xxxxxxxxx</w:t>
      </w:r>
      <w:r w:rsidR="005323E6">
        <w:t xml:space="preserve"> </w:t>
      </w:r>
      <w:r w:rsidR="00F1035C">
        <w:t xml:space="preserve"> </w:t>
      </w:r>
      <w:r w:rsidR="00213ED2" w:rsidRPr="00195E36">
        <w:t>y considerando que la solicitud cumple con todos los requisitos establecidos en el Art.</w:t>
      </w:r>
      <w:r w:rsidR="006B29DD" w:rsidRPr="00195E36">
        <w:t xml:space="preserve"> </w:t>
      </w:r>
      <w:r w:rsidR="00213ED2" w:rsidRPr="00195E36">
        <w:t>66 de la Ley de Acceso a la Información Pública,</w:t>
      </w:r>
      <w:r w:rsidR="00D63885" w:rsidRPr="00195E36">
        <w:t xml:space="preserve"> y que la información solicitada</w:t>
      </w:r>
      <w:r w:rsidR="00213ED2" w:rsidRPr="00195E36">
        <w:t xml:space="preserve"> </w:t>
      </w:r>
      <w:r w:rsidR="00D63885" w:rsidRPr="00195E36">
        <w:t>no se encuentra entre las excepciones enumeradas en los artículos 19 y 24 de la</w:t>
      </w:r>
      <w:r w:rsidR="005E045E">
        <w:t xml:space="preserve"> ley; y art. 19 del Reglamento. </w:t>
      </w:r>
    </w:p>
    <w:p w:rsidR="002F1FDF" w:rsidRDefault="002F1FDF" w:rsidP="005E045E">
      <w:pPr>
        <w:tabs>
          <w:tab w:val="left" w:pos="1140"/>
        </w:tabs>
        <w:spacing w:after="0" w:line="240" w:lineRule="auto"/>
        <w:ind w:left="709"/>
        <w:jc w:val="both"/>
      </w:pPr>
    </w:p>
    <w:p w:rsidR="005E045E" w:rsidRPr="005E045E" w:rsidRDefault="002F1FDF" w:rsidP="005E045E">
      <w:pPr>
        <w:tabs>
          <w:tab w:val="left" w:pos="1140"/>
        </w:tabs>
        <w:spacing w:after="0" w:line="240" w:lineRule="auto"/>
        <w:ind w:left="709"/>
        <w:jc w:val="both"/>
        <w:rPr>
          <w:b/>
        </w:rPr>
      </w:pPr>
      <w:r>
        <w:t xml:space="preserve"> </w:t>
      </w:r>
      <w:r w:rsidR="005E045E" w:rsidRPr="005E045E">
        <w:rPr>
          <w:b/>
        </w:rPr>
        <w:t>CONSIDERANDO:</w:t>
      </w:r>
    </w:p>
    <w:p w:rsidR="005E045E" w:rsidRDefault="005E045E" w:rsidP="005E045E">
      <w:pPr>
        <w:tabs>
          <w:tab w:val="left" w:pos="1140"/>
        </w:tabs>
        <w:spacing w:after="0" w:line="240" w:lineRule="auto"/>
        <w:ind w:left="709"/>
        <w:jc w:val="both"/>
      </w:pPr>
    </w:p>
    <w:p w:rsidR="005E045E" w:rsidRPr="005E045E" w:rsidRDefault="005E045E" w:rsidP="00825097">
      <w:pPr>
        <w:pStyle w:val="Prrafodelista"/>
        <w:numPr>
          <w:ilvl w:val="0"/>
          <w:numId w:val="3"/>
        </w:numPr>
        <w:tabs>
          <w:tab w:val="left" w:pos="851"/>
        </w:tabs>
        <w:spacing w:after="0"/>
        <w:ind w:left="851" w:hanging="425"/>
        <w:jc w:val="both"/>
        <w:rPr>
          <w:lang w:val="es-SV"/>
        </w:rPr>
      </w:pPr>
      <w:r>
        <w:t xml:space="preserve">Que </w:t>
      </w:r>
      <w:r>
        <w:rPr>
          <w:lang w:val="es-SV"/>
        </w:rPr>
        <w:t>l</w:t>
      </w:r>
      <w:r w:rsidRPr="005E045E">
        <w:rPr>
          <w:lang w:val="es-SV"/>
        </w:rPr>
        <w:t xml:space="preserve">a Ley de Turismo en el Art. 2 literal e) define como Proyecto de Interés Turístico Nacional: </w:t>
      </w:r>
    </w:p>
    <w:p w:rsidR="002E16DF" w:rsidRPr="000F13D7" w:rsidRDefault="00825097" w:rsidP="002E16DF">
      <w:pPr>
        <w:tabs>
          <w:tab w:val="left" w:pos="851"/>
        </w:tabs>
        <w:spacing w:after="0" w:line="120" w:lineRule="atLeast"/>
        <w:ind w:left="851" w:hanging="720"/>
        <w:jc w:val="both"/>
        <w:rPr>
          <w:i/>
          <w:lang w:val="es-SV"/>
        </w:rPr>
      </w:pPr>
      <w:r>
        <w:rPr>
          <w:lang w:val="es-SV"/>
        </w:rPr>
        <w:t xml:space="preserve">                “</w:t>
      </w:r>
      <w:r w:rsidR="005E045E" w:rsidRPr="000F13D7">
        <w:rPr>
          <w:i/>
          <w:lang w:val="es-SV"/>
        </w:rPr>
        <w:t>Proyecto o Plan Maestro de construcción, remodelación o mejora de infraestructura y servicios turísticos, que es calificado como tal por el Órgano Ejecutivo en el Ramo de Turismo, en virtud de su interés y contexto recreativo, cultural, histórico, natural o ecológico, que lo hacen elegible para gozar de los incentivos que concede esta Ley”</w:t>
      </w:r>
      <w:r w:rsidRPr="000F13D7">
        <w:rPr>
          <w:i/>
          <w:lang w:val="es-SV"/>
        </w:rPr>
        <w:t>.</w:t>
      </w:r>
    </w:p>
    <w:p w:rsidR="002E16DF" w:rsidRDefault="002E16DF" w:rsidP="002E16DF">
      <w:pPr>
        <w:tabs>
          <w:tab w:val="left" w:pos="851"/>
        </w:tabs>
        <w:spacing w:after="0" w:line="120" w:lineRule="atLeast"/>
        <w:ind w:left="851" w:hanging="720"/>
        <w:jc w:val="both"/>
        <w:rPr>
          <w:lang w:val="es-SV"/>
        </w:rPr>
      </w:pPr>
    </w:p>
    <w:p w:rsidR="002E16DF" w:rsidRPr="000F13D7" w:rsidRDefault="002E16DF" w:rsidP="002E16DF">
      <w:pPr>
        <w:pStyle w:val="Prrafodelista"/>
        <w:numPr>
          <w:ilvl w:val="0"/>
          <w:numId w:val="3"/>
        </w:numPr>
        <w:tabs>
          <w:tab w:val="left" w:pos="851"/>
        </w:tabs>
        <w:spacing w:after="0" w:line="120" w:lineRule="atLeast"/>
        <w:ind w:left="851" w:hanging="425"/>
        <w:jc w:val="both"/>
        <w:rPr>
          <w:i/>
          <w:lang w:val="es-SV"/>
        </w:rPr>
      </w:pPr>
      <w:r>
        <w:rPr>
          <w:lang w:val="es-SV"/>
        </w:rPr>
        <w:t xml:space="preserve">Que según </w:t>
      </w:r>
      <w:r w:rsidR="000F13D7">
        <w:rPr>
          <w:lang w:val="es-SV"/>
        </w:rPr>
        <w:t xml:space="preserve">la Ley de Turismo </w:t>
      </w:r>
      <w:r>
        <w:rPr>
          <w:lang w:val="es-SV"/>
        </w:rPr>
        <w:t xml:space="preserve">el Art.22 </w:t>
      </w:r>
      <w:r w:rsidR="000F13D7">
        <w:rPr>
          <w:lang w:val="es-SV"/>
        </w:rPr>
        <w:t>Inciso I literalmente dice: “</w:t>
      </w:r>
      <w:r w:rsidR="000F13D7">
        <w:rPr>
          <w:i/>
          <w:lang w:val="es-SV"/>
        </w:rPr>
        <w:t>La Secretaría de Estado, mediante acuerdo respectivo será la encargada de otorgar la calificación o denegatoria de los Proyectos de Interés Turístico Nacional,</w:t>
      </w:r>
      <w:r>
        <w:rPr>
          <w:lang w:val="es-SV"/>
        </w:rPr>
        <w:t xml:space="preserve"> </w:t>
      </w:r>
      <w:r w:rsidRPr="000F13D7">
        <w:rPr>
          <w:i/>
          <w:lang w:val="es-SV"/>
        </w:rPr>
        <w:t>previa opinión favorable del Ministerio de Hacienda, del Ministerio de Medio Ambiente y Recursos Naturales y de la Secretaría de Cultura de la Presidencia de la Repúblic</w:t>
      </w:r>
      <w:r w:rsidR="000F13D7">
        <w:rPr>
          <w:i/>
          <w:lang w:val="es-SV"/>
        </w:rPr>
        <w:t>a, para aquellas inversiones que superen los cincuenta mil dólares de los Estados Unidos de América (US$50,000.00). Para las inversiones menores de cincuenta mil dólares de los Estados Unidos de América (US$50,000.00), bastará la opinión favorable del Ministerio de Medio Ambiente y Recursos Naturales, de la Secretaría de Cultura de la Presidencia de la República y Ministerio de Turismo”.</w:t>
      </w:r>
    </w:p>
    <w:p w:rsidR="002E16DF" w:rsidRPr="002E16DF" w:rsidRDefault="002E16DF" w:rsidP="002E16DF">
      <w:pPr>
        <w:pStyle w:val="Prrafodelista"/>
        <w:tabs>
          <w:tab w:val="left" w:pos="851"/>
        </w:tabs>
        <w:spacing w:after="0" w:line="120" w:lineRule="atLeast"/>
        <w:ind w:left="851"/>
        <w:jc w:val="both"/>
        <w:rPr>
          <w:lang w:val="es-SV"/>
        </w:rPr>
      </w:pPr>
    </w:p>
    <w:p w:rsidR="005E045E" w:rsidRDefault="005E045E" w:rsidP="00825097">
      <w:pPr>
        <w:pStyle w:val="Prrafodelista"/>
        <w:numPr>
          <w:ilvl w:val="0"/>
          <w:numId w:val="3"/>
        </w:numPr>
        <w:tabs>
          <w:tab w:val="left" w:pos="851"/>
        </w:tabs>
        <w:spacing w:after="0"/>
        <w:ind w:left="851" w:hanging="425"/>
        <w:jc w:val="both"/>
        <w:rPr>
          <w:i/>
          <w:lang w:val="es-SV"/>
        </w:rPr>
      </w:pPr>
      <w:r>
        <w:rPr>
          <w:lang w:val="es-SV"/>
        </w:rPr>
        <w:lastRenderedPageBreak/>
        <w:t>Que de a</w:t>
      </w:r>
      <w:r w:rsidR="00A44161">
        <w:rPr>
          <w:lang w:val="es-SV"/>
        </w:rPr>
        <w:t>cuerdo al Art. 23 inciso I</w:t>
      </w:r>
      <w:r>
        <w:rPr>
          <w:lang w:val="es-SV"/>
        </w:rPr>
        <w:t xml:space="preserve"> de la Ley d</w:t>
      </w:r>
      <w:r w:rsidR="00A44161">
        <w:rPr>
          <w:lang w:val="es-SV"/>
        </w:rPr>
        <w:t>e Turismo, literalmente dice: “</w:t>
      </w:r>
      <w:r w:rsidR="00A44161" w:rsidRPr="00A44161">
        <w:rPr>
          <w:i/>
          <w:lang w:val="es-SV"/>
        </w:rPr>
        <w:t>S</w:t>
      </w:r>
      <w:r w:rsidRPr="00A44161">
        <w:rPr>
          <w:i/>
          <w:lang w:val="es-SV"/>
        </w:rPr>
        <w:t xml:space="preserve">erá competencia del Órgano Ejecutivo en el Ramo de Hacienda, según sea el caso, ejercer la vigilancia y control del régimen fiscal </w:t>
      </w:r>
      <w:r w:rsidR="00A44161">
        <w:rPr>
          <w:i/>
          <w:lang w:val="es-SV"/>
        </w:rPr>
        <w:t>de las actividades incentivadas”.</w:t>
      </w:r>
    </w:p>
    <w:p w:rsidR="00A44161" w:rsidRPr="00A44161" w:rsidRDefault="00A44161" w:rsidP="00A44161">
      <w:pPr>
        <w:pStyle w:val="Prrafodelista"/>
        <w:rPr>
          <w:i/>
          <w:lang w:val="es-SV"/>
        </w:rPr>
      </w:pPr>
    </w:p>
    <w:p w:rsidR="005E045E" w:rsidRPr="00A44161" w:rsidRDefault="00A44161" w:rsidP="00A44161">
      <w:pPr>
        <w:pStyle w:val="Prrafodelista"/>
        <w:numPr>
          <w:ilvl w:val="0"/>
          <w:numId w:val="3"/>
        </w:numPr>
        <w:tabs>
          <w:tab w:val="left" w:pos="750"/>
          <w:tab w:val="left" w:pos="851"/>
        </w:tabs>
        <w:spacing w:after="0"/>
        <w:ind w:left="851" w:hanging="425"/>
        <w:jc w:val="both"/>
        <w:rPr>
          <w:lang w:val="es-SV"/>
        </w:rPr>
      </w:pPr>
      <w:r>
        <w:rPr>
          <w:lang w:val="es-SV"/>
        </w:rPr>
        <w:t xml:space="preserve">  </w:t>
      </w:r>
      <w:r w:rsidRPr="00A44161">
        <w:rPr>
          <w:lang w:val="es-SV"/>
        </w:rPr>
        <w:t>Que respecto el Art.37 de la Ley establece literalmente lo siguiente: “</w:t>
      </w:r>
      <w:r w:rsidRPr="00A44161">
        <w:rPr>
          <w:i/>
          <w:lang w:val="es-SV"/>
        </w:rPr>
        <w:t>Todas las empresas beneficiadas con los incentivos establecidos en la presente Ley, deberán contribuir con un 5% de las ganancias obtenidas durante el período de exoneración, dicho porcentaje será agregado a las contribuciones especiales establecidas en esta Ley para la promoción del turismo”.</w:t>
      </w:r>
    </w:p>
    <w:p w:rsidR="005E045E" w:rsidRDefault="005E045E" w:rsidP="005E045E">
      <w:pPr>
        <w:tabs>
          <w:tab w:val="left" w:pos="1140"/>
        </w:tabs>
        <w:spacing w:after="0" w:line="240" w:lineRule="auto"/>
        <w:jc w:val="both"/>
      </w:pPr>
    </w:p>
    <w:p w:rsidR="005E045E" w:rsidRPr="00195E36" w:rsidRDefault="005E045E" w:rsidP="005E045E">
      <w:pPr>
        <w:tabs>
          <w:tab w:val="left" w:pos="1140"/>
        </w:tabs>
        <w:spacing w:after="0" w:line="240" w:lineRule="auto"/>
        <w:jc w:val="both"/>
      </w:pPr>
    </w:p>
    <w:p w:rsidR="00F1035C" w:rsidRDefault="003521A6" w:rsidP="00F1035C">
      <w:pPr>
        <w:pStyle w:val="Prrafodelista"/>
        <w:tabs>
          <w:tab w:val="left" w:pos="3000"/>
        </w:tabs>
        <w:ind w:left="709"/>
        <w:jc w:val="both"/>
        <w:rPr>
          <w:b/>
          <w:lang w:val="es-SV"/>
        </w:rPr>
      </w:pPr>
      <w:r w:rsidRPr="00195E36">
        <w:rPr>
          <w:b/>
          <w:lang w:val="es-SV"/>
        </w:rPr>
        <w:t>POR TANTO:</w:t>
      </w:r>
    </w:p>
    <w:p w:rsidR="00372EA1" w:rsidRPr="00195E36" w:rsidRDefault="003521A6" w:rsidP="00F1035C">
      <w:pPr>
        <w:pStyle w:val="Prrafodelista"/>
        <w:tabs>
          <w:tab w:val="left" w:pos="3000"/>
        </w:tabs>
        <w:ind w:left="709"/>
        <w:jc w:val="both"/>
        <w:rPr>
          <w:b/>
          <w:lang w:val="es-SV"/>
        </w:rPr>
      </w:pPr>
      <w:r w:rsidRPr="00195E36">
        <w:t>De conformidad a los establecido en los Art. 62 y 72 de la Ley de Acceso a la Información Pública.</w:t>
      </w:r>
      <w:r w:rsidRPr="00195E36">
        <w:rPr>
          <w:b/>
          <w:lang w:val="es-SV"/>
        </w:rPr>
        <w:t xml:space="preserve">          </w:t>
      </w:r>
    </w:p>
    <w:p w:rsidR="008321AA" w:rsidRDefault="00372EA1" w:rsidP="00F1035C">
      <w:pPr>
        <w:tabs>
          <w:tab w:val="left" w:pos="3000"/>
        </w:tabs>
        <w:spacing w:after="0"/>
        <w:jc w:val="both"/>
        <w:rPr>
          <w:b/>
          <w:lang w:val="es-SV"/>
        </w:rPr>
      </w:pPr>
      <w:r w:rsidRPr="00195E36">
        <w:rPr>
          <w:b/>
          <w:lang w:val="es-SV"/>
        </w:rPr>
        <w:t xml:space="preserve">             </w:t>
      </w:r>
      <w:r w:rsidR="000C5153">
        <w:rPr>
          <w:b/>
          <w:lang w:val="es-SV"/>
        </w:rPr>
        <w:t xml:space="preserve"> </w:t>
      </w:r>
      <w:r w:rsidR="00F1035C">
        <w:rPr>
          <w:b/>
          <w:lang w:val="es-SV"/>
        </w:rPr>
        <w:t xml:space="preserve"> </w:t>
      </w:r>
      <w:r w:rsidR="008321AA" w:rsidRPr="00195E36">
        <w:rPr>
          <w:b/>
          <w:lang w:val="es-SV"/>
        </w:rPr>
        <w:t>SE RESUELVE:</w:t>
      </w:r>
    </w:p>
    <w:p w:rsidR="000F13D7" w:rsidRPr="000F13D7" w:rsidRDefault="00112A0A" w:rsidP="00CC15C5">
      <w:pPr>
        <w:pStyle w:val="Prrafodelista"/>
        <w:numPr>
          <w:ilvl w:val="0"/>
          <w:numId w:val="1"/>
        </w:numPr>
        <w:tabs>
          <w:tab w:val="left" w:pos="750"/>
          <w:tab w:val="left" w:pos="3000"/>
        </w:tabs>
        <w:spacing w:after="0"/>
        <w:jc w:val="both"/>
        <w:rPr>
          <w:b/>
          <w:lang w:val="es-SV"/>
        </w:rPr>
      </w:pPr>
      <w:r w:rsidRPr="000F13D7">
        <w:rPr>
          <w:lang w:val="es-SV"/>
        </w:rPr>
        <w:t>Brindar la información solicitada según detalle proporcionado por la Dire</w:t>
      </w:r>
      <w:r w:rsidR="000B4A43" w:rsidRPr="000F13D7">
        <w:rPr>
          <w:lang w:val="es-SV"/>
        </w:rPr>
        <w:t>cción de Contraloría Sectorial.</w:t>
      </w:r>
      <w:r w:rsidR="000F13D7">
        <w:rPr>
          <w:lang w:val="es-SV"/>
        </w:rPr>
        <w:t xml:space="preserve"> </w:t>
      </w:r>
      <w:r w:rsidR="00BA6F86" w:rsidRPr="000F13D7">
        <w:rPr>
          <w:lang w:val="es-SV"/>
        </w:rPr>
        <w:t>Se adjunta cuadro que detalla los Proyectos</w:t>
      </w:r>
      <w:r w:rsidR="000F13D7">
        <w:rPr>
          <w:lang w:val="es-SV"/>
        </w:rPr>
        <w:t xml:space="preserve"> de Interés Turístico Nacional C</w:t>
      </w:r>
      <w:r w:rsidR="00BA6F86" w:rsidRPr="000F13D7">
        <w:rPr>
          <w:lang w:val="es-SV"/>
        </w:rPr>
        <w:t>alificados.</w:t>
      </w:r>
    </w:p>
    <w:p w:rsidR="00A44161" w:rsidRPr="00070469" w:rsidRDefault="000F13D7" w:rsidP="00CC15C5">
      <w:pPr>
        <w:pStyle w:val="Prrafodelista"/>
        <w:numPr>
          <w:ilvl w:val="0"/>
          <w:numId w:val="1"/>
        </w:numPr>
        <w:tabs>
          <w:tab w:val="left" w:pos="750"/>
          <w:tab w:val="left" w:pos="3000"/>
        </w:tabs>
        <w:spacing w:after="0"/>
        <w:jc w:val="both"/>
        <w:rPr>
          <w:b/>
          <w:lang w:val="es-SV"/>
        </w:rPr>
      </w:pPr>
      <w:r>
        <w:rPr>
          <w:lang w:val="es-SV"/>
        </w:rPr>
        <w:t>Orientar que según respuesta de la Dirección de Contraloría Sectorial, el cálculo de incentivos fiscales por la exención del impuesto sobre la renta lo controla el Ministerio de Hacienda</w:t>
      </w:r>
      <w:r w:rsidR="00070469">
        <w:rPr>
          <w:lang w:val="es-SV"/>
        </w:rPr>
        <w:t>.</w:t>
      </w:r>
    </w:p>
    <w:p w:rsidR="001F11B3" w:rsidRDefault="001F11B3" w:rsidP="001F11B3">
      <w:pPr>
        <w:spacing w:after="0"/>
        <w:jc w:val="both"/>
        <w:rPr>
          <w:rFonts w:ascii="Century Gothic" w:hAnsi="Century Gothic"/>
          <w:b/>
          <w:sz w:val="19"/>
          <w:szCs w:val="19"/>
          <w:lang w:val="es-SV"/>
        </w:rPr>
      </w:pPr>
      <w:r>
        <w:rPr>
          <w:rFonts w:ascii="Century Gothic" w:hAnsi="Century Gothic"/>
          <w:b/>
          <w:sz w:val="19"/>
          <w:szCs w:val="19"/>
          <w:lang w:val="es-SV"/>
        </w:rPr>
        <w:tab/>
      </w:r>
    </w:p>
    <w:p w:rsidR="000C5153" w:rsidRDefault="00B6160B" w:rsidP="000C5153">
      <w:pPr>
        <w:spacing w:after="0"/>
        <w:ind w:left="709"/>
        <w:jc w:val="both"/>
        <w:rPr>
          <w:rFonts w:ascii="Helvetica" w:hAnsi="Helvetica" w:cs="Helvetica"/>
          <w:color w:val="333333"/>
          <w:sz w:val="21"/>
          <w:szCs w:val="21"/>
          <w:shd w:val="clear" w:color="auto" w:fill="FFFFFF"/>
        </w:rPr>
      </w:pPr>
      <w:r w:rsidRPr="00906697">
        <w:rPr>
          <w:lang w:val="es-SV"/>
        </w:rPr>
        <w:t>Por lo tanto se hace entrega de dicha información, en esta misma fecha, a través de</w:t>
      </w:r>
      <w:r>
        <w:rPr>
          <w:lang w:val="es-SV"/>
        </w:rPr>
        <w:t xml:space="preserve"> </w:t>
      </w:r>
      <w:r w:rsidRPr="00906697">
        <w:rPr>
          <w:lang w:val="es-SV"/>
        </w:rPr>
        <w:t>correo electrónico consignado para recibir notificaciones:</w:t>
      </w:r>
      <w:r w:rsidR="00CA6D68" w:rsidRPr="00F26E67">
        <w:t xml:space="preserve"> </w:t>
      </w:r>
      <w:r w:rsidR="006E1C10" w:rsidRPr="006E1C10">
        <w:rPr>
          <w:highlight w:val="black"/>
        </w:rPr>
        <w:t>xxxxxxxxxxxxxxx</w:t>
      </w:r>
    </w:p>
    <w:p w:rsidR="00F26E67" w:rsidRPr="001F11B3" w:rsidRDefault="00F26E67" w:rsidP="001F11B3">
      <w:pPr>
        <w:spacing w:after="0"/>
        <w:jc w:val="both"/>
        <w:rPr>
          <w:rFonts w:cs="Helvetica"/>
          <w:color w:val="333333"/>
          <w:sz w:val="21"/>
          <w:szCs w:val="21"/>
          <w:shd w:val="clear" w:color="auto" w:fill="FFFFFF"/>
        </w:rPr>
      </w:pPr>
    </w:p>
    <w:p w:rsidR="001F11B3" w:rsidRPr="00CA6D68" w:rsidRDefault="001F11B3" w:rsidP="001F11B3">
      <w:pPr>
        <w:spacing w:after="0"/>
        <w:jc w:val="both"/>
      </w:pPr>
    </w:p>
    <w:p w:rsidR="00C03FCB" w:rsidRPr="00F46C3E" w:rsidRDefault="008321AA" w:rsidP="00BA6F86">
      <w:pPr>
        <w:ind w:left="704"/>
        <w:rPr>
          <w:lang w:val="es-SV"/>
        </w:rPr>
      </w:pPr>
      <w:r>
        <w:rPr>
          <w:lang w:val="es-SV"/>
        </w:rPr>
        <w:tab/>
      </w:r>
      <w:r>
        <w:rPr>
          <w:lang w:val="es-SV"/>
        </w:rPr>
        <w:tab/>
      </w:r>
      <w:r>
        <w:rPr>
          <w:lang w:val="es-SV"/>
        </w:rPr>
        <w:tab/>
      </w:r>
      <w:r>
        <w:rPr>
          <w:lang w:val="es-SV"/>
        </w:rPr>
        <w:tab/>
      </w:r>
      <w:r>
        <w:rPr>
          <w:lang w:val="es-SV"/>
        </w:rPr>
        <w:tab/>
      </w:r>
    </w:p>
    <w:p w:rsidR="00C55328" w:rsidRPr="00906697" w:rsidRDefault="00C736F8" w:rsidP="00C736F8">
      <w:pPr>
        <w:pStyle w:val="Textosinformato"/>
        <w:tabs>
          <w:tab w:val="center" w:pos="5040"/>
          <w:tab w:val="right" w:pos="10080"/>
        </w:tabs>
        <w:rPr>
          <w:rFonts w:asciiTheme="minorHAnsi" w:hAnsiTheme="minorHAnsi"/>
          <w:szCs w:val="22"/>
        </w:rPr>
      </w:pPr>
      <w:r>
        <w:rPr>
          <w:rFonts w:asciiTheme="minorHAnsi" w:hAnsiTheme="minorHAnsi"/>
          <w:szCs w:val="22"/>
        </w:rPr>
        <w:tab/>
      </w:r>
      <w:r w:rsidR="00906697">
        <w:rPr>
          <w:rFonts w:asciiTheme="minorHAnsi" w:hAnsiTheme="minorHAnsi"/>
          <w:szCs w:val="22"/>
        </w:rPr>
        <w:t>L</w:t>
      </w:r>
      <w:r w:rsidR="00C55328" w:rsidRPr="00906697">
        <w:rPr>
          <w:rFonts w:asciiTheme="minorHAnsi" w:hAnsiTheme="minorHAnsi"/>
          <w:szCs w:val="22"/>
        </w:rPr>
        <w:t>ic</w:t>
      </w:r>
      <w:r w:rsidR="00906697">
        <w:rPr>
          <w:rFonts w:asciiTheme="minorHAnsi" w:hAnsiTheme="minorHAnsi"/>
          <w:szCs w:val="22"/>
        </w:rPr>
        <w:t>da</w:t>
      </w:r>
      <w:r w:rsidR="00C55328" w:rsidRPr="00906697">
        <w:rPr>
          <w:rFonts w:asciiTheme="minorHAnsi" w:hAnsiTheme="minorHAnsi"/>
          <w:szCs w:val="22"/>
        </w:rPr>
        <w:t>. Glenda de Cáceres</w:t>
      </w:r>
      <w:r>
        <w:rPr>
          <w:rFonts w:asciiTheme="minorHAnsi" w:hAnsiTheme="minorHAnsi"/>
          <w:szCs w:val="22"/>
        </w:rPr>
        <w:tab/>
      </w:r>
    </w:p>
    <w:p w:rsidR="00B6160B" w:rsidRDefault="00C55328" w:rsidP="00A418BD">
      <w:pPr>
        <w:pStyle w:val="Textosinformato"/>
        <w:jc w:val="center"/>
        <w:rPr>
          <w:rFonts w:asciiTheme="minorHAnsi" w:hAnsiTheme="minorHAnsi"/>
        </w:rPr>
      </w:pPr>
      <w:r w:rsidRPr="00906697">
        <w:rPr>
          <w:rFonts w:asciiTheme="minorHAnsi" w:hAnsiTheme="minorHAnsi"/>
          <w:szCs w:val="22"/>
        </w:rPr>
        <w:t>Oficial de Información Ad-honorem</w:t>
      </w:r>
    </w:p>
    <w:p w:rsidR="00F46C3E" w:rsidRDefault="007C069F" w:rsidP="002E38AB">
      <w:r>
        <w:rPr>
          <w:noProof/>
          <w:lang w:val="es-SV" w:eastAsia="es-SV"/>
        </w:rPr>
        <mc:AlternateContent>
          <mc:Choice Requires="wps">
            <w:drawing>
              <wp:anchor distT="0" distB="0" distL="114300" distR="114300" simplePos="0" relativeHeight="251658240" behindDoc="0" locked="0" layoutInCell="1" allowOverlap="1">
                <wp:simplePos x="0" y="0"/>
                <wp:positionH relativeFrom="column">
                  <wp:posOffset>409575</wp:posOffset>
                </wp:positionH>
                <wp:positionV relativeFrom="paragraph">
                  <wp:posOffset>132715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2.25pt;margin-top:10.4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p>
    <w:p w:rsidR="00F46C3E" w:rsidRDefault="00F46C3E" w:rsidP="00F46C3E"/>
    <w:p w:rsidR="00F46C3E" w:rsidRDefault="00F46C3E" w:rsidP="00F46C3E">
      <w:pPr>
        <w:pStyle w:val="Textosinformato"/>
        <w:jc w:val="both"/>
        <w:rPr>
          <w:rFonts w:asciiTheme="minorHAnsi" w:hAnsiTheme="minorHAnsi"/>
        </w:rPr>
      </w:pPr>
      <w:r>
        <w:rPr>
          <w:rFonts w:ascii="Century Gothic" w:hAnsi="Century Gothic"/>
          <w:b/>
          <w:sz w:val="20"/>
          <w:szCs w:val="20"/>
          <w:u w:val="single"/>
        </w:rPr>
        <w:t>N</w:t>
      </w:r>
      <w:r>
        <w:rPr>
          <w:rFonts w:ascii="Century Gothic" w:hAnsi="Century Gothic"/>
          <w:b/>
          <w:sz w:val="20"/>
          <w:szCs w:val="20"/>
          <w:u w:val="single"/>
        </w:rPr>
        <w:t>ota</w:t>
      </w:r>
      <w:r>
        <w:rPr>
          <w:rFonts w:ascii="Century Gothic" w:hAnsi="Century Gothic"/>
          <w:sz w:val="20"/>
          <w:szCs w:val="20"/>
        </w:rPr>
        <w:t xml:space="preserve">: Con base en los Art. 24, 25 y 30 de la Ley de Acceso a la Información Pública. Se ha suprimido el nombre del solicitante, número de Documento Único de Identidad DUI y correo electrónico de contacto.  </w:t>
      </w:r>
    </w:p>
    <w:p w:rsidR="007F7AF3" w:rsidRPr="00F46C3E" w:rsidRDefault="007F7AF3" w:rsidP="00F46C3E">
      <w:pPr>
        <w:tabs>
          <w:tab w:val="left" w:pos="900"/>
        </w:tabs>
        <w:rPr>
          <w:lang w:val="es-SV"/>
        </w:rPr>
      </w:pPr>
      <w:bookmarkStart w:id="0" w:name="_GoBack"/>
      <w:bookmarkEnd w:id="0"/>
    </w:p>
    <w:sectPr w:rsidR="007F7AF3" w:rsidRPr="00F46C3E"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FF3" w:rsidRDefault="007C4FF3" w:rsidP="00C55328">
      <w:pPr>
        <w:spacing w:after="0" w:line="240" w:lineRule="auto"/>
      </w:pPr>
      <w:r>
        <w:separator/>
      </w:r>
    </w:p>
  </w:endnote>
  <w:endnote w:type="continuationSeparator" w:id="0">
    <w:p w:rsidR="007C4FF3" w:rsidRDefault="007C4FF3" w:rsidP="00C55328">
      <w:pPr>
        <w:spacing w:after="0" w:line="240" w:lineRule="auto"/>
      </w:pPr>
      <w:r>
        <w:continuationSeparator/>
      </w:r>
    </w:p>
  </w:endnote>
  <w:endnote w:type="continuationNotice" w:id="1">
    <w:p w:rsidR="007C4FF3" w:rsidRDefault="007C4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FF3" w:rsidRDefault="007C4FF3" w:rsidP="00C55328">
      <w:pPr>
        <w:spacing w:after="0" w:line="240" w:lineRule="auto"/>
      </w:pPr>
      <w:r>
        <w:separator/>
      </w:r>
    </w:p>
  </w:footnote>
  <w:footnote w:type="continuationSeparator" w:id="0">
    <w:p w:rsidR="007C4FF3" w:rsidRDefault="007C4FF3" w:rsidP="00C55328">
      <w:pPr>
        <w:spacing w:after="0" w:line="240" w:lineRule="auto"/>
      </w:pPr>
      <w:r>
        <w:continuationSeparator/>
      </w:r>
    </w:p>
  </w:footnote>
  <w:footnote w:type="continuationNotice" w:id="1">
    <w:p w:rsidR="007C4FF3" w:rsidRDefault="007C4FF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8329F"/>
    <w:multiLevelType w:val="hybridMultilevel"/>
    <w:tmpl w:val="B1E2DA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D12717"/>
    <w:multiLevelType w:val="hybridMultilevel"/>
    <w:tmpl w:val="3A0EA096"/>
    <w:lvl w:ilvl="0" w:tplc="12A80B06">
      <w:start w:val="1"/>
      <w:numFmt w:val="upperRoman"/>
      <w:lvlText w:val="%1)"/>
      <w:lvlJc w:val="left"/>
      <w:pPr>
        <w:ind w:left="1146" w:hanging="720"/>
      </w:pPr>
      <w:rPr>
        <w:rFonts w:hint="default"/>
        <w:i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64A43A14"/>
    <w:multiLevelType w:val="hybridMultilevel"/>
    <w:tmpl w:val="31ACEF14"/>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70469"/>
    <w:rsid w:val="00081D73"/>
    <w:rsid w:val="0008275D"/>
    <w:rsid w:val="00095CC3"/>
    <w:rsid w:val="000A0841"/>
    <w:rsid w:val="000A4F6C"/>
    <w:rsid w:val="000B4A43"/>
    <w:rsid w:val="000C273A"/>
    <w:rsid w:val="000C5153"/>
    <w:rsid w:val="000C5B97"/>
    <w:rsid w:val="000D31C6"/>
    <w:rsid w:val="000E522A"/>
    <w:rsid w:val="000F13D7"/>
    <w:rsid w:val="00102D68"/>
    <w:rsid w:val="00106FE6"/>
    <w:rsid w:val="00112A0A"/>
    <w:rsid w:val="001132FE"/>
    <w:rsid w:val="00115EC4"/>
    <w:rsid w:val="00115F13"/>
    <w:rsid w:val="00126A1D"/>
    <w:rsid w:val="00133676"/>
    <w:rsid w:val="0013521C"/>
    <w:rsid w:val="00135420"/>
    <w:rsid w:val="001525DC"/>
    <w:rsid w:val="00157E9F"/>
    <w:rsid w:val="001617AB"/>
    <w:rsid w:val="001647B3"/>
    <w:rsid w:val="00170562"/>
    <w:rsid w:val="00177E51"/>
    <w:rsid w:val="00184098"/>
    <w:rsid w:val="001919E4"/>
    <w:rsid w:val="00193483"/>
    <w:rsid w:val="00195B46"/>
    <w:rsid w:val="00195E36"/>
    <w:rsid w:val="001A10AD"/>
    <w:rsid w:val="001B1DE4"/>
    <w:rsid w:val="001B353A"/>
    <w:rsid w:val="001C273F"/>
    <w:rsid w:val="001C5C46"/>
    <w:rsid w:val="001D0DFA"/>
    <w:rsid w:val="001D0E88"/>
    <w:rsid w:val="001D3F66"/>
    <w:rsid w:val="001F11B3"/>
    <w:rsid w:val="001F352D"/>
    <w:rsid w:val="00213ED2"/>
    <w:rsid w:val="0023131A"/>
    <w:rsid w:val="002659A4"/>
    <w:rsid w:val="00267A31"/>
    <w:rsid w:val="00277FC0"/>
    <w:rsid w:val="002B1251"/>
    <w:rsid w:val="002C3422"/>
    <w:rsid w:val="002D196C"/>
    <w:rsid w:val="002D67B0"/>
    <w:rsid w:val="002E1140"/>
    <w:rsid w:val="002E16DF"/>
    <w:rsid w:val="002E38AB"/>
    <w:rsid w:val="002F1FDF"/>
    <w:rsid w:val="00303F01"/>
    <w:rsid w:val="00311F40"/>
    <w:rsid w:val="003236D8"/>
    <w:rsid w:val="00326293"/>
    <w:rsid w:val="00332C23"/>
    <w:rsid w:val="003521A6"/>
    <w:rsid w:val="0035463E"/>
    <w:rsid w:val="00354B78"/>
    <w:rsid w:val="00362CD7"/>
    <w:rsid w:val="00372EA1"/>
    <w:rsid w:val="00386BDE"/>
    <w:rsid w:val="00393E28"/>
    <w:rsid w:val="00396D22"/>
    <w:rsid w:val="003A742C"/>
    <w:rsid w:val="003C25B7"/>
    <w:rsid w:val="003E7A52"/>
    <w:rsid w:val="003F2531"/>
    <w:rsid w:val="00404C1C"/>
    <w:rsid w:val="0044031E"/>
    <w:rsid w:val="00447AED"/>
    <w:rsid w:val="00452494"/>
    <w:rsid w:val="00480059"/>
    <w:rsid w:val="004925B1"/>
    <w:rsid w:val="00497B94"/>
    <w:rsid w:val="004D3622"/>
    <w:rsid w:val="004E1E97"/>
    <w:rsid w:val="004E5445"/>
    <w:rsid w:val="004E686A"/>
    <w:rsid w:val="00516AE8"/>
    <w:rsid w:val="0052000B"/>
    <w:rsid w:val="00531CB0"/>
    <w:rsid w:val="005323E6"/>
    <w:rsid w:val="0053538B"/>
    <w:rsid w:val="00545606"/>
    <w:rsid w:val="005545C2"/>
    <w:rsid w:val="00554901"/>
    <w:rsid w:val="00556ADE"/>
    <w:rsid w:val="005713DC"/>
    <w:rsid w:val="00585F43"/>
    <w:rsid w:val="005A4EFF"/>
    <w:rsid w:val="005B1EF6"/>
    <w:rsid w:val="005B393D"/>
    <w:rsid w:val="005B3EE6"/>
    <w:rsid w:val="005D44B6"/>
    <w:rsid w:val="005E045E"/>
    <w:rsid w:val="005F046B"/>
    <w:rsid w:val="0061016E"/>
    <w:rsid w:val="00616EF2"/>
    <w:rsid w:val="00634691"/>
    <w:rsid w:val="0063767E"/>
    <w:rsid w:val="00644DA7"/>
    <w:rsid w:val="0065344F"/>
    <w:rsid w:val="00656439"/>
    <w:rsid w:val="00657886"/>
    <w:rsid w:val="006761E0"/>
    <w:rsid w:val="00677C83"/>
    <w:rsid w:val="00681BC6"/>
    <w:rsid w:val="00685371"/>
    <w:rsid w:val="006876ED"/>
    <w:rsid w:val="00687757"/>
    <w:rsid w:val="006B2840"/>
    <w:rsid w:val="006B29DD"/>
    <w:rsid w:val="006B5734"/>
    <w:rsid w:val="006B62E8"/>
    <w:rsid w:val="006E1C10"/>
    <w:rsid w:val="006F0E18"/>
    <w:rsid w:val="007008F6"/>
    <w:rsid w:val="00720688"/>
    <w:rsid w:val="00732FD5"/>
    <w:rsid w:val="007379A5"/>
    <w:rsid w:val="00743161"/>
    <w:rsid w:val="00762497"/>
    <w:rsid w:val="0077093D"/>
    <w:rsid w:val="00777FEA"/>
    <w:rsid w:val="007942BC"/>
    <w:rsid w:val="007B2DF2"/>
    <w:rsid w:val="007C069F"/>
    <w:rsid w:val="007C3AFC"/>
    <w:rsid w:val="007C4FF3"/>
    <w:rsid w:val="007D15A7"/>
    <w:rsid w:val="007D4463"/>
    <w:rsid w:val="007F1B7C"/>
    <w:rsid w:val="007F7AF3"/>
    <w:rsid w:val="00812B3F"/>
    <w:rsid w:val="0081713C"/>
    <w:rsid w:val="00825097"/>
    <w:rsid w:val="00825757"/>
    <w:rsid w:val="008321AA"/>
    <w:rsid w:val="00833B53"/>
    <w:rsid w:val="0086194B"/>
    <w:rsid w:val="00885EB0"/>
    <w:rsid w:val="008A69DB"/>
    <w:rsid w:val="008B2895"/>
    <w:rsid w:val="008C1BAA"/>
    <w:rsid w:val="008C1FC2"/>
    <w:rsid w:val="008D3E77"/>
    <w:rsid w:val="008D552F"/>
    <w:rsid w:val="008E1AA2"/>
    <w:rsid w:val="008F1B83"/>
    <w:rsid w:val="008F7553"/>
    <w:rsid w:val="00902FF9"/>
    <w:rsid w:val="009051DE"/>
    <w:rsid w:val="00906697"/>
    <w:rsid w:val="00956054"/>
    <w:rsid w:val="009837B1"/>
    <w:rsid w:val="00995CCF"/>
    <w:rsid w:val="009B2F52"/>
    <w:rsid w:val="009C3AD6"/>
    <w:rsid w:val="009E43ED"/>
    <w:rsid w:val="009F307F"/>
    <w:rsid w:val="00A3029B"/>
    <w:rsid w:val="00A34AEB"/>
    <w:rsid w:val="00A41234"/>
    <w:rsid w:val="00A418BD"/>
    <w:rsid w:val="00A44161"/>
    <w:rsid w:val="00A6509A"/>
    <w:rsid w:val="00A65720"/>
    <w:rsid w:val="00A90E48"/>
    <w:rsid w:val="00A97A55"/>
    <w:rsid w:val="00AA0292"/>
    <w:rsid w:val="00AD29E9"/>
    <w:rsid w:val="00AE062C"/>
    <w:rsid w:val="00AE6740"/>
    <w:rsid w:val="00B203A0"/>
    <w:rsid w:val="00B30239"/>
    <w:rsid w:val="00B44B93"/>
    <w:rsid w:val="00B605BD"/>
    <w:rsid w:val="00B6160B"/>
    <w:rsid w:val="00B706D7"/>
    <w:rsid w:val="00B728C2"/>
    <w:rsid w:val="00BA3C98"/>
    <w:rsid w:val="00BA479F"/>
    <w:rsid w:val="00BA6F86"/>
    <w:rsid w:val="00BB182B"/>
    <w:rsid w:val="00BB3098"/>
    <w:rsid w:val="00BC00EC"/>
    <w:rsid w:val="00BC1C8B"/>
    <w:rsid w:val="00BC28D4"/>
    <w:rsid w:val="00BD0913"/>
    <w:rsid w:val="00BE0566"/>
    <w:rsid w:val="00BE59BD"/>
    <w:rsid w:val="00BF5CA1"/>
    <w:rsid w:val="00BF633C"/>
    <w:rsid w:val="00BF71A1"/>
    <w:rsid w:val="00C03FCB"/>
    <w:rsid w:val="00C2190A"/>
    <w:rsid w:val="00C328B2"/>
    <w:rsid w:val="00C34014"/>
    <w:rsid w:val="00C34344"/>
    <w:rsid w:val="00C45DB4"/>
    <w:rsid w:val="00C50F7F"/>
    <w:rsid w:val="00C54559"/>
    <w:rsid w:val="00C55328"/>
    <w:rsid w:val="00C613FB"/>
    <w:rsid w:val="00C630F0"/>
    <w:rsid w:val="00C64FCF"/>
    <w:rsid w:val="00C65E78"/>
    <w:rsid w:val="00C709AB"/>
    <w:rsid w:val="00C736F8"/>
    <w:rsid w:val="00C73CA1"/>
    <w:rsid w:val="00C76199"/>
    <w:rsid w:val="00C77506"/>
    <w:rsid w:val="00C9754A"/>
    <w:rsid w:val="00CA6D68"/>
    <w:rsid w:val="00CB395A"/>
    <w:rsid w:val="00CD26B9"/>
    <w:rsid w:val="00CD27BC"/>
    <w:rsid w:val="00CE55CB"/>
    <w:rsid w:val="00CE6C4B"/>
    <w:rsid w:val="00D0355F"/>
    <w:rsid w:val="00D12625"/>
    <w:rsid w:val="00D15654"/>
    <w:rsid w:val="00D20321"/>
    <w:rsid w:val="00D259E2"/>
    <w:rsid w:val="00D275EE"/>
    <w:rsid w:val="00D2786D"/>
    <w:rsid w:val="00D43165"/>
    <w:rsid w:val="00D462FA"/>
    <w:rsid w:val="00D63885"/>
    <w:rsid w:val="00D75E5C"/>
    <w:rsid w:val="00D77349"/>
    <w:rsid w:val="00D90D04"/>
    <w:rsid w:val="00D924AD"/>
    <w:rsid w:val="00DA4331"/>
    <w:rsid w:val="00DB7957"/>
    <w:rsid w:val="00DC37CA"/>
    <w:rsid w:val="00DE255F"/>
    <w:rsid w:val="00DE3EB0"/>
    <w:rsid w:val="00DE4CBA"/>
    <w:rsid w:val="00DF5546"/>
    <w:rsid w:val="00E04241"/>
    <w:rsid w:val="00E12441"/>
    <w:rsid w:val="00E155B4"/>
    <w:rsid w:val="00E2169C"/>
    <w:rsid w:val="00E22552"/>
    <w:rsid w:val="00E23847"/>
    <w:rsid w:val="00E5015D"/>
    <w:rsid w:val="00E52386"/>
    <w:rsid w:val="00E73FF1"/>
    <w:rsid w:val="00E7514F"/>
    <w:rsid w:val="00E81AC1"/>
    <w:rsid w:val="00E829F9"/>
    <w:rsid w:val="00E83ABC"/>
    <w:rsid w:val="00E941FE"/>
    <w:rsid w:val="00EA1206"/>
    <w:rsid w:val="00EA5F5C"/>
    <w:rsid w:val="00EB78D8"/>
    <w:rsid w:val="00EE5DDE"/>
    <w:rsid w:val="00EF4EB8"/>
    <w:rsid w:val="00F02154"/>
    <w:rsid w:val="00F1035C"/>
    <w:rsid w:val="00F254D0"/>
    <w:rsid w:val="00F26E67"/>
    <w:rsid w:val="00F31C9A"/>
    <w:rsid w:val="00F46C3E"/>
    <w:rsid w:val="00F509EF"/>
    <w:rsid w:val="00F80817"/>
    <w:rsid w:val="00F87D31"/>
    <w:rsid w:val="00FA7852"/>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CB8CFE-44DD-412A-B277-B244C435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3866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2</cp:revision>
  <cp:lastPrinted>2016-05-24T22:23:00Z</cp:lastPrinted>
  <dcterms:created xsi:type="dcterms:W3CDTF">2016-08-11T21:35:00Z</dcterms:created>
  <dcterms:modified xsi:type="dcterms:W3CDTF">2016-08-11T21:35:00Z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