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90A" w:rsidRDefault="009F2CC7" w:rsidP="00B2690A">
      <w:pPr>
        <w:tabs>
          <w:tab w:val="left" w:pos="3000"/>
        </w:tabs>
        <w:spacing w:after="0"/>
        <w:rPr>
          <w:b/>
          <w:sz w:val="24"/>
          <w:szCs w:val="24"/>
        </w:rPr>
      </w:pPr>
      <w:r>
        <w:rPr>
          <w:b/>
          <w:sz w:val="24"/>
          <w:szCs w:val="24"/>
        </w:rPr>
        <w:t xml:space="preserve">   </w:t>
      </w:r>
      <w:r w:rsidR="00B2690A">
        <w:rPr>
          <w:b/>
          <w:sz w:val="24"/>
          <w:szCs w:val="24"/>
        </w:rPr>
        <w:tab/>
      </w:r>
      <w:r>
        <w:rPr>
          <w:b/>
          <w:sz w:val="24"/>
          <w:szCs w:val="24"/>
        </w:rPr>
        <w:t xml:space="preserve">      </w:t>
      </w:r>
      <w:r w:rsidR="00B2690A">
        <w:rPr>
          <w:rFonts w:ascii="Century Gothic" w:hAnsi="Century Gothic"/>
          <w:noProof/>
          <w:sz w:val="20"/>
          <w:szCs w:val="20"/>
          <w:lang w:val="es-SV" w:eastAsia="es-SV"/>
        </w:rPr>
        <w:t xml:space="preserve">         </w:t>
      </w:r>
      <w:r w:rsidR="00B2690A"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B2690A" w:rsidRDefault="00B2690A" w:rsidP="009F2CC7">
      <w:pPr>
        <w:tabs>
          <w:tab w:val="left" w:pos="3000"/>
        </w:tabs>
        <w:spacing w:after="0"/>
        <w:rPr>
          <w:b/>
          <w:sz w:val="24"/>
          <w:szCs w:val="24"/>
        </w:rPr>
      </w:pPr>
    </w:p>
    <w:p w:rsidR="009F2CC7" w:rsidRPr="00906697" w:rsidRDefault="009F2CC7" w:rsidP="00E05CE1">
      <w:pPr>
        <w:tabs>
          <w:tab w:val="left" w:pos="3000"/>
        </w:tabs>
        <w:spacing w:after="0" w:line="240" w:lineRule="auto"/>
        <w:jc w:val="center"/>
        <w:rPr>
          <w:b/>
          <w:sz w:val="24"/>
          <w:szCs w:val="24"/>
        </w:rPr>
      </w:pPr>
      <w:r w:rsidRPr="00906697">
        <w:rPr>
          <w:b/>
          <w:sz w:val="24"/>
          <w:szCs w:val="24"/>
        </w:rPr>
        <w:t>UNIDAD DE ACCESO A LA INFORMACIÓN PÚBLICA.</w:t>
      </w:r>
    </w:p>
    <w:p w:rsidR="009F2CC7" w:rsidRDefault="009F2CC7" w:rsidP="00E05CE1">
      <w:pPr>
        <w:tabs>
          <w:tab w:val="left" w:pos="2475"/>
          <w:tab w:val="left" w:pos="3000"/>
          <w:tab w:val="center" w:pos="5040"/>
        </w:tabs>
        <w:spacing w:after="0" w:line="240" w:lineRule="auto"/>
        <w:rPr>
          <w:b/>
          <w:sz w:val="24"/>
          <w:szCs w:val="24"/>
        </w:rPr>
      </w:pPr>
      <w:r>
        <w:rPr>
          <w:b/>
          <w:sz w:val="24"/>
          <w:szCs w:val="24"/>
        </w:rPr>
        <w:tab/>
      </w:r>
      <w:r>
        <w:rPr>
          <w:b/>
          <w:sz w:val="24"/>
          <w:szCs w:val="24"/>
        </w:rPr>
        <w:tab/>
      </w:r>
      <w:r>
        <w:rPr>
          <w:b/>
          <w:sz w:val="24"/>
          <w:szCs w:val="24"/>
        </w:rPr>
        <w:tab/>
      </w:r>
      <w:r w:rsidRPr="00906697">
        <w:rPr>
          <w:b/>
          <w:sz w:val="24"/>
          <w:szCs w:val="24"/>
        </w:rPr>
        <w:t>Resolución de Entrega de Información.</w:t>
      </w:r>
    </w:p>
    <w:p w:rsidR="009F2CC7" w:rsidRPr="00906697" w:rsidRDefault="009F2CC7" w:rsidP="00E05CE1">
      <w:pPr>
        <w:tabs>
          <w:tab w:val="left" w:pos="2610"/>
          <w:tab w:val="left" w:pos="3000"/>
          <w:tab w:val="center" w:pos="5040"/>
          <w:tab w:val="left" w:pos="6825"/>
        </w:tabs>
        <w:spacing w:after="0" w:line="240" w:lineRule="auto"/>
        <w:rPr>
          <w:b/>
          <w:sz w:val="24"/>
          <w:szCs w:val="24"/>
        </w:rPr>
      </w:pPr>
      <w:r>
        <w:rPr>
          <w:b/>
          <w:sz w:val="24"/>
          <w:szCs w:val="24"/>
        </w:rPr>
        <w:tab/>
      </w:r>
      <w:r>
        <w:rPr>
          <w:b/>
          <w:sz w:val="24"/>
          <w:szCs w:val="24"/>
        </w:rPr>
        <w:tab/>
      </w:r>
      <w:r>
        <w:rPr>
          <w:b/>
          <w:sz w:val="24"/>
          <w:szCs w:val="24"/>
        </w:rPr>
        <w:tab/>
      </w:r>
      <w:r w:rsidR="00506878">
        <w:rPr>
          <w:b/>
          <w:sz w:val="24"/>
          <w:szCs w:val="24"/>
        </w:rPr>
        <w:t>UAIP-MITUR No.2</w:t>
      </w:r>
      <w:r w:rsidR="006252EF">
        <w:rPr>
          <w:b/>
          <w:sz w:val="24"/>
          <w:szCs w:val="24"/>
        </w:rPr>
        <w:t>7</w:t>
      </w:r>
      <w:r>
        <w:rPr>
          <w:b/>
          <w:sz w:val="24"/>
          <w:szCs w:val="24"/>
        </w:rPr>
        <w:t>/2015</w:t>
      </w:r>
      <w:r>
        <w:rPr>
          <w:b/>
          <w:sz w:val="24"/>
          <w:szCs w:val="24"/>
        </w:rPr>
        <w:tab/>
      </w:r>
    </w:p>
    <w:p w:rsidR="009F2CC7" w:rsidRPr="00906697" w:rsidRDefault="009F2CC7" w:rsidP="009F2CC7">
      <w:pPr>
        <w:tabs>
          <w:tab w:val="left" w:pos="3000"/>
        </w:tabs>
        <w:spacing w:after="0" w:line="240" w:lineRule="atLeast"/>
        <w:jc w:val="center"/>
        <w:rPr>
          <w:sz w:val="24"/>
          <w:szCs w:val="24"/>
        </w:rPr>
      </w:pPr>
    </w:p>
    <w:p w:rsidR="009F2CC7" w:rsidRDefault="001A72C9" w:rsidP="009F2CC7">
      <w:pPr>
        <w:tabs>
          <w:tab w:val="left" w:pos="1140"/>
        </w:tabs>
        <w:spacing w:after="0" w:line="240" w:lineRule="atLeast"/>
        <w:ind w:left="709"/>
        <w:jc w:val="both"/>
        <w:rPr>
          <w:rFonts w:ascii="Century Gothic" w:hAnsi="Century Gothic"/>
          <w:sz w:val="19"/>
          <w:szCs w:val="19"/>
        </w:rPr>
      </w:pPr>
      <w:r>
        <w:rPr>
          <w:rFonts w:ascii="Century Gothic" w:hAnsi="Century Gothic"/>
          <w:sz w:val="19"/>
          <w:szCs w:val="19"/>
        </w:rPr>
        <w:t>San Salvador, a las trece</w:t>
      </w:r>
      <w:r w:rsidR="009F2CC7">
        <w:rPr>
          <w:rFonts w:ascii="Century Gothic" w:hAnsi="Century Gothic"/>
          <w:sz w:val="19"/>
          <w:szCs w:val="19"/>
        </w:rPr>
        <w:t xml:space="preserve"> </w:t>
      </w:r>
      <w:r w:rsidR="009F2CC7" w:rsidRPr="00A6509A">
        <w:rPr>
          <w:rFonts w:ascii="Century Gothic" w:hAnsi="Century Gothic"/>
          <w:sz w:val="19"/>
          <w:szCs w:val="19"/>
        </w:rPr>
        <w:t>horas</w:t>
      </w:r>
      <w:r w:rsidR="00691D5B">
        <w:rPr>
          <w:rFonts w:ascii="Century Gothic" w:hAnsi="Century Gothic"/>
          <w:sz w:val="19"/>
          <w:szCs w:val="19"/>
        </w:rPr>
        <w:t xml:space="preserve"> con </w:t>
      </w:r>
      <w:r>
        <w:rPr>
          <w:rFonts w:ascii="Century Gothic" w:hAnsi="Century Gothic"/>
          <w:sz w:val="19"/>
          <w:szCs w:val="19"/>
        </w:rPr>
        <w:t>cuarenta y cinco minutos</w:t>
      </w:r>
      <w:r w:rsidR="009F2CC7" w:rsidRPr="00A6509A">
        <w:rPr>
          <w:rFonts w:ascii="Century Gothic" w:hAnsi="Century Gothic"/>
          <w:sz w:val="19"/>
          <w:szCs w:val="19"/>
        </w:rPr>
        <w:t xml:space="preserve"> </w:t>
      </w:r>
      <w:r w:rsidR="0042678E">
        <w:rPr>
          <w:rFonts w:ascii="Century Gothic" w:hAnsi="Century Gothic"/>
          <w:sz w:val="19"/>
          <w:szCs w:val="19"/>
        </w:rPr>
        <w:t xml:space="preserve">del día </w:t>
      </w:r>
      <w:r>
        <w:rPr>
          <w:rFonts w:ascii="Century Gothic" w:hAnsi="Century Gothic"/>
          <w:sz w:val="19"/>
          <w:szCs w:val="19"/>
        </w:rPr>
        <w:t>treinta y uno de Agosto</w:t>
      </w:r>
      <w:r w:rsidR="009F2CC7">
        <w:rPr>
          <w:rFonts w:ascii="Century Gothic" w:hAnsi="Century Gothic"/>
          <w:sz w:val="19"/>
          <w:szCs w:val="19"/>
        </w:rPr>
        <w:t xml:space="preserve"> de dos mil quince, el Ministerio de Turismo</w:t>
      </w:r>
      <w:r w:rsidR="009F2CC7" w:rsidRPr="00A6509A">
        <w:rPr>
          <w:rFonts w:ascii="Century Gothic" w:hAnsi="Century Gothic"/>
          <w:sz w:val="19"/>
          <w:szCs w:val="19"/>
        </w:rPr>
        <w:t>, luego de haber recibido y admitido la solicitud de información, presentada ante la Unidad de Acceso a la Información Pública de esta dependencia por parte de</w:t>
      </w:r>
      <w:r>
        <w:rPr>
          <w:rFonts w:ascii="Century Gothic" w:hAnsi="Century Gothic"/>
          <w:sz w:val="19"/>
          <w:szCs w:val="19"/>
        </w:rPr>
        <w:t xml:space="preserve"> </w:t>
      </w:r>
      <w:r w:rsidR="00C6202E" w:rsidRPr="00C6202E">
        <w:rPr>
          <w:rFonts w:ascii="Century Gothic" w:hAnsi="Century Gothic"/>
          <w:sz w:val="19"/>
          <w:szCs w:val="19"/>
          <w:highlight w:val="black"/>
        </w:rPr>
        <w:t>xxxxxxxxxxxxxx</w:t>
      </w:r>
      <w:bookmarkStart w:id="0" w:name="_GoBack"/>
      <w:bookmarkEnd w:id="0"/>
      <w:r w:rsidR="009F2CC7" w:rsidRPr="00A6509A">
        <w:rPr>
          <w:rFonts w:ascii="Century Gothic" w:hAnsi="Century Gothic"/>
          <w:sz w:val="19"/>
          <w:szCs w:val="19"/>
        </w:rPr>
        <w:t>, con</w:t>
      </w:r>
      <w:r w:rsidR="009F2CC7">
        <w:rPr>
          <w:rFonts w:ascii="Century Gothic" w:hAnsi="Century Gothic"/>
          <w:sz w:val="19"/>
          <w:szCs w:val="19"/>
        </w:rPr>
        <w:t xml:space="preserve"> número de Do</w:t>
      </w:r>
      <w:r w:rsidR="005500D2">
        <w:rPr>
          <w:rFonts w:ascii="Century Gothic" w:hAnsi="Century Gothic"/>
          <w:sz w:val="19"/>
          <w:szCs w:val="19"/>
        </w:rPr>
        <w:t xml:space="preserve">cumento Único de Identidad </w:t>
      </w:r>
      <w:r w:rsidRPr="00C6202E">
        <w:rPr>
          <w:rFonts w:ascii="Century Gothic" w:hAnsi="Century Gothic"/>
          <w:sz w:val="19"/>
          <w:szCs w:val="19"/>
          <w:highlight w:val="black"/>
        </w:rPr>
        <w:t>xxxxxxxxxx</w:t>
      </w:r>
      <w:r>
        <w:rPr>
          <w:rFonts w:ascii="Century Gothic" w:hAnsi="Century Gothic"/>
          <w:sz w:val="19"/>
          <w:szCs w:val="19"/>
        </w:rPr>
        <w:t xml:space="preserve"> </w:t>
      </w:r>
      <w:r w:rsidR="005500D2">
        <w:rPr>
          <w:rFonts w:ascii="Century Gothic" w:hAnsi="Century Gothic"/>
          <w:sz w:val="19"/>
          <w:szCs w:val="19"/>
        </w:rPr>
        <w:t>,</w:t>
      </w:r>
      <w:r w:rsidR="009F2CC7">
        <w:rPr>
          <w:rFonts w:ascii="Century Gothic" w:hAnsi="Century Gothic"/>
          <w:sz w:val="19"/>
          <w:szCs w:val="19"/>
        </w:rPr>
        <w:t xml:space="preserve"> </w:t>
      </w:r>
      <w:r w:rsidR="009F2CC7" w:rsidRPr="00A6509A">
        <w:rPr>
          <w:rFonts w:ascii="Century Gothic" w:hAnsi="Century Gothic"/>
          <w:sz w:val="19"/>
          <w:szCs w:val="19"/>
        </w:rPr>
        <w:t>considerando que la solicitud cumple con todos los requisitos establecidos en el Art.66 de la Ley de Acceso a la Información Pública,</w:t>
      </w:r>
      <w:r w:rsidR="009F2CC7">
        <w:rPr>
          <w:rFonts w:ascii="Century Gothic" w:hAnsi="Century Gothic"/>
          <w:sz w:val="19"/>
          <w:szCs w:val="19"/>
        </w:rPr>
        <w:t xml:space="preserve"> y que la información solicitada</w:t>
      </w:r>
      <w:r w:rsidR="009F2CC7" w:rsidRPr="00A6509A">
        <w:rPr>
          <w:rFonts w:ascii="Century Gothic" w:hAnsi="Century Gothic"/>
          <w:sz w:val="19"/>
          <w:szCs w:val="19"/>
        </w:rPr>
        <w:t xml:space="preserve"> </w:t>
      </w:r>
      <w:r w:rsidR="009F2CC7" w:rsidRPr="007E34EA">
        <w:rPr>
          <w:rFonts w:ascii="Century Gothic" w:hAnsi="Century Gothic"/>
          <w:sz w:val="19"/>
          <w:szCs w:val="19"/>
        </w:rPr>
        <w:t>no se encuentra entre las excepciones enumeradas en los artículos 19 y 24 de la ley; y art. 19 del Reglamento, la Unidad de Acceso a la Información Pública resuelve según el siguiente detalle:</w:t>
      </w:r>
    </w:p>
    <w:p w:rsidR="00240E1F" w:rsidRPr="001A72C9" w:rsidRDefault="00240E1F" w:rsidP="009F2CC7">
      <w:pPr>
        <w:tabs>
          <w:tab w:val="left" w:pos="1140"/>
        </w:tabs>
        <w:spacing w:after="0" w:line="240" w:lineRule="atLeast"/>
        <w:ind w:left="709"/>
        <w:jc w:val="both"/>
        <w:rPr>
          <w:rFonts w:ascii="Century Gothic" w:hAnsi="Century Gothic"/>
          <w:sz w:val="19"/>
          <w:szCs w:val="19"/>
        </w:rPr>
      </w:pPr>
    </w:p>
    <w:p w:rsidR="001A72C9" w:rsidRDefault="001A72C9" w:rsidP="009F2CC7">
      <w:pPr>
        <w:tabs>
          <w:tab w:val="left" w:pos="1140"/>
        </w:tabs>
        <w:spacing w:after="0" w:line="240" w:lineRule="atLeast"/>
        <w:ind w:left="709"/>
        <w:jc w:val="both"/>
        <w:rPr>
          <w:rFonts w:ascii="Century Gothic" w:hAnsi="Century Gothic"/>
          <w:sz w:val="19"/>
          <w:szCs w:val="19"/>
          <w:lang w:val="es-SV"/>
        </w:rPr>
      </w:pPr>
      <w:r w:rsidRPr="001A72C9">
        <w:rPr>
          <w:rFonts w:ascii="Century Gothic" w:hAnsi="Century Gothic"/>
          <w:sz w:val="19"/>
          <w:szCs w:val="19"/>
          <w:lang w:val="es-SV"/>
        </w:rPr>
        <w:t xml:space="preserve">Avances </w:t>
      </w:r>
      <w:r>
        <w:rPr>
          <w:rFonts w:ascii="Century Gothic" w:hAnsi="Century Gothic"/>
          <w:sz w:val="19"/>
          <w:szCs w:val="19"/>
          <w:lang w:val="es-SV"/>
        </w:rPr>
        <w:t>en transversalizacion de género, a través del siguiente cuestionario:</w:t>
      </w:r>
    </w:p>
    <w:p w:rsidR="0095773B" w:rsidRDefault="0095773B" w:rsidP="009F2CC7">
      <w:pPr>
        <w:tabs>
          <w:tab w:val="left" w:pos="1140"/>
        </w:tabs>
        <w:spacing w:after="0" w:line="240" w:lineRule="atLeast"/>
        <w:ind w:left="709"/>
        <w:jc w:val="both"/>
        <w:rPr>
          <w:rFonts w:ascii="Century Gothic" w:hAnsi="Century Gothic"/>
          <w:sz w:val="19"/>
          <w:szCs w:val="19"/>
          <w:lang w:val="es-SV"/>
        </w:rPr>
      </w:pPr>
    </w:p>
    <w:p w:rsidR="0095773B" w:rsidRDefault="0095773B"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¿El Ministerio de Turismo cuenta con Unidad de Genero?</w:t>
      </w:r>
    </w:p>
    <w:p w:rsidR="0095773B" w:rsidRDefault="0095773B"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Si la tiene ¿Cuál es la fecha de creación según decreto o acuerdo ministerial? (por favor anexar el decreto o acuerdo de creación)</w:t>
      </w:r>
    </w:p>
    <w:p w:rsidR="0095773B" w:rsidRDefault="0095773B"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¿Se ha homologado las normativas internas del MITUR con la Ley de Igualdad, Equidad y Erradicación de la Discriminación contra las mujeres (LIE) para armonizarlas según lo que establece el numeral 5 del Art. 4, en el año 2014?</w:t>
      </w:r>
    </w:p>
    <w:p w:rsidR="0095773B" w:rsidRDefault="0095773B"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 xml:space="preserve">De ser así ¿Cuántas normativas internas del MITUR se han homologado? </w:t>
      </w:r>
    </w:p>
    <w:p w:rsidR="0095773B" w:rsidRDefault="0095773B"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¿El MITUR cuenta con Plan de Igualdad de género institucional?</w:t>
      </w:r>
    </w:p>
    <w:p w:rsidR="0095773B" w:rsidRDefault="0095773B"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¿El MITUR ha incorporado lineamientos de género en su presupuesto?</w:t>
      </w:r>
    </w:p>
    <w:p w:rsidR="0095773B" w:rsidRDefault="000737C8"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 xml:space="preserve">¿Cuánto es el presupuesto anual </w:t>
      </w:r>
      <w:r w:rsidR="00EE17AD">
        <w:rPr>
          <w:rFonts w:ascii="Century Gothic" w:hAnsi="Century Gothic"/>
          <w:sz w:val="19"/>
          <w:szCs w:val="19"/>
          <w:lang w:val="es-SV"/>
        </w:rPr>
        <w:t>total del MITUR</w:t>
      </w:r>
      <w:r>
        <w:rPr>
          <w:rFonts w:ascii="Century Gothic" w:hAnsi="Century Gothic"/>
          <w:sz w:val="19"/>
          <w:szCs w:val="19"/>
          <w:lang w:val="es-SV"/>
        </w:rPr>
        <w:t>, para los años 2014 y 2015?</w:t>
      </w:r>
    </w:p>
    <w:p w:rsidR="00EE17AD" w:rsidRDefault="00EE17AD"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¿Cuánto es el presupuesto anual asignado a la Unidad de Genero del MITUR, para los años 2014 y 2015?</w:t>
      </w:r>
    </w:p>
    <w:p w:rsidR="000737C8" w:rsidRDefault="000737C8"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¿Cuánto es el presupuesto anual asignado al Plan de Igualdad de Género Institucional anual para los años 2014 y 2015?</w:t>
      </w:r>
    </w:p>
    <w:p w:rsidR="000737C8" w:rsidRDefault="00EE17AD"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¿El MITUR cumplió en el 2014 con las responsabilidades establecidas en el plan operativo del sistema Nacional de Igualdad?</w:t>
      </w:r>
    </w:p>
    <w:p w:rsidR="00EE17AD" w:rsidRDefault="00EE17AD"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De ser así, ¿Cuáles fueron los logros?</w:t>
      </w:r>
    </w:p>
    <w:p w:rsidR="00EE17AD" w:rsidRDefault="00EE17AD"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¿El MITUR proporciono en el año 2014 datos al Sistema de Estadísticas y Monitoreo de Igualdad (SEMI)?</w:t>
      </w:r>
    </w:p>
    <w:p w:rsidR="00EE17AD" w:rsidRDefault="00EE17AD" w:rsidP="0095773B">
      <w:pPr>
        <w:pStyle w:val="Prrafodelista"/>
        <w:numPr>
          <w:ilvl w:val="0"/>
          <w:numId w:val="45"/>
        </w:num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¿El MITUR ha presentado informe de rendición de cuenta con información desagregada por sexo para el año 2014?</w:t>
      </w:r>
    </w:p>
    <w:p w:rsidR="007763B8" w:rsidRPr="007763B8" w:rsidRDefault="006252EF" w:rsidP="007763B8">
      <w:pPr>
        <w:tabs>
          <w:tab w:val="left" w:pos="1140"/>
        </w:tabs>
        <w:spacing w:after="0" w:line="240" w:lineRule="atLeast"/>
        <w:jc w:val="both"/>
        <w:rPr>
          <w:rFonts w:ascii="Century Gothic" w:hAnsi="Century Gothic"/>
          <w:sz w:val="19"/>
          <w:szCs w:val="19"/>
          <w:lang w:val="es-SV"/>
        </w:rPr>
      </w:pPr>
      <w:r>
        <w:rPr>
          <w:rFonts w:ascii="Century Gothic" w:hAnsi="Century Gothic"/>
          <w:sz w:val="19"/>
          <w:szCs w:val="19"/>
          <w:lang w:val="es-SV"/>
        </w:rPr>
        <w:tab/>
      </w:r>
      <w:r w:rsidR="007763B8">
        <w:rPr>
          <w:rFonts w:ascii="Century Gothic" w:hAnsi="Century Gothic"/>
          <w:sz w:val="19"/>
          <w:szCs w:val="19"/>
          <w:lang w:val="es-SV"/>
        </w:rPr>
        <w:t>Solicito enviar el informe de rendición de cuentas año 2014 de este ministerio.</w:t>
      </w:r>
    </w:p>
    <w:p w:rsidR="00EE17AD" w:rsidRPr="0095773B" w:rsidRDefault="00EE17AD" w:rsidP="007763B8">
      <w:pPr>
        <w:pStyle w:val="Prrafodelista"/>
        <w:tabs>
          <w:tab w:val="left" w:pos="1140"/>
        </w:tabs>
        <w:spacing w:after="0" w:line="240" w:lineRule="atLeast"/>
        <w:ind w:left="1069"/>
        <w:jc w:val="both"/>
        <w:rPr>
          <w:rFonts w:ascii="Century Gothic" w:hAnsi="Century Gothic"/>
          <w:sz w:val="19"/>
          <w:szCs w:val="19"/>
          <w:lang w:val="es-SV"/>
        </w:rPr>
      </w:pPr>
    </w:p>
    <w:p w:rsidR="001A72C9" w:rsidRDefault="001A72C9" w:rsidP="009F2CC7">
      <w:pPr>
        <w:tabs>
          <w:tab w:val="left" w:pos="1140"/>
        </w:tabs>
        <w:spacing w:after="0" w:line="240" w:lineRule="atLeast"/>
        <w:ind w:left="709"/>
        <w:jc w:val="both"/>
        <w:rPr>
          <w:rFonts w:ascii="Century Gothic" w:hAnsi="Century Gothic"/>
          <w:b/>
          <w:sz w:val="19"/>
          <w:szCs w:val="19"/>
          <w:lang w:val="es-SV"/>
        </w:rPr>
      </w:pPr>
    </w:p>
    <w:p w:rsidR="009F2CC7" w:rsidRDefault="009F2CC7" w:rsidP="009F2CC7">
      <w:pPr>
        <w:tabs>
          <w:tab w:val="left" w:pos="1140"/>
        </w:tabs>
        <w:spacing w:after="0" w:line="240" w:lineRule="atLeast"/>
        <w:ind w:left="709"/>
        <w:jc w:val="both"/>
        <w:rPr>
          <w:rFonts w:ascii="Century Gothic" w:hAnsi="Century Gothic"/>
          <w:b/>
          <w:sz w:val="19"/>
          <w:szCs w:val="19"/>
          <w:lang w:val="es-SV"/>
        </w:rPr>
      </w:pPr>
      <w:r w:rsidRPr="00A6509A">
        <w:rPr>
          <w:rFonts w:ascii="Century Gothic" w:hAnsi="Century Gothic"/>
          <w:b/>
          <w:sz w:val="19"/>
          <w:szCs w:val="19"/>
          <w:lang w:val="es-SV"/>
        </w:rPr>
        <w:t>CONSIDERANDO:</w:t>
      </w:r>
    </w:p>
    <w:p w:rsidR="00506878" w:rsidRDefault="00506878" w:rsidP="009F2CC7">
      <w:pPr>
        <w:tabs>
          <w:tab w:val="left" w:pos="1140"/>
        </w:tabs>
        <w:spacing w:after="0" w:line="240" w:lineRule="atLeast"/>
        <w:ind w:left="709"/>
        <w:jc w:val="both"/>
        <w:rPr>
          <w:rFonts w:ascii="Century Gothic" w:hAnsi="Century Gothic"/>
          <w:b/>
          <w:sz w:val="19"/>
          <w:szCs w:val="19"/>
          <w:lang w:val="es-SV"/>
        </w:rPr>
      </w:pPr>
    </w:p>
    <w:p w:rsidR="00656368" w:rsidRPr="007763B8" w:rsidRDefault="007763B8" w:rsidP="007763B8">
      <w:pPr>
        <w:pStyle w:val="Prrafodelista"/>
        <w:numPr>
          <w:ilvl w:val="0"/>
          <w:numId w:val="46"/>
        </w:numPr>
        <w:tabs>
          <w:tab w:val="left" w:pos="993"/>
          <w:tab w:val="left" w:pos="1140"/>
        </w:tabs>
        <w:spacing w:after="0" w:line="240" w:lineRule="atLeast"/>
        <w:jc w:val="both"/>
        <w:rPr>
          <w:rFonts w:ascii="Century Gothic" w:hAnsi="Century Gothic"/>
          <w:b/>
          <w:sz w:val="19"/>
          <w:szCs w:val="19"/>
        </w:rPr>
      </w:pPr>
      <w:r>
        <w:rPr>
          <w:rFonts w:ascii="Century Gothic" w:hAnsi="Century Gothic"/>
          <w:sz w:val="19"/>
          <w:szCs w:val="19"/>
        </w:rPr>
        <w:t xml:space="preserve">Que de conformidad a los arts. 9, 10 y 11 de la Ley de Igualdad, Equidad y Erradicación de la Discriminación contra las Mujeres, las instituciones gubernamentales en cumplimiento de compromisos regionales e internacionales suscritos por el Estado Salvadoreño, en materia de los derechos humanos de las mujeres, deberán crear una Unidad de Genero, como parte de la estrategia metodológica de transversalidad del enfoque de género, para integrar de manera progresiva y coordinada los principios de igualdad y no </w:t>
      </w:r>
      <w:r w:rsidR="00454D9D">
        <w:rPr>
          <w:rFonts w:ascii="Century Gothic" w:hAnsi="Century Gothic"/>
          <w:sz w:val="19"/>
          <w:szCs w:val="19"/>
        </w:rPr>
        <w:t>discriminación</w:t>
      </w:r>
      <w:r>
        <w:rPr>
          <w:rFonts w:ascii="Century Gothic" w:hAnsi="Century Gothic"/>
          <w:sz w:val="19"/>
          <w:szCs w:val="19"/>
        </w:rPr>
        <w:t xml:space="preserve"> en todas sus políticas normativas, procedimientos y acciones desarrolladas en el ejercicio de sus respectivas competencias y dirección para el cumplimiento de sus funciones.</w:t>
      </w:r>
    </w:p>
    <w:p w:rsidR="007763B8" w:rsidRPr="00656368" w:rsidRDefault="007763B8" w:rsidP="007763B8">
      <w:pPr>
        <w:pStyle w:val="Prrafodelista"/>
        <w:numPr>
          <w:ilvl w:val="0"/>
          <w:numId w:val="46"/>
        </w:numPr>
        <w:tabs>
          <w:tab w:val="left" w:pos="993"/>
          <w:tab w:val="left" w:pos="1140"/>
        </w:tabs>
        <w:spacing w:after="0" w:line="240" w:lineRule="atLeast"/>
        <w:jc w:val="both"/>
        <w:rPr>
          <w:rFonts w:ascii="Century Gothic" w:hAnsi="Century Gothic"/>
          <w:b/>
          <w:sz w:val="19"/>
          <w:szCs w:val="19"/>
        </w:rPr>
      </w:pPr>
      <w:r>
        <w:rPr>
          <w:rFonts w:ascii="Century Gothic" w:hAnsi="Century Gothic"/>
          <w:sz w:val="19"/>
          <w:szCs w:val="19"/>
        </w:rPr>
        <w:lastRenderedPageBreak/>
        <w:t xml:space="preserve">Que mediante Acuerdo Ministerial No.23/2015 de fecha dos de </w:t>
      </w:r>
      <w:r w:rsidR="00214A48">
        <w:rPr>
          <w:rFonts w:ascii="Century Gothic" w:hAnsi="Century Gothic"/>
          <w:sz w:val="19"/>
          <w:szCs w:val="19"/>
        </w:rPr>
        <w:t>julio</w:t>
      </w:r>
      <w:r>
        <w:rPr>
          <w:rFonts w:ascii="Century Gothic" w:hAnsi="Century Gothic"/>
          <w:sz w:val="19"/>
          <w:szCs w:val="19"/>
        </w:rPr>
        <w:t xml:space="preserve"> de dos mil quince</w:t>
      </w:r>
      <w:r w:rsidR="00414F71">
        <w:rPr>
          <w:rFonts w:ascii="Century Gothic" w:hAnsi="Century Gothic"/>
          <w:sz w:val="19"/>
          <w:szCs w:val="19"/>
        </w:rPr>
        <w:t>, se da la creación de la Unidad de Genero, acordando modificar la estructura organizativa del ministerio de Turismo.</w:t>
      </w:r>
    </w:p>
    <w:p w:rsidR="00506878" w:rsidRDefault="00506878" w:rsidP="009F2CC7">
      <w:pPr>
        <w:tabs>
          <w:tab w:val="left" w:pos="1140"/>
        </w:tabs>
        <w:spacing w:after="0" w:line="240" w:lineRule="atLeast"/>
        <w:ind w:left="709"/>
        <w:jc w:val="both"/>
        <w:rPr>
          <w:rFonts w:ascii="Century Gothic" w:hAnsi="Century Gothic"/>
          <w:b/>
          <w:sz w:val="19"/>
          <w:szCs w:val="19"/>
          <w:lang w:val="es-SV"/>
        </w:rPr>
      </w:pPr>
    </w:p>
    <w:p w:rsidR="009F2CC7" w:rsidRPr="00115EC4" w:rsidRDefault="009F2CC7" w:rsidP="009F2CC7">
      <w:pPr>
        <w:pStyle w:val="Prrafodelista"/>
        <w:tabs>
          <w:tab w:val="left" w:pos="3000"/>
        </w:tabs>
        <w:ind w:left="709"/>
        <w:jc w:val="both"/>
        <w:rPr>
          <w:rFonts w:ascii="Century Gothic" w:hAnsi="Century Gothic"/>
          <w:b/>
          <w:sz w:val="19"/>
          <w:szCs w:val="19"/>
          <w:lang w:val="es-SV"/>
        </w:rPr>
      </w:pPr>
      <w:r w:rsidRPr="00115EC4">
        <w:rPr>
          <w:rFonts w:ascii="Century Gothic" w:hAnsi="Century Gothic"/>
          <w:b/>
          <w:sz w:val="19"/>
          <w:szCs w:val="19"/>
          <w:lang w:val="es-SV"/>
        </w:rPr>
        <w:t>POR TANTO:</w:t>
      </w:r>
    </w:p>
    <w:p w:rsidR="009F2CC7" w:rsidRDefault="00B214B7" w:rsidP="009F2CC7">
      <w:pPr>
        <w:pStyle w:val="Prrafodelista"/>
        <w:tabs>
          <w:tab w:val="left" w:pos="284"/>
        </w:tabs>
        <w:ind w:right="441"/>
        <w:jc w:val="both"/>
        <w:rPr>
          <w:rFonts w:ascii="Century Gothic" w:hAnsi="Century Gothic"/>
          <w:sz w:val="19"/>
          <w:szCs w:val="19"/>
          <w:lang w:val="es-MX"/>
        </w:rPr>
      </w:pPr>
      <w:r>
        <w:rPr>
          <w:rFonts w:ascii="Century Gothic" w:hAnsi="Century Gothic"/>
          <w:sz w:val="19"/>
          <w:szCs w:val="19"/>
          <w:lang w:val="es-MX"/>
        </w:rPr>
        <w:t>De conformidad a lo</w:t>
      </w:r>
      <w:r w:rsidR="009F2CC7" w:rsidRPr="005B393D">
        <w:rPr>
          <w:rFonts w:ascii="Century Gothic" w:hAnsi="Century Gothic"/>
          <w:sz w:val="19"/>
          <w:szCs w:val="19"/>
          <w:lang w:val="es-MX"/>
        </w:rPr>
        <w:t xml:space="preserve"> establecido en los Art. 62 y 72 de la Ley de Acceso a la Información Pública.</w:t>
      </w:r>
    </w:p>
    <w:p w:rsidR="009F2CC7" w:rsidRDefault="009F2CC7" w:rsidP="009F2CC7">
      <w:pPr>
        <w:tabs>
          <w:tab w:val="left" w:pos="3000"/>
        </w:tabs>
        <w:jc w:val="both"/>
        <w:rPr>
          <w:rFonts w:ascii="Century Gothic" w:hAnsi="Century Gothic"/>
          <w:b/>
          <w:sz w:val="19"/>
          <w:szCs w:val="19"/>
          <w:lang w:val="es-SV"/>
        </w:rPr>
      </w:pPr>
      <w:r>
        <w:rPr>
          <w:rFonts w:ascii="Century Gothic" w:hAnsi="Century Gothic"/>
          <w:b/>
          <w:sz w:val="19"/>
          <w:szCs w:val="19"/>
          <w:lang w:val="es-SV"/>
        </w:rPr>
        <w:t xml:space="preserve">             </w:t>
      </w:r>
      <w:r w:rsidRPr="005B393D">
        <w:rPr>
          <w:rFonts w:ascii="Century Gothic" w:hAnsi="Century Gothic"/>
          <w:b/>
          <w:sz w:val="19"/>
          <w:szCs w:val="19"/>
          <w:lang w:val="es-SV"/>
        </w:rPr>
        <w:t>SE RESUELVE:</w:t>
      </w:r>
    </w:p>
    <w:p w:rsidR="00BB32A0" w:rsidRDefault="00A76A06" w:rsidP="002B68E8">
      <w:pPr>
        <w:pStyle w:val="Prrafodelista"/>
        <w:numPr>
          <w:ilvl w:val="0"/>
          <w:numId w:val="44"/>
        </w:numPr>
        <w:tabs>
          <w:tab w:val="left" w:pos="705"/>
        </w:tabs>
        <w:ind w:left="993" w:hanging="288"/>
        <w:jc w:val="both"/>
        <w:rPr>
          <w:rFonts w:ascii="Century Gothic" w:hAnsi="Century Gothic"/>
          <w:sz w:val="19"/>
          <w:szCs w:val="19"/>
        </w:rPr>
      </w:pPr>
      <w:r>
        <w:rPr>
          <w:rFonts w:ascii="Century Gothic" w:hAnsi="Century Gothic"/>
          <w:sz w:val="19"/>
          <w:szCs w:val="19"/>
        </w:rPr>
        <w:t>Hacer la entrega de la información solicitada mediante cuestionario de trece preguntas.</w:t>
      </w:r>
    </w:p>
    <w:p w:rsidR="00A76A06" w:rsidRDefault="00A76A06" w:rsidP="002B68E8">
      <w:pPr>
        <w:pStyle w:val="Prrafodelista"/>
        <w:numPr>
          <w:ilvl w:val="0"/>
          <w:numId w:val="44"/>
        </w:numPr>
        <w:tabs>
          <w:tab w:val="left" w:pos="705"/>
        </w:tabs>
        <w:ind w:left="993" w:hanging="288"/>
        <w:jc w:val="both"/>
        <w:rPr>
          <w:rFonts w:ascii="Century Gothic" w:hAnsi="Century Gothic"/>
          <w:sz w:val="19"/>
          <w:szCs w:val="19"/>
        </w:rPr>
      </w:pPr>
      <w:r>
        <w:rPr>
          <w:rFonts w:ascii="Century Gothic" w:hAnsi="Century Gothic"/>
          <w:sz w:val="19"/>
          <w:szCs w:val="19"/>
        </w:rPr>
        <w:t>Entregar en versión publica copia del Acuerdo Ministerial No.23/2015, relacionado a la creación de la Unidad de Genero.</w:t>
      </w:r>
    </w:p>
    <w:p w:rsidR="00A76A06" w:rsidRPr="00CF06FD" w:rsidRDefault="00A76A06" w:rsidP="002B68E8">
      <w:pPr>
        <w:pStyle w:val="Prrafodelista"/>
        <w:numPr>
          <w:ilvl w:val="0"/>
          <w:numId w:val="44"/>
        </w:numPr>
        <w:tabs>
          <w:tab w:val="left" w:pos="705"/>
        </w:tabs>
        <w:ind w:left="993" w:hanging="288"/>
        <w:jc w:val="both"/>
        <w:rPr>
          <w:rFonts w:ascii="Century Gothic" w:hAnsi="Century Gothic"/>
          <w:sz w:val="19"/>
          <w:szCs w:val="19"/>
        </w:rPr>
      </w:pPr>
      <w:r>
        <w:rPr>
          <w:rFonts w:ascii="Century Gothic" w:hAnsi="Century Gothic"/>
          <w:sz w:val="19"/>
          <w:szCs w:val="19"/>
        </w:rPr>
        <w:t xml:space="preserve">Remitir mediante correo electrónico el informe de rendición de cuentas, correspondiente al 1 de junio de 2014 al 31 de mayo de 2015. </w:t>
      </w:r>
    </w:p>
    <w:p w:rsidR="00BB32A0" w:rsidRPr="00BB32A0" w:rsidRDefault="00BB32A0" w:rsidP="00BB32A0">
      <w:pPr>
        <w:pStyle w:val="Prrafodelista"/>
        <w:tabs>
          <w:tab w:val="left" w:pos="705"/>
          <w:tab w:val="left" w:pos="3000"/>
        </w:tabs>
        <w:ind w:left="993"/>
        <w:jc w:val="both"/>
        <w:rPr>
          <w:rFonts w:ascii="Century Gothic" w:hAnsi="Century Gothic"/>
          <w:b/>
          <w:sz w:val="19"/>
          <w:szCs w:val="19"/>
          <w:lang w:val="es-SV"/>
        </w:rPr>
      </w:pPr>
    </w:p>
    <w:p w:rsidR="009F2CC7" w:rsidRDefault="009F2CC7" w:rsidP="008C4527">
      <w:pPr>
        <w:tabs>
          <w:tab w:val="left" w:pos="3000"/>
        </w:tabs>
        <w:ind w:left="708"/>
        <w:jc w:val="both"/>
        <w:rPr>
          <w:rFonts w:ascii="Century Gothic" w:hAnsi="Century Gothic"/>
          <w:sz w:val="19"/>
          <w:szCs w:val="19"/>
          <w:lang w:val="es-SV"/>
        </w:rPr>
      </w:pPr>
      <w:r w:rsidRPr="00833B53">
        <w:rPr>
          <w:rFonts w:ascii="Century Gothic" w:hAnsi="Century Gothic"/>
          <w:sz w:val="19"/>
          <w:szCs w:val="19"/>
          <w:lang w:val="es-SV"/>
        </w:rPr>
        <w:t>Por lo tanto se hace entrega de dicha información, en esta misma fecha, a través de correo electrónico consign</w:t>
      </w:r>
      <w:r>
        <w:rPr>
          <w:rFonts w:ascii="Century Gothic" w:hAnsi="Century Gothic"/>
          <w:sz w:val="19"/>
          <w:szCs w:val="19"/>
          <w:lang w:val="es-SV"/>
        </w:rPr>
        <w:t xml:space="preserve">ado para recibir notificaciones </w:t>
      </w:r>
      <w:r w:rsidR="00A76A06" w:rsidRPr="00C6202E">
        <w:rPr>
          <w:rFonts w:ascii="Century Gothic" w:hAnsi="Century Gothic"/>
          <w:sz w:val="19"/>
          <w:szCs w:val="19"/>
          <w:highlight w:val="black"/>
          <w:lang w:val="es-SV"/>
        </w:rPr>
        <w:t>xxxxxxxxxxxxxxx</w:t>
      </w:r>
    </w:p>
    <w:p w:rsidR="009F2CC7" w:rsidRDefault="009F2CC7" w:rsidP="009F2CC7">
      <w:pPr>
        <w:tabs>
          <w:tab w:val="left" w:pos="3000"/>
        </w:tabs>
        <w:jc w:val="both"/>
        <w:rPr>
          <w:rFonts w:ascii="Century Gothic" w:hAnsi="Century Gothic"/>
          <w:sz w:val="19"/>
          <w:szCs w:val="19"/>
          <w:lang w:val="es-SV"/>
        </w:rPr>
      </w:pPr>
    </w:p>
    <w:p w:rsidR="009F2CC7" w:rsidRDefault="009F2CC7" w:rsidP="009F2CC7">
      <w:pPr>
        <w:pStyle w:val="Textosinformato"/>
        <w:jc w:val="center"/>
        <w:rPr>
          <w:rFonts w:ascii="Century Gothic" w:hAnsi="Century Gothic"/>
          <w:sz w:val="19"/>
          <w:szCs w:val="19"/>
        </w:rPr>
      </w:pPr>
    </w:p>
    <w:p w:rsidR="00164F9B" w:rsidRDefault="00164F9B" w:rsidP="009F2CC7">
      <w:pPr>
        <w:pStyle w:val="Textosinformato"/>
        <w:jc w:val="center"/>
        <w:rPr>
          <w:rFonts w:ascii="Century Gothic" w:hAnsi="Century Gothic"/>
          <w:sz w:val="19"/>
          <w:szCs w:val="19"/>
        </w:rPr>
      </w:pPr>
    </w:p>
    <w:p w:rsidR="00C6202E" w:rsidRDefault="00C6202E" w:rsidP="00C6202E">
      <w:pPr>
        <w:ind w:left="704"/>
        <w:jc w:val="both"/>
        <w:rPr>
          <w:rFonts w:ascii="Century Gothic" w:hAnsi="Century Gothic"/>
          <w:lang w:val="es-SV"/>
        </w:rPr>
      </w:pPr>
    </w:p>
    <w:p w:rsidR="00454D9D" w:rsidRDefault="00454D9D" w:rsidP="00454D9D">
      <w:pPr>
        <w:pStyle w:val="Textosinformato"/>
        <w:jc w:val="center"/>
        <w:rPr>
          <w:rFonts w:ascii="Century Gothic" w:hAnsi="Century Gothic"/>
          <w:sz w:val="20"/>
          <w:szCs w:val="20"/>
        </w:rPr>
      </w:pPr>
      <w:r>
        <w:rPr>
          <w:rFonts w:ascii="Century Gothic" w:hAnsi="Century Gothic"/>
          <w:sz w:val="20"/>
          <w:szCs w:val="20"/>
        </w:rPr>
        <w:t>Firma: Glenda de Cáceres</w:t>
      </w:r>
    </w:p>
    <w:p w:rsidR="00454D9D" w:rsidRDefault="00454D9D" w:rsidP="00454D9D">
      <w:pPr>
        <w:pStyle w:val="Textosinformato"/>
        <w:jc w:val="center"/>
        <w:rPr>
          <w:rFonts w:ascii="Century Gothic" w:hAnsi="Century Gothic"/>
          <w:sz w:val="20"/>
          <w:szCs w:val="20"/>
        </w:rPr>
      </w:pPr>
      <w:r>
        <w:rPr>
          <w:rFonts w:ascii="Century Gothic" w:hAnsi="Century Gothic"/>
          <w:sz w:val="20"/>
          <w:szCs w:val="20"/>
        </w:rPr>
        <w:t>Oficial de Información Ad honorem</w:t>
      </w:r>
    </w:p>
    <w:p w:rsidR="00454D9D" w:rsidRDefault="00454D9D" w:rsidP="00454D9D">
      <w:pPr>
        <w:pStyle w:val="Textosinformato"/>
        <w:jc w:val="center"/>
        <w:rPr>
          <w:rFonts w:ascii="Century Gothic" w:hAnsi="Century Gothic"/>
          <w:sz w:val="20"/>
          <w:szCs w:val="20"/>
        </w:rPr>
      </w:pPr>
      <w:r>
        <w:rPr>
          <w:rFonts w:ascii="Century Gothic" w:hAnsi="Century Gothic"/>
          <w:sz w:val="20"/>
          <w:szCs w:val="20"/>
        </w:rPr>
        <w:t>Unidad de Acceso a la Información Pública</w:t>
      </w:r>
    </w:p>
    <w:p w:rsidR="00454D9D" w:rsidRDefault="00454D9D" w:rsidP="00454D9D">
      <w:pPr>
        <w:pStyle w:val="Textosinformato"/>
        <w:jc w:val="both"/>
        <w:rPr>
          <w:rFonts w:ascii="Century Gothic" w:hAnsi="Century Gothic"/>
          <w:sz w:val="20"/>
          <w:szCs w:val="20"/>
        </w:rPr>
      </w:pPr>
    </w:p>
    <w:p w:rsidR="00454D9D" w:rsidRDefault="00454D9D" w:rsidP="00454D9D">
      <w:pPr>
        <w:pStyle w:val="Textosinformato"/>
        <w:jc w:val="both"/>
        <w:rPr>
          <w:rFonts w:ascii="Century Gothic" w:hAnsi="Century Gothic"/>
          <w:sz w:val="20"/>
          <w:szCs w:val="20"/>
        </w:rPr>
      </w:pPr>
    </w:p>
    <w:p w:rsidR="00C6202E" w:rsidRDefault="00C6202E" w:rsidP="00C6202E">
      <w:pPr>
        <w:pStyle w:val="Textosinformato"/>
        <w:jc w:val="center"/>
        <w:rPr>
          <w:rFonts w:ascii="Century Gothic" w:hAnsi="Century Gothic"/>
          <w:sz w:val="20"/>
          <w:szCs w:val="20"/>
        </w:rPr>
      </w:pPr>
    </w:p>
    <w:p w:rsidR="00C6202E" w:rsidRDefault="00C6202E" w:rsidP="00C6202E">
      <w:pPr>
        <w:pStyle w:val="Textosinformato"/>
        <w:jc w:val="both"/>
        <w:rPr>
          <w:rFonts w:ascii="Century Gothic" w:hAnsi="Century Gothic"/>
          <w:sz w:val="20"/>
          <w:szCs w:val="20"/>
        </w:rPr>
      </w:pPr>
    </w:p>
    <w:p w:rsidR="00C6202E" w:rsidRDefault="00C6202E" w:rsidP="00C6202E">
      <w:pPr>
        <w:pStyle w:val="Textosinformato"/>
        <w:jc w:val="both"/>
        <w:rPr>
          <w:rFonts w:ascii="Century Gothic" w:hAnsi="Century Gothic"/>
          <w:sz w:val="20"/>
          <w:szCs w:val="20"/>
        </w:rPr>
      </w:pPr>
    </w:p>
    <w:p w:rsidR="00C6202E" w:rsidRDefault="00C6202E" w:rsidP="00C6202E">
      <w:pPr>
        <w:pStyle w:val="Textosinformato"/>
        <w:jc w:val="both"/>
        <w:rPr>
          <w:rFonts w:ascii="Century Gothic" w:hAnsi="Century Gothic"/>
          <w:sz w:val="20"/>
          <w:szCs w:val="20"/>
        </w:rPr>
      </w:pPr>
      <w:r>
        <w:rPr>
          <w:rFonts w:ascii="Century Gothic" w:hAnsi="Century Gothic"/>
          <w:b/>
          <w:sz w:val="20"/>
          <w:szCs w:val="20"/>
          <w:u w:val="single"/>
        </w:rPr>
        <w:t>Nota</w:t>
      </w:r>
      <w:r>
        <w:rPr>
          <w:rFonts w:ascii="Century Gothic" w:hAnsi="Century Gothic"/>
          <w:sz w:val="20"/>
          <w:szCs w:val="20"/>
        </w:rPr>
        <w:t xml:space="preserve">: Con base en los Art. 24, 25 y 30 de la Ley de Acceso a la Información Pública. Se ha suprimido el nombre del solicitante, número de Documento Único de Identidad DUI y correo electrónico de contacto.  </w:t>
      </w:r>
      <w:r>
        <w:rPr>
          <w:rFonts w:ascii="Century Gothic" w:hAnsi="Century Gothic"/>
          <w:sz w:val="20"/>
          <w:szCs w:val="20"/>
        </w:rPr>
        <w:tab/>
      </w:r>
    </w:p>
    <w:p w:rsidR="009F2CC7" w:rsidRDefault="009F2CC7" w:rsidP="00C6202E">
      <w:pPr>
        <w:pStyle w:val="Textosinformato"/>
        <w:rPr>
          <w:rFonts w:ascii="Century Gothic" w:hAnsi="Century Gothic"/>
          <w:sz w:val="19"/>
          <w:szCs w:val="19"/>
        </w:rPr>
      </w:pPr>
    </w:p>
    <w:sectPr w:rsidR="009F2CC7"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A75" w:rsidRDefault="004C7A75" w:rsidP="00C55328">
      <w:pPr>
        <w:spacing w:after="0" w:line="240" w:lineRule="auto"/>
      </w:pPr>
      <w:r>
        <w:separator/>
      </w:r>
    </w:p>
  </w:endnote>
  <w:endnote w:type="continuationSeparator" w:id="0">
    <w:p w:rsidR="004C7A75" w:rsidRDefault="004C7A75" w:rsidP="00C55328">
      <w:pPr>
        <w:spacing w:after="0" w:line="240" w:lineRule="auto"/>
      </w:pPr>
      <w:r>
        <w:continuationSeparator/>
      </w:r>
    </w:p>
  </w:endnote>
  <w:endnote w:type="continuationNotice" w:id="1">
    <w:p w:rsidR="004C7A75" w:rsidRDefault="004C7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A75" w:rsidRDefault="004C7A75" w:rsidP="00C55328">
      <w:pPr>
        <w:spacing w:after="0" w:line="240" w:lineRule="auto"/>
      </w:pPr>
      <w:r>
        <w:separator/>
      </w:r>
    </w:p>
  </w:footnote>
  <w:footnote w:type="continuationSeparator" w:id="0">
    <w:p w:rsidR="004C7A75" w:rsidRDefault="004C7A75" w:rsidP="00C55328">
      <w:pPr>
        <w:spacing w:after="0" w:line="240" w:lineRule="auto"/>
      </w:pPr>
      <w:r>
        <w:continuationSeparator/>
      </w:r>
    </w:p>
  </w:footnote>
  <w:footnote w:type="continuationNotice" w:id="1">
    <w:p w:rsidR="004C7A75" w:rsidRDefault="004C7A7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E80"/>
    <w:multiLevelType w:val="hybridMultilevel"/>
    <w:tmpl w:val="ADA8AD1A"/>
    <w:lvl w:ilvl="0" w:tplc="AEF0DF64">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 w15:restartNumberingAfterBreak="0">
    <w:nsid w:val="01E858B0"/>
    <w:multiLevelType w:val="hybridMultilevel"/>
    <w:tmpl w:val="41747C96"/>
    <w:lvl w:ilvl="0" w:tplc="D3DA0DE4">
      <w:start w:val="1"/>
      <w:numFmt w:val="bullet"/>
      <w:lvlText w:val=""/>
      <w:lvlJc w:val="left"/>
      <w:pPr>
        <w:ind w:left="1429" w:hanging="360"/>
      </w:pPr>
      <w:rPr>
        <w:rFonts w:ascii="Symbol" w:hAnsi="Symbol" w:hint="default"/>
        <w:color w:val="auto"/>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2756573"/>
    <w:multiLevelType w:val="hybridMultilevel"/>
    <w:tmpl w:val="426CB56E"/>
    <w:lvl w:ilvl="0" w:tplc="F2149FC2">
      <w:start w:val="1"/>
      <w:numFmt w:val="upperRoman"/>
      <w:lvlText w:val="%1."/>
      <w:lvlJc w:val="left"/>
      <w:pPr>
        <w:ind w:left="1710" w:hanging="720"/>
      </w:pPr>
      <w:rPr>
        <w:rFonts w:asciiTheme="minorHAnsi" w:hAnsiTheme="minorHAnsi" w:hint="default"/>
        <w:sz w:val="22"/>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3" w15:restartNumberingAfterBreak="0">
    <w:nsid w:val="03BF6C29"/>
    <w:multiLevelType w:val="hybridMultilevel"/>
    <w:tmpl w:val="097E88E4"/>
    <w:lvl w:ilvl="0" w:tplc="41BC4EB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 w15:restartNumberingAfterBreak="0">
    <w:nsid w:val="06592B5B"/>
    <w:multiLevelType w:val="hybridMultilevel"/>
    <w:tmpl w:val="AD285942"/>
    <w:lvl w:ilvl="0" w:tplc="FDF8CA2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0A1E527B"/>
    <w:multiLevelType w:val="hybridMultilevel"/>
    <w:tmpl w:val="AD7E6028"/>
    <w:lvl w:ilvl="0" w:tplc="440A0011">
      <w:start w:val="1"/>
      <w:numFmt w:val="decimal"/>
      <w:lvlText w:val="%1)"/>
      <w:lvlJc w:val="left"/>
      <w:pPr>
        <w:ind w:left="92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A21565C"/>
    <w:multiLevelType w:val="hybridMultilevel"/>
    <w:tmpl w:val="870A2C5C"/>
    <w:lvl w:ilvl="0" w:tplc="8656102A">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13D172F6"/>
    <w:multiLevelType w:val="hybridMultilevel"/>
    <w:tmpl w:val="1C1496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9B7D2C"/>
    <w:multiLevelType w:val="hybridMultilevel"/>
    <w:tmpl w:val="BA561676"/>
    <w:lvl w:ilvl="0" w:tplc="26304858">
      <w:numFmt w:val="bullet"/>
      <w:lvlText w:val="-"/>
      <w:lvlJc w:val="left"/>
      <w:pPr>
        <w:ind w:left="1080" w:hanging="360"/>
      </w:pPr>
      <w:rPr>
        <w:rFonts w:ascii="Century Gothic" w:eastAsiaTheme="minorHAnsi" w:hAnsi="Century Gothic"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167777D4"/>
    <w:multiLevelType w:val="hybridMultilevel"/>
    <w:tmpl w:val="8D00A4E2"/>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6AC69E7"/>
    <w:multiLevelType w:val="hybridMultilevel"/>
    <w:tmpl w:val="5D2603A4"/>
    <w:lvl w:ilvl="0" w:tplc="B10A8082">
      <w:start w:val="1"/>
      <w:numFmt w:val="upperRoman"/>
      <w:lvlText w:val="%1."/>
      <w:lvlJc w:val="left"/>
      <w:pPr>
        <w:ind w:left="1425" w:hanging="720"/>
      </w:pPr>
      <w:rPr>
        <w:rFonts w:asciiTheme="minorHAnsi" w:hAnsiTheme="minorHAnsi" w:hint="default"/>
        <w:b w:val="0"/>
        <w:sz w:val="22"/>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1" w15:restartNumberingAfterBreak="0">
    <w:nsid w:val="182D240C"/>
    <w:multiLevelType w:val="hybridMultilevel"/>
    <w:tmpl w:val="3162CEF4"/>
    <w:lvl w:ilvl="0" w:tplc="298EAC6C">
      <w:start w:val="5"/>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0B61B58"/>
    <w:multiLevelType w:val="hybridMultilevel"/>
    <w:tmpl w:val="78E6A8F0"/>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19B64D0"/>
    <w:multiLevelType w:val="hybridMultilevel"/>
    <w:tmpl w:val="24CC27DC"/>
    <w:lvl w:ilvl="0" w:tplc="BD6ED378">
      <w:start w:val="1"/>
      <w:numFmt w:val="lowerLetter"/>
      <w:lvlText w:val="%1)"/>
      <w:lvlJc w:val="lef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 w15:restartNumberingAfterBreak="0">
    <w:nsid w:val="22572457"/>
    <w:multiLevelType w:val="hybridMultilevel"/>
    <w:tmpl w:val="BC1637E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15:restartNumberingAfterBreak="0">
    <w:nsid w:val="248C4B5C"/>
    <w:multiLevelType w:val="hybridMultilevel"/>
    <w:tmpl w:val="7092E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78D11D4"/>
    <w:multiLevelType w:val="hybridMultilevel"/>
    <w:tmpl w:val="2CB6A4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5B2E81"/>
    <w:multiLevelType w:val="hybridMultilevel"/>
    <w:tmpl w:val="0E263254"/>
    <w:lvl w:ilvl="0" w:tplc="1FE60444">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F00526F"/>
    <w:multiLevelType w:val="hybridMultilevel"/>
    <w:tmpl w:val="884C596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7FB5921"/>
    <w:multiLevelType w:val="hybridMultilevel"/>
    <w:tmpl w:val="F17E0E6E"/>
    <w:lvl w:ilvl="0" w:tplc="4EB4E716">
      <w:numFmt w:val="bullet"/>
      <w:lvlText w:val="-"/>
      <w:lvlJc w:val="left"/>
      <w:pPr>
        <w:ind w:left="1065" w:hanging="705"/>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A725B99"/>
    <w:multiLevelType w:val="hybridMultilevel"/>
    <w:tmpl w:val="6A3046F4"/>
    <w:lvl w:ilvl="0" w:tplc="B37417B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2A43DE6"/>
    <w:multiLevelType w:val="hybridMultilevel"/>
    <w:tmpl w:val="BC5219A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412EAE"/>
    <w:multiLevelType w:val="hybridMultilevel"/>
    <w:tmpl w:val="39B2A9EE"/>
    <w:lvl w:ilvl="0" w:tplc="DA86FC9A">
      <w:start w:val="1"/>
      <w:numFmt w:val="upperRoman"/>
      <w:lvlText w:val="%1."/>
      <w:lvlJc w:val="left"/>
      <w:pPr>
        <w:ind w:left="1429" w:hanging="72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46517CE"/>
    <w:multiLevelType w:val="hybridMultilevel"/>
    <w:tmpl w:val="07CC9E5E"/>
    <w:lvl w:ilvl="0" w:tplc="BEC40D7E">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 w15:restartNumberingAfterBreak="0">
    <w:nsid w:val="487A3B07"/>
    <w:multiLevelType w:val="hybridMultilevel"/>
    <w:tmpl w:val="F90CC2B8"/>
    <w:lvl w:ilvl="0" w:tplc="C21EB470">
      <w:start w:val="1"/>
      <w:numFmt w:val="upperRoman"/>
      <w:lvlText w:val="%1."/>
      <w:lvlJc w:val="left"/>
      <w:pPr>
        <w:ind w:left="1428" w:hanging="72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4A5D0935"/>
    <w:multiLevelType w:val="hybridMultilevel"/>
    <w:tmpl w:val="42A8BC76"/>
    <w:lvl w:ilvl="0" w:tplc="8BEE93F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547B3D80"/>
    <w:multiLevelType w:val="hybridMultilevel"/>
    <w:tmpl w:val="B2609546"/>
    <w:lvl w:ilvl="0" w:tplc="03D67E9A">
      <w:start w:val="1"/>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54B454ED"/>
    <w:multiLevelType w:val="hybridMultilevel"/>
    <w:tmpl w:val="436604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4F507C3"/>
    <w:multiLevelType w:val="hybridMultilevel"/>
    <w:tmpl w:val="648016FA"/>
    <w:lvl w:ilvl="0" w:tplc="ED70905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15:restartNumberingAfterBreak="0">
    <w:nsid w:val="57B74C9B"/>
    <w:multiLevelType w:val="hybridMultilevel"/>
    <w:tmpl w:val="22D0FA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94E5EB3"/>
    <w:multiLevelType w:val="hybridMultilevel"/>
    <w:tmpl w:val="31E2056E"/>
    <w:lvl w:ilvl="0" w:tplc="1BD4D9B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5CB54D84"/>
    <w:multiLevelType w:val="hybridMultilevel"/>
    <w:tmpl w:val="3D5691AA"/>
    <w:lvl w:ilvl="0" w:tplc="A3E4E372">
      <w:start w:val="1"/>
      <w:numFmt w:val="decimal"/>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15:restartNumberingAfterBreak="0">
    <w:nsid w:val="62BA5177"/>
    <w:multiLevelType w:val="hybridMultilevel"/>
    <w:tmpl w:val="56F674D4"/>
    <w:lvl w:ilvl="0" w:tplc="5FBAFCC0">
      <w:start w:val="1"/>
      <w:numFmt w:val="lowerLetter"/>
      <w:lvlText w:val="%1)"/>
      <w:lvlJc w:val="left"/>
      <w:pPr>
        <w:ind w:left="1065" w:hanging="705"/>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34E74D6"/>
    <w:multiLevelType w:val="hybridMultilevel"/>
    <w:tmpl w:val="F0EC18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15:restartNumberingAfterBreak="0">
    <w:nsid w:val="63C8410D"/>
    <w:multiLevelType w:val="hybridMultilevel"/>
    <w:tmpl w:val="39F82E90"/>
    <w:lvl w:ilvl="0" w:tplc="B678902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52210C8"/>
    <w:multiLevelType w:val="hybridMultilevel"/>
    <w:tmpl w:val="B22A8CB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ABA2752"/>
    <w:multiLevelType w:val="hybridMultilevel"/>
    <w:tmpl w:val="6922D1DC"/>
    <w:lvl w:ilvl="0" w:tplc="440A0013">
      <w:start w:val="1"/>
      <w:numFmt w:val="upperRoman"/>
      <w:lvlText w:val="%1."/>
      <w:lvlJc w:val="righ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15:restartNumberingAfterBreak="0">
    <w:nsid w:val="6B281CC0"/>
    <w:multiLevelType w:val="hybridMultilevel"/>
    <w:tmpl w:val="6FC43B00"/>
    <w:lvl w:ilvl="0" w:tplc="B6822C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8" w15:restartNumberingAfterBreak="0">
    <w:nsid w:val="71411CB3"/>
    <w:multiLevelType w:val="hybridMultilevel"/>
    <w:tmpl w:val="6E4CE68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9" w15:restartNumberingAfterBreak="0">
    <w:nsid w:val="75C901A0"/>
    <w:multiLevelType w:val="hybridMultilevel"/>
    <w:tmpl w:val="6A2EC886"/>
    <w:lvl w:ilvl="0" w:tplc="33386BD0">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600375"/>
    <w:multiLevelType w:val="hybridMultilevel"/>
    <w:tmpl w:val="84B4520A"/>
    <w:lvl w:ilvl="0" w:tplc="3E80FED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7D74907"/>
    <w:multiLevelType w:val="hybridMultilevel"/>
    <w:tmpl w:val="C4628918"/>
    <w:lvl w:ilvl="0" w:tplc="0B2022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ACF1E2F"/>
    <w:multiLevelType w:val="hybridMultilevel"/>
    <w:tmpl w:val="4808ED68"/>
    <w:lvl w:ilvl="0" w:tplc="E33630D2">
      <w:start w:val="1"/>
      <w:numFmt w:val="upperRoman"/>
      <w:lvlText w:val="%1."/>
      <w:lvlJc w:val="left"/>
      <w:pPr>
        <w:ind w:left="1080" w:hanging="720"/>
      </w:pPr>
      <w:rPr>
        <w:rFonts w:asciiTheme="minorHAnsi" w:hAnsiTheme="minorHAnsi" w:hint="default"/>
        <w:b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DA503BF"/>
    <w:multiLevelType w:val="hybridMultilevel"/>
    <w:tmpl w:val="81561EAC"/>
    <w:lvl w:ilvl="0" w:tplc="AB4865D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15:restartNumberingAfterBreak="0">
    <w:nsid w:val="7DFA3A63"/>
    <w:multiLevelType w:val="hybridMultilevel"/>
    <w:tmpl w:val="2ACAD1B4"/>
    <w:lvl w:ilvl="0" w:tplc="6FC2F2C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F7B71BE"/>
    <w:multiLevelType w:val="hybridMultilevel"/>
    <w:tmpl w:val="D4D2F8DE"/>
    <w:lvl w:ilvl="0" w:tplc="3F68F0D6">
      <w:start w:val="1"/>
      <w:numFmt w:val="upperRoman"/>
      <w:lvlText w:val="%1."/>
      <w:lvlJc w:val="left"/>
      <w:pPr>
        <w:ind w:left="1080" w:hanging="720"/>
      </w:pPr>
      <w:rPr>
        <w:rFonts w:asciiTheme="minorHAnsi" w:hAnsiTheme="minorHAnsi"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29"/>
  </w:num>
  <w:num w:numId="3">
    <w:abstractNumId w:val="19"/>
  </w:num>
  <w:num w:numId="4">
    <w:abstractNumId w:val="32"/>
  </w:num>
  <w:num w:numId="5">
    <w:abstractNumId w:val="12"/>
  </w:num>
  <w:num w:numId="6">
    <w:abstractNumId w:val="15"/>
  </w:num>
  <w:num w:numId="7">
    <w:abstractNumId w:val="35"/>
  </w:num>
  <w:num w:numId="8">
    <w:abstractNumId w:val="20"/>
  </w:num>
  <w:num w:numId="9">
    <w:abstractNumId w:val="44"/>
  </w:num>
  <w:num w:numId="10">
    <w:abstractNumId w:val="41"/>
  </w:num>
  <w:num w:numId="11">
    <w:abstractNumId w:val="39"/>
  </w:num>
  <w:num w:numId="12">
    <w:abstractNumId w:val="7"/>
  </w:num>
  <w:num w:numId="13">
    <w:abstractNumId w:val="26"/>
  </w:num>
  <w:num w:numId="14">
    <w:abstractNumId w:val="17"/>
  </w:num>
  <w:num w:numId="15">
    <w:abstractNumId w:val="8"/>
  </w:num>
  <w:num w:numId="16">
    <w:abstractNumId w:val="25"/>
  </w:num>
  <w:num w:numId="17">
    <w:abstractNumId w:val="18"/>
  </w:num>
  <w:num w:numId="18">
    <w:abstractNumId w:val="31"/>
  </w:num>
  <w:num w:numId="19">
    <w:abstractNumId w:val="6"/>
  </w:num>
  <w:num w:numId="20">
    <w:abstractNumId w:val="27"/>
  </w:num>
  <w:num w:numId="21">
    <w:abstractNumId w:val="36"/>
  </w:num>
  <w:num w:numId="22">
    <w:abstractNumId w:val="21"/>
  </w:num>
  <w:num w:numId="23">
    <w:abstractNumId w:val="34"/>
  </w:num>
  <w:num w:numId="24">
    <w:abstractNumId w:val="13"/>
  </w:num>
  <w:num w:numId="25">
    <w:abstractNumId w:val="11"/>
  </w:num>
  <w:num w:numId="26">
    <w:abstractNumId w:val="30"/>
  </w:num>
  <w:num w:numId="27">
    <w:abstractNumId w:val="4"/>
  </w:num>
  <w:num w:numId="28">
    <w:abstractNumId w:val="33"/>
  </w:num>
  <w:num w:numId="29">
    <w:abstractNumId w:val="9"/>
  </w:num>
  <w:num w:numId="30">
    <w:abstractNumId w:val="38"/>
  </w:num>
  <w:num w:numId="31">
    <w:abstractNumId w:val="14"/>
  </w:num>
  <w:num w:numId="32">
    <w:abstractNumId w:val="1"/>
  </w:num>
  <w:num w:numId="33">
    <w:abstractNumId w:val="43"/>
  </w:num>
  <w:num w:numId="34">
    <w:abstractNumId w:val="5"/>
  </w:num>
  <w:num w:numId="35">
    <w:abstractNumId w:val="23"/>
  </w:num>
  <w:num w:numId="36">
    <w:abstractNumId w:val="28"/>
  </w:num>
  <w:num w:numId="37">
    <w:abstractNumId w:val="0"/>
  </w:num>
  <w:num w:numId="38">
    <w:abstractNumId w:val="3"/>
  </w:num>
  <w:num w:numId="39">
    <w:abstractNumId w:val="40"/>
  </w:num>
  <w:num w:numId="40">
    <w:abstractNumId w:val="42"/>
  </w:num>
  <w:num w:numId="41">
    <w:abstractNumId w:val="45"/>
  </w:num>
  <w:num w:numId="42">
    <w:abstractNumId w:val="2"/>
  </w:num>
  <w:num w:numId="43">
    <w:abstractNumId w:val="24"/>
  </w:num>
  <w:num w:numId="44">
    <w:abstractNumId w:val="10"/>
  </w:num>
  <w:num w:numId="45">
    <w:abstractNumId w:val="3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62A59"/>
    <w:rsid w:val="000737C8"/>
    <w:rsid w:val="0007719F"/>
    <w:rsid w:val="00081D73"/>
    <w:rsid w:val="0008275D"/>
    <w:rsid w:val="00095CC3"/>
    <w:rsid w:val="000A4F6C"/>
    <w:rsid w:val="000C5B97"/>
    <w:rsid w:val="000D31C6"/>
    <w:rsid w:val="000E522A"/>
    <w:rsid w:val="001016CA"/>
    <w:rsid w:val="00102D68"/>
    <w:rsid w:val="00115EC4"/>
    <w:rsid w:val="00126A1D"/>
    <w:rsid w:val="00133676"/>
    <w:rsid w:val="0013521F"/>
    <w:rsid w:val="00135420"/>
    <w:rsid w:val="001525DC"/>
    <w:rsid w:val="00157E9F"/>
    <w:rsid w:val="00164F9B"/>
    <w:rsid w:val="00184098"/>
    <w:rsid w:val="001919E4"/>
    <w:rsid w:val="00193483"/>
    <w:rsid w:val="00197B9C"/>
    <w:rsid w:val="001A10AD"/>
    <w:rsid w:val="001A48B4"/>
    <w:rsid w:val="001A72C9"/>
    <w:rsid w:val="001C273F"/>
    <w:rsid w:val="001C5C46"/>
    <w:rsid w:val="001D0DFA"/>
    <w:rsid w:val="001D0E88"/>
    <w:rsid w:val="001D3F66"/>
    <w:rsid w:val="001F352D"/>
    <w:rsid w:val="00200BD5"/>
    <w:rsid w:val="00213ED2"/>
    <w:rsid w:val="00214A48"/>
    <w:rsid w:val="0023131A"/>
    <w:rsid w:val="00240E1F"/>
    <w:rsid w:val="002659A4"/>
    <w:rsid w:val="00267A31"/>
    <w:rsid w:val="00277FC0"/>
    <w:rsid w:val="002B1251"/>
    <w:rsid w:val="002C117E"/>
    <w:rsid w:val="002D67B0"/>
    <w:rsid w:val="00303F01"/>
    <w:rsid w:val="00311F40"/>
    <w:rsid w:val="00332C23"/>
    <w:rsid w:val="00354B78"/>
    <w:rsid w:val="00362CD7"/>
    <w:rsid w:val="003736DA"/>
    <w:rsid w:val="00386BDE"/>
    <w:rsid w:val="003A742C"/>
    <w:rsid w:val="00404C1C"/>
    <w:rsid w:val="00414F71"/>
    <w:rsid w:val="0042678E"/>
    <w:rsid w:val="00447AED"/>
    <w:rsid w:val="00452494"/>
    <w:rsid w:val="004541B8"/>
    <w:rsid w:val="00454D9D"/>
    <w:rsid w:val="0045645B"/>
    <w:rsid w:val="00476A8F"/>
    <w:rsid w:val="004925B1"/>
    <w:rsid w:val="004937C6"/>
    <w:rsid w:val="004C7A75"/>
    <w:rsid w:val="004D3622"/>
    <w:rsid w:val="004E1E97"/>
    <w:rsid w:val="00506878"/>
    <w:rsid w:val="00516AE8"/>
    <w:rsid w:val="0052000B"/>
    <w:rsid w:val="0053538B"/>
    <w:rsid w:val="00545606"/>
    <w:rsid w:val="005500D2"/>
    <w:rsid w:val="005545C2"/>
    <w:rsid w:val="00556ADE"/>
    <w:rsid w:val="00566C30"/>
    <w:rsid w:val="005713DC"/>
    <w:rsid w:val="00573540"/>
    <w:rsid w:val="00585F43"/>
    <w:rsid w:val="005A4EFF"/>
    <w:rsid w:val="005B393D"/>
    <w:rsid w:val="005B3EE6"/>
    <w:rsid w:val="005D44B6"/>
    <w:rsid w:val="005E48F9"/>
    <w:rsid w:val="005F046B"/>
    <w:rsid w:val="0061016E"/>
    <w:rsid w:val="00616EF2"/>
    <w:rsid w:val="006252EF"/>
    <w:rsid w:val="00630746"/>
    <w:rsid w:val="00634691"/>
    <w:rsid w:val="0063767E"/>
    <w:rsid w:val="00644DA7"/>
    <w:rsid w:val="0065344F"/>
    <w:rsid w:val="00656368"/>
    <w:rsid w:val="00656439"/>
    <w:rsid w:val="00657886"/>
    <w:rsid w:val="006761E0"/>
    <w:rsid w:val="00677C83"/>
    <w:rsid w:val="00681BC6"/>
    <w:rsid w:val="00684C2D"/>
    <w:rsid w:val="00685371"/>
    <w:rsid w:val="006876ED"/>
    <w:rsid w:val="00691D5B"/>
    <w:rsid w:val="006B2840"/>
    <w:rsid w:val="006B29DD"/>
    <w:rsid w:val="006B5734"/>
    <w:rsid w:val="006B62E8"/>
    <w:rsid w:val="006C6416"/>
    <w:rsid w:val="006F0E18"/>
    <w:rsid w:val="007008F6"/>
    <w:rsid w:val="00720688"/>
    <w:rsid w:val="00732FD5"/>
    <w:rsid w:val="007379A5"/>
    <w:rsid w:val="00743161"/>
    <w:rsid w:val="00752790"/>
    <w:rsid w:val="007763B8"/>
    <w:rsid w:val="007A0166"/>
    <w:rsid w:val="007B2DF2"/>
    <w:rsid w:val="007C3AFC"/>
    <w:rsid w:val="007D4463"/>
    <w:rsid w:val="007F7AF3"/>
    <w:rsid w:val="00802946"/>
    <w:rsid w:val="0081713C"/>
    <w:rsid w:val="00825757"/>
    <w:rsid w:val="00833B53"/>
    <w:rsid w:val="0086194B"/>
    <w:rsid w:val="00885EB0"/>
    <w:rsid w:val="008B4514"/>
    <w:rsid w:val="008C1BAA"/>
    <w:rsid w:val="008C1FC2"/>
    <w:rsid w:val="008C4527"/>
    <w:rsid w:val="008E1AA2"/>
    <w:rsid w:val="008F1B83"/>
    <w:rsid w:val="008F1E2E"/>
    <w:rsid w:val="00902FF9"/>
    <w:rsid w:val="009051DE"/>
    <w:rsid w:val="00906697"/>
    <w:rsid w:val="00956054"/>
    <w:rsid w:val="0095773B"/>
    <w:rsid w:val="009837B1"/>
    <w:rsid w:val="00995CCF"/>
    <w:rsid w:val="009B2F52"/>
    <w:rsid w:val="009C3AD6"/>
    <w:rsid w:val="009E43ED"/>
    <w:rsid w:val="009F2CC7"/>
    <w:rsid w:val="009F307F"/>
    <w:rsid w:val="00A3029B"/>
    <w:rsid w:val="00A34AEB"/>
    <w:rsid w:val="00A41234"/>
    <w:rsid w:val="00A418BD"/>
    <w:rsid w:val="00A6509A"/>
    <w:rsid w:val="00A76A06"/>
    <w:rsid w:val="00A90E48"/>
    <w:rsid w:val="00A97A55"/>
    <w:rsid w:val="00AA0292"/>
    <w:rsid w:val="00AD29E9"/>
    <w:rsid w:val="00AD4D9D"/>
    <w:rsid w:val="00AE062C"/>
    <w:rsid w:val="00AE6740"/>
    <w:rsid w:val="00B203A0"/>
    <w:rsid w:val="00B214B7"/>
    <w:rsid w:val="00B2690A"/>
    <w:rsid w:val="00B30239"/>
    <w:rsid w:val="00B44B93"/>
    <w:rsid w:val="00B706D7"/>
    <w:rsid w:val="00B728C2"/>
    <w:rsid w:val="00BB3098"/>
    <w:rsid w:val="00BB32A0"/>
    <w:rsid w:val="00BC00EC"/>
    <w:rsid w:val="00BC1C8B"/>
    <w:rsid w:val="00BC28D4"/>
    <w:rsid w:val="00BD0913"/>
    <w:rsid w:val="00BD5A04"/>
    <w:rsid w:val="00BE0566"/>
    <w:rsid w:val="00BF5CA1"/>
    <w:rsid w:val="00BF71A1"/>
    <w:rsid w:val="00C03FCB"/>
    <w:rsid w:val="00C051D0"/>
    <w:rsid w:val="00C2190A"/>
    <w:rsid w:val="00C332EF"/>
    <w:rsid w:val="00C34014"/>
    <w:rsid w:val="00C45DB4"/>
    <w:rsid w:val="00C50F7F"/>
    <w:rsid w:val="00C54559"/>
    <w:rsid w:val="00C55328"/>
    <w:rsid w:val="00C613FB"/>
    <w:rsid w:val="00C6202E"/>
    <w:rsid w:val="00C630F0"/>
    <w:rsid w:val="00C65E78"/>
    <w:rsid w:val="00C709AB"/>
    <w:rsid w:val="00C736F8"/>
    <w:rsid w:val="00C73CA1"/>
    <w:rsid w:val="00C76199"/>
    <w:rsid w:val="00C77506"/>
    <w:rsid w:val="00C949B0"/>
    <w:rsid w:val="00C9754A"/>
    <w:rsid w:val="00CB395A"/>
    <w:rsid w:val="00CD26B9"/>
    <w:rsid w:val="00CD27BC"/>
    <w:rsid w:val="00CE55CB"/>
    <w:rsid w:val="00CE6C4B"/>
    <w:rsid w:val="00CF06FD"/>
    <w:rsid w:val="00D0355F"/>
    <w:rsid w:val="00D03FB6"/>
    <w:rsid w:val="00D12625"/>
    <w:rsid w:val="00D15654"/>
    <w:rsid w:val="00D20321"/>
    <w:rsid w:val="00D259E2"/>
    <w:rsid w:val="00D275EE"/>
    <w:rsid w:val="00D2786D"/>
    <w:rsid w:val="00D43165"/>
    <w:rsid w:val="00D462FA"/>
    <w:rsid w:val="00D63885"/>
    <w:rsid w:val="00D75E5C"/>
    <w:rsid w:val="00D77349"/>
    <w:rsid w:val="00D81439"/>
    <w:rsid w:val="00D90D04"/>
    <w:rsid w:val="00D924AD"/>
    <w:rsid w:val="00DA4331"/>
    <w:rsid w:val="00DC37CA"/>
    <w:rsid w:val="00DD3CE1"/>
    <w:rsid w:val="00DE3EB0"/>
    <w:rsid w:val="00DE4884"/>
    <w:rsid w:val="00DF5546"/>
    <w:rsid w:val="00E04241"/>
    <w:rsid w:val="00E05CE1"/>
    <w:rsid w:val="00E155B4"/>
    <w:rsid w:val="00E2169C"/>
    <w:rsid w:val="00E22552"/>
    <w:rsid w:val="00E23847"/>
    <w:rsid w:val="00E5015D"/>
    <w:rsid w:val="00E52386"/>
    <w:rsid w:val="00E73FF1"/>
    <w:rsid w:val="00E7514F"/>
    <w:rsid w:val="00E81AC1"/>
    <w:rsid w:val="00E87B3B"/>
    <w:rsid w:val="00E941FE"/>
    <w:rsid w:val="00EA1206"/>
    <w:rsid w:val="00EA1F8A"/>
    <w:rsid w:val="00EB78D8"/>
    <w:rsid w:val="00ED2193"/>
    <w:rsid w:val="00EE138D"/>
    <w:rsid w:val="00EE17AD"/>
    <w:rsid w:val="00EE5DDE"/>
    <w:rsid w:val="00EF4EB8"/>
    <w:rsid w:val="00EF76CE"/>
    <w:rsid w:val="00F02154"/>
    <w:rsid w:val="00F06015"/>
    <w:rsid w:val="00F254D0"/>
    <w:rsid w:val="00F31C9A"/>
    <w:rsid w:val="00F509EF"/>
    <w:rsid w:val="00F55AE9"/>
    <w:rsid w:val="00FB77FE"/>
    <w:rsid w:val="00FE7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C9AA4-9B11-45BE-A20E-1D27EE0D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986979228">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206787604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4</cp:revision>
  <cp:lastPrinted>2015-08-20T20:07:00Z</cp:lastPrinted>
  <dcterms:created xsi:type="dcterms:W3CDTF">2016-03-14T17:46:00Z</dcterms:created>
  <dcterms:modified xsi:type="dcterms:W3CDTF">2016-03-14T21:50:00Z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