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90A" w:rsidRDefault="009F2CC7" w:rsidP="00B2690A">
      <w:pPr>
        <w:tabs>
          <w:tab w:val="left" w:pos="3000"/>
        </w:tabs>
        <w:spacing w:after="0"/>
        <w:rPr>
          <w:b/>
          <w:sz w:val="24"/>
          <w:szCs w:val="24"/>
        </w:rPr>
      </w:pPr>
      <w:r>
        <w:rPr>
          <w:b/>
          <w:sz w:val="24"/>
          <w:szCs w:val="24"/>
        </w:rPr>
        <w:t xml:space="preserve">   </w:t>
      </w:r>
      <w:r w:rsidR="00B2690A">
        <w:rPr>
          <w:b/>
          <w:sz w:val="24"/>
          <w:szCs w:val="24"/>
        </w:rPr>
        <w:tab/>
      </w:r>
      <w:r>
        <w:rPr>
          <w:b/>
          <w:sz w:val="24"/>
          <w:szCs w:val="24"/>
        </w:rPr>
        <w:t xml:space="preserve">      </w:t>
      </w:r>
      <w:r w:rsidR="00B2690A">
        <w:rPr>
          <w:rFonts w:ascii="Century Gothic" w:hAnsi="Century Gothic"/>
          <w:noProof/>
          <w:sz w:val="20"/>
          <w:szCs w:val="20"/>
          <w:lang w:val="es-SV" w:eastAsia="es-SV"/>
        </w:rPr>
        <w:t xml:space="preserve">         </w:t>
      </w:r>
      <w:r w:rsidR="00B2690A"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B2690A" w:rsidRDefault="00B2690A" w:rsidP="009F2CC7">
      <w:pPr>
        <w:tabs>
          <w:tab w:val="left" w:pos="3000"/>
        </w:tabs>
        <w:spacing w:after="0"/>
        <w:rPr>
          <w:b/>
          <w:sz w:val="24"/>
          <w:szCs w:val="24"/>
        </w:rPr>
      </w:pPr>
    </w:p>
    <w:p w:rsidR="009F2CC7" w:rsidRPr="00F30A2D" w:rsidRDefault="009F2CC7" w:rsidP="00E05CE1">
      <w:pPr>
        <w:tabs>
          <w:tab w:val="left" w:pos="3000"/>
        </w:tabs>
        <w:spacing w:after="0" w:line="240" w:lineRule="auto"/>
        <w:jc w:val="center"/>
        <w:rPr>
          <w:b/>
        </w:rPr>
      </w:pPr>
      <w:r w:rsidRPr="00F30A2D">
        <w:rPr>
          <w:b/>
        </w:rPr>
        <w:t>UNIDAD DE ACCESO A LA INFORMACIÓN PÚBLICA.</w:t>
      </w:r>
    </w:p>
    <w:p w:rsidR="009F2CC7" w:rsidRPr="00F30A2D" w:rsidRDefault="009F2CC7" w:rsidP="00E05CE1">
      <w:pPr>
        <w:tabs>
          <w:tab w:val="left" w:pos="2475"/>
          <w:tab w:val="left" w:pos="3000"/>
          <w:tab w:val="center" w:pos="5040"/>
        </w:tabs>
        <w:spacing w:after="0" w:line="240" w:lineRule="auto"/>
        <w:rPr>
          <w:b/>
        </w:rPr>
      </w:pPr>
      <w:r w:rsidRPr="00F30A2D">
        <w:rPr>
          <w:b/>
        </w:rPr>
        <w:tab/>
      </w:r>
      <w:r w:rsidRPr="00F30A2D">
        <w:rPr>
          <w:b/>
        </w:rPr>
        <w:tab/>
      </w:r>
      <w:r w:rsidRPr="00F30A2D">
        <w:rPr>
          <w:b/>
        </w:rPr>
        <w:tab/>
        <w:t>Resolución de Entrega de Información.</w:t>
      </w:r>
    </w:p>
    <w:p w:rsidR="009F2CC7" w:rsidRPr="00906697" w:rsidRDefault="009F2CC7" w:rsidP="00E05CE1">
      <w:pPr>
        <w:tabs>
          <w:tab w:val="left" w:pos="2610"/>
          <w:tab w:val="left" w:pos="3000"/>
          <w:tab w:val="center" w:pos="5040"/>
          <w:tab w:val="left" w:pos="6825"/>
        </w:tabs>
        <w:spacing w:after="0" w:line="240" w:lineRule="auto"/>
        <w:rPr>
          <w:b/>
          <w:sz w:val="24"/>
          <w:szCs w:val="24"/>
        </w:rPr>
      </w:pPr>
      <w:r w:rsidRPr="00F30A2D">
        <w:rPr>
          <w:b/>
        </w:rPr>
        <w:tab/>
      </w:r>
      <w:r w:rsidRPr="00F30A2D">
        <w:rPr>
          <w:b/>
        </w:rPr>
        <w:tab/>
      </w:r>
      <w:r w:rsidRPr="00F30A2D">
        <w:rPr>
          <w:b/>
        </w:rPr>
        <w:tab/>
      </w:r>
      <w:r w:rsidR="00506878" w:rsidRPr="00F30A2D">
        <w:rPr>
          <w:b/>
        </w:rPr>
        <w:t>UAIP-MITUR No.25</w:t>
      </w:r>
      <w:r w:rsidRPr="00F30A2D">
        <w:rPr>
          <w:b/>
        </w:rPr>
        <w:t>/2015</w:t>
      </w:r>
      <w:r>
        <w:rPr>
          <w:b/>
          <w:sz w:val="24"/>
          <w:szCs w:val="24"/>
        </w:rPr>
        <w:tab/>
      </w:r>
    </w:p>
    <w:p w:rsidR="009F2CC7" w:rsidRPr="00906697" w:rsidRDefault="009F2CC7" w:rsidP="009F2CC7">
      <w:pPr>
        <w:tabs>
          <w:tab w:val="left" w:pos="3000"/>
        </w:tabs>
        <w:spacing w:after="0" w:line="240" w:lineRule="atLeast"/>
        <w:jc w:val="center"/>
        <w:rPr>
          <w:sz w:val="24"/>
          <w:szCs w:val="24"/>
        </w:rPr>
      </w:pPr>
    </w:p>
    <w:p w:rsidR="009F2CC7" w:rsidRDefault="00691D5B" w:rsidP="009F2CC7">
      <w:pPr>
        <w:tabs>
          <w:tab w:val="left" w:pos="1140"/>
        </w:tabs>
        <w:spacing w:after="0" w:line="240" w:lineRule="atLeast"/>
        <w:ind w:left="709"/>
        <w:jc w:val="both"/>
        <w:rPr>
          <w:rFonts w:ascii="Century Gothic" w:hAnsi="Century Gothic"/>
          <w:sz w:val="19"/>
          <w:szCs w:val="19"/>
        </w:rPr>
      </w:pPr>
      <w:r>
        <w:rPr>
          <w:rFonts w:ascii="Century Gothic" w:hAnsi="Century Gothic"/>
          <w:sz w:val="19"/>
          <w:szCs w:val="19"/>
        </w:rPr>
        <w:t>San Salvador, a las catorce</w:t>
      </w:r>
      <w:r w:rsidR="009F2CC7">
        <w:rPr>
          <w:rFonts w:ascii="Century Gothic" w:hAnsi="Century Gothic"/>
          <w:sz w:val="19"/>
          <w:szCs w:val="19"/>
        </w:rPr>
        <w:t xml:space="preserve"> </w:t>
      </w:r>
      <w:r w:rsidR="009F2CC7" w:rsidRPr="00A6509A">
        <w:rPr>
          <w:rFonts w:ascii="Century Gothic" w:hAnsi="Century Gothic"/>
          <w:sz w:val="19"/>
          <w:szCs w:val="19"/>
        </w:rPr>
        <w:t>horas</w:t>
      </w:r>
      <w:r>
        <w:rPr>
          <w:rFonts w:ascii="Century Gothic" w:hAnsi="Century Gothic"/>
          <w:sz w:val="19"/>
          <w:szCs w:val="19"/>
        </w:rPr>
        <w:t xml:space="preserve"> con quince</w:t>
      </w:r>
      <w:r w:rsidR="004541B8">
        <w:rPr>
          <w:rFonts w:ascii="Century Gothic" w:hAnsi="Century Gothic"/>
          <w:sz w:val="19"/>
          <w:szCs w:val="19"/>
        </w:rPr>
        <w:t xml:space="preserve"> minutos</w:t>
      </w:r>
      <w:r w:rsidR="009F2CC7" w:rsidRPr="00A6509A">
        <w:rPr>
          <w:rFonts w:ascii="Century Gothic" w:hAnsi="Century Gothic"/>
          <w:sz w:val="19"/>
          <w:szCs w:val="19"/>
        </w:rPr>
        <w:t xml:space="preserve"> </w:t>
      </w:r>
      <w:r w:rsidR="0042678E">
        <w:rPr>
          <w:rFonts w:ascii="Century Gothic" w:hAnsi="Century Gothic"/>
          <w:sz w:val="19"/>
          <w:szCs w:val="19"/>
        </w:rPr>
        <w:t>del día veinte</w:t>
      </w:r>
      <w:r w:rsidR="009F2CC7">
        <w:rPr>
          <w:rFonts w:ascii="Century Gothic" w:hAnsi="Century Gothic"/>
          <w:sz w:val="19"/>
          <w:szCs w:val="19"/>
        </w:rPr>
        <w:t xml:space="preserve"> de </w:t>
      </w:r>
      <w:r w:rsidR="00506878">
        <w:rPr>
          <w:rFonts w:ascii="Century Gothic" w:hAnsi="Century Gothic"/>
          <w:sz w:val="19"/>
          <w:szCs w:val="19"/>
        </w:rPr>
        <w:t>agost</w:t>
      </w:r>
      <w:r w:rsidR="005500D2">
        <w:rPr>
          <w:rFonts w:ascii="Century Gothic" w:hAnsi="Century Gothic"/>
          <w:sz w:val="19"/>
          <w:szCs w:val="19"/>
        </w:rPr>
        <w:t>o</w:t>
      </w:r>
      <w:r w:rsidR="009F2CC7">
        <w:rPr>
          <w:rFonts w:ascii="Century Gothic" w:hAnsi="Century Gothic"/>
          <w:sz w:val="19"/>
          <w:szCs w:val="19"/>
        </w:rPr>
        <w:t xml:space="preserve"> de dos mil quince, el Ministerio de Turismo</w:t>
      </w:r>
      <w:r w:rsidR="009F2CC7" w:rsidRPr="00A6509A">
        <w:rPr>
          <w:rFonts w:ascii="Century Gothic" w:hAnsi="Century Gothic"/>
          <w:sz w:val="19"/>
          <w:szCs w:val="19"/>
        </w:rPr>
        <w:t xml:space="preserve">, luego de haber recibido y admitido la solicitud de información, presentada ante la Unidad de Acceso a la Información Pública de esta dependencia por parte de </w:t>
      </w:r>
      <w:r w:rsidR="00236CF5" w:rsidRPr="00236CF5">
        <w:rPr>
          <w:rFonts w:ascii="Century Gothic" w:hAnsi="Century Gothic"/>
          <w:sz w:val="19"/>
          <w:szCs w:val="19"/>
          <w:highlight w:val="black"/>
        </w:rPr>
        <w:t>xxxxxxxxxx</w:t>
      </w:r>
      <w:r w:rsidR="009F2CC7" w:rsidRPr="00A6509A">
        <w:rPr>
          <w:rFonts w:ascii="Century Gothic" w:hAnsi="Century Gothic"/>
          <w:sz w:val="19"/>
          <w:szCs w:val="19"/>
        </w:rPr>
        <w:t>, con</w:t>
      </w:r>
      <w:r w:rsidR="009F2CC7">
        <w:rPr>
          <w:rFonts w:ascii="Century Gothic" w:hAnsi="Century Gothic"/>
          <w:sz w:val="19"/>
          <w:szCs w:val="19"/>
        </w:rPr>
        <w:t xml:space="preserve"> número de Do</w:t>
      </w:r>
      <w:r w:rsidR="005500D2">
        <w:rPr>
          <w:rFonts w:ascii="Century Gothic" w:hAnsi="Century Gothic"/>
          <w:sz w:val="19"/>
          <w:szCs w:val="19"/>
        </w:rPr>
        <w:t xml:space="preserve">cumento Único de </w:t>
      </w:r>
      <w:r w:rsidR="00F30A2D">
        <w:rPr>
          <w:rFonts w:ascii="Century Gothic" w:hAnsi="Century Gothic"/>
          <w:sz w:val="19"/>
          <w:szCs w:val="19"/>
        </w:rPr>
        <w:t xml:space="preserve">Identidad </w:t>
      </w:r>
      <w:proofErr w:type="spellStart"/>
      <w:r w:rsidR="00236CF5" w:rsidRPr="00236CF5">
        <w:rPr>
          <w:rFonts w:ascii="Century Gothic" w:hAnsi="Century Gothic"/>
          <w:sz w:val="19"/>
          <w:szCs w:val="19"/>
          <w:highlight w:val="black"/>
        </w:rPr>
        <w:t>x</w:t>
      </w:r>
      <w:r w:rsidR="00236CF5" w:rsidRPr="00F30A2D">
        <w:rPr>
          <w:highlight w:val="black"/>
        </w:rPr>
        <w:t>xxxxxxxxxxx</w:t>
      </w:r>
      <w:r w:rsidR="00236CF5" w:rsidRPr="00236CF5">
        <w:rPr>
          <w:rFonts w:ascii="Century Gothic" w:hAnsi="Century Gothic"/>
          <w:sz w:val="19"/>
          <w:szCs w:val="19"/>
          <w:highlight w:val="black"/>
        </w:rPr>
        <w:t>xx</w:t>
      </w:r>
      <w:proofErr w:type="spellEnd"/>
      <w:r w:rsidR="00DC7B49">
        <w:rPr>
          <w:rFonts w:ascii="Century Gothic" w:hAnsi="Century Gothic"/>
          <w:sz w:val="19"/>
          <w:szCs w:val="19"/>
        </w:rPr>
        <w:t xml:space="preserve"> </w:t>
      </w:r>
      <w:r w:rsidR="005500D2">
        <w:rPr>
          <w:rFonts w:ascii="Century Gothic" w:hAnsi="Century Gothic"/>
          <w:sz w:val="19"/>
          <w:szCs w:val="19"/>
        </w:rPr>
        <w:t>,</w:t>
      </w:r>
      <w:r w:rsidR="009F2CC7">
        <w:rPr>
          <w:rFonts w:ascii="Century Gothic" w:hAnsi="Century Gothic"/>
          <w:sz w:val="19"/>
          <w:szCs w:val="19"/>
        </w:rPr>
        <w:t xml:space="preserve"> </w:t>
      </w:r>
      <w:r w:rsidR="009F2CC7" w:rsidRPr="00A6509A">
        <w:rPr>
          <w:rFonts w:ascii="Century Gothic" w:hAnsi="Century Gothic"/>
          <w:sz w:val="19"/>
          <w:szCs w:val="19"/>
        </w:rPr>
        <w:t>considerando que la solicitud cumple con todos los requisitos establecidos en el Art.66 de la Ley de Acceso a la Información Pública,</w:t>
      </w:r>
      <w:r w:rsidR="009F2CC7">
        <w:rPr>
          <w:rFonts w:ascii="Century Gothic" w:hAnsi="Century Gothic"/>
          <w:sz w:val="19"/>
          <w:szCs w:val="19"/>
        </w:rPr>
        <w:t xml:space="preserve"> y que la información solicitada</w:t>
      </w:r>
      <w:r w:rsidR="009F2CC7" w:rsidRPr="00A6509A">
        <w:rPr>
          <w:rFonts w:ascii="Century Gothic" w:hAnsi="Century Gothic"/>
          <w:sz w:val="19"/>
          <w:szCs w:val="19"/>
        </w:rPr>
        <w:t xml:space="preserve"> </w:t>
      </w:r>
      <w:r w:rsidR="009F2CC7" w:rsidRPr="007E34EA">
        <w:rPr>
          <w:rFonts w:ascii="Century Gothic" w:hAnsi="Century Gothic"/>
          <w:sz w:val="19"/>
          <w:szCs w:val="19"/>
        </w:rPr>
        <w:t>no se encuentra entre las excepciones enumeradas en los artículos 19 y 24 de la ley; y art. 19 del Reglamento, la Unidad de Acceso a la Información Pública resuelve según el siguiente detalle:</w:t>
      </w:r>
    </w:p>
    <w:p w:rsidR="00240E1F" w:rsidRDefault="00240E1F" w:rsidP="009F2CC7">
      <w:pPr>
        <w:tabs>
          <w:tab w:val="left" w:pos="1140"/>
        </w:tabs>
        <w:spacing w:after="0" w:line="240" w:lineRule="atLeast"/>
        <w:ind w:left="709"/>
        <w:jc w:val="both"/>
        <w:rPr>
          <w:rFonts w:ascii="Century Gothic" w:hAnsi="Century Gothic"/>
          <w:sz w:val="19"/>
          <w:szCs w:val="19"/>
        </w:rPr>
      </w:pPr>
    </w:p>
    <w:p w:rsidR="00506878" w:rsidRDefault="00506878" w:rsidP="00506878">
      <w:pPr>
        <w:pStyle w:val="Prrafodelista"/>
        <w:numPr>
          <w:ilvl w:val="0"/>
          <w:numId w:val="37"/>
        </w:numPr>
        <w:tabs>
          <w:tab w:val="left" w:pos="1140"/>
        </w:tabs>
        <w:spacing w:after="0" w:line="240" w:lineRule="atLeast"/>
        <w:jc w:val="both"/>
        <w:rPr>
          <w:rFonts w:ascii="Century Gothic" w:hAnsi="Century Gothic"/>
          <w:sz w:val="19"/>
          <w:szCs w:val="19"/>
        </w:rPr>
      </w:pPr>
      <w:r w:rsidRPr="00506878">
        <w:rPr>
          <w:rFonts w:ascii="Century Gothic" w:hAnsi="Century Gothic"/>
          <w:sz w:val="19"/>
          <w:szCs w:val="19"/>
        </w:rPr>
        <w:t>Flujo Financiero</w:t>
      </w:r>
      <w:r>
        <w:rPr>
          <w:rFonts w:ascii="Century Gothic" w:hAnsi="Century Gothic"/>
          <w:sz w:val="19"/>
          <w:szCs w:val="19"/>
        </w:rPr>
        <w:t xml:space="preserve"> del Proyecto: “Programa de Desarrollo Turístico de la Franja Costero-Marina de El Salvador (ES-L1066), que según documentos en la web del Banco Interamericano de Desarrollo (BID), poseía un valor actual de 60.5 millones a la fecha de la Evaluación Económica Ex-Ante;</w:t>
      </w:r>
    </w:p>
    <w:p w:rsidR="00506878" w:rsidRDefault="00506878" w:rsidP="00506878">
      <w:pPr>
        <w:pStyle w:val="Prrafodelista"/>
        <w:tabs>
          <w:tab w:val="left" w:pos="1140"/>
        </w:tabs>
        <w:spacing w:after="0" w:line="240" w:lineRule="atLeast"/>
        <w:ind w:left="1069"/>
        <w:jc w:val="both"/>
        <w:rPr>
          <w:rFonts w:ascii="Century Gothic" w:hAnsi="Century Gothic"/>
          <w:sz w:val="19"/>
          <w:szCs w:val="19"/>
        </w:rPr>
      </w:pPr>
    </w:p>
    <w:p w:rsidR="005500D2" w:rsidRDefault="00506878" w:rsidP="00506878">
      <w:pPr>
        <w:pStyle w:val="Prrafodelista"/>
        <w:numPr>
          <w:ilvl w:val="0"/>
          <w:numId w:val="37"/>
        </w:numPr>
        <w:tabs>
          <w:tab w:val="left" w:pos="1140"/>
        </w:tabs>
        <w:spacing w:after="0" w:line="240" w:lineRule="atLeast"/>
        <w:jc w:val="both"/>
        <w:rPr>
          <w:rFonts w:ascii="Century Gothic" w:hAnsi="Century Gothic"/>
          <w:sz w:val="19"/>
          <w:szCs w:val="19"/>
        </w:rPr>
      </w:pPr>
      <w:r>
        <w:rPr>
          <w:rFonts w:ascii="Century Gothic" w:hAnsi="Century Gothic"/>
          <w:sz w:val="19"/>
          <w:szCs w:val="19"/>
        </w:rPr>
        <w:t>La tabla de amortización del crédito concedido para financiar dicho programa.</w:t>
      </w:r>
    </w:p>
    <w:p w:rsidR="00506878" w:rsidRPr="00506878" w:rsidRDefault="00506878" w:rsidP="00506878">
      <w:pPr>
        <w:pStyle w:val="Prrafodelista"/>
        <w:rPr>
          <w:rFonts w:ascii="Century Gothic" w:hAnsi="Century Gothic"/>
          <w:sz w:val="19"/>
          <w:szCs w:val="19"/>
        </w:rPr>
      </w:pPr>
    </w:p>
    <w:p w:rsidR="009F2CC7" w:rsidRDefault="009F2CC7" w:rsidP="009F2CC7">
      <w:pPr>
        <w:tabs>
          <w:tab w:val="left" w:pos="1140"/>
        </w:tabs>
        <w:spacing w:after="0" w:line="240" w:lineRule="atLeast"/>
        <w:ind w:left="709"/>
        <w:jc w:val="both"/>
        <w:rPr>
          <w:rFonts w:ascii="Century Gothic" w:hAnsi="Century Gothic"/>
          <w:b/>
          <w:sz w:val="19"/>
          <w:szCs w:val="19"/>
          <w:lang w:val="es-SV"/>
        </w:rPr>
      </w:pPr>
      <w:r w:rsidRPr="00A6509A">
        <w:rPr>
          <w:rFonts w:ascii="Century Gothic" w:hAnsi="Century Gothic"/>
          <w:b/>
          <w:sz w:val="19"/>
          <w:szCs w:val="19"/>
          <w:lang w:val="es-SV"/>
        </w:rPr>
        <w:t>CONSIDERANDO:</w:t>
      </w:r>
    </w:p>
    <w:p w:rsidR="00506878" w:rsidRDefault="00506878" w:rsidP="009F2CC7">
      <w:pPr>
        <w:tabs>
          <w:tab w:val="left" w:pos="1140"/>
        </w:tabs>
        <w:spacing w:after="0" w:line="240" w:lineRule="atLeast"/>
        <w:ind w:left="709"/>
        <w:jc w:val="both"/>
        <w:rPr>
          <w:rFonts w:ascii="Century Gothic" w:hAnsi="Century Gothic"/>
          <w:b/>
          <w:sz w:val="19"/>
          <w:szCs w:val="19"/>
          <w:lang w:val="es-SV"/>
        </w:rPr>
      </w:pPr>
    </w:p>
    <w:p w:rsidR="00506878" w:rsidRDefault="008F1E2E" w:rsidP="008F1E2E">
      <w:pPr>
        <w:pStyle w:val="Prrafodelista"/>
        <w:numPr>
          <w:ilvl w:val="0"/>
          <w:numId w:val="42"/>
        </w:numPr>
        <w:tabs>
          <w:tab w:val="left" w:pos="993"/>
        </w:tabs>
        <w:spacing w:after="0" w:line="240" w:lineRule="atLeast"/>
        <w:ind w:left="993" w:hanging="284"/>
        <w:jc w:val="both"/>
        <w:rPr>
          <w:rFonts w:ascii="Century Gothic" w:hAnsi="Century Gothic"/>
          <w:sz w:val="19"/>
          <w:szCs w:val="19"/>
        </w:rPr>
      </w:pPr>
      <w:r w:rsidRPr="008F1E2E">
        <w:rPr>
          <w:rFonts w:ascii="Century Gothic" w:hAnsi="Century Gothic"/>
          <w:sz w:val="19"/>
          <w:szCs w:val="19"/>
        </w:rPr>
        <w:t>Que posterior</w:t>
      </w:r>
      <w:r>
        <w:rPr>
          <w:rFonts w:ascii="Century Gothic" w:hAnsi="Century Gothic"/>
          <w:sz w:val="19"/>
          <w:szCs w:val="19"/>
        </w:rPr>
        <w:t xml:space="preserve"> a la sensibilización de los diferentes sectores públicos y privados, luego de diversas gestiones realizadas, se logró la aprobación del proyecto por parte de la Asamblea Legislativa, mediante Decreto Legislativo No.621, de fecha trece de febrero de dos mil catorce, publicado en el Diario Oficial 33 Tomo 402, del diecinueve del mismo mes y año, lo anterior en virtud del artículo 148 de la Constitución de la República, por medio de la cual se autorizó al Órgano Ejecutivo en el Ramo de Hacienda, suscribir un Contrato de Préstamo, con referencia (ES-L1066), con el Banco Interamericano de Desarrollo, en adelante BID, por un monto de VEINTICINCO MILLONES DE DÓLARES DE LOS ESTADOS UNIDOS DE NORTE AMÉRICA (US$25,000,000.00) para financiar el “Programa de Desarrollo Turístico de la Franja Costero-Marina”.</w:t>
      </w:r>
    </w:p>
    <w:p w:rsidR="00802946" w:rsidRDefault="00802946" w:rsidP="00802946">
      <w:pPr>
        <w:pStyle w:val="Prrafodelista"/>
        <w:tabs>
          <w:tab w:val="left" w:pos="993"/>
        </w:tabs>
        <w:spacing w:after="0" w:line="240" w:lineRule="atLeast"/>
        <w:ind w:left="993"/>
        <w:jc w:val="both"/>
        <w:rPr>
          <w:rFonts w:ascii="Century Gothic" w:hAnsi="Century Gothic"/>
          <w:sz w:val="19"/>
          <w:szCs w:val="19"/>
        </w:rPr>
      </w:pPr>
    </w:p>
    <w:p w:rsidR="00BD5A04" w:rsidRDefault="00802946" w:rsidP="008F1E2E">
      <w:pPr>
        <w:pStyle w:val="Prrafodelista"/>
        <w:numPr>
          <w:ilvl w:val="0"/>
          <w:numId w:val="42"/>
        </w:numPr>
        <w:tabs>
          <w:tab w:val="left" w:pos="993"/>
        </w:tabs>
        <w:spacing w:after="0" w:line="240" w:lineRule="atLeast"/>
        <w:ind w:left="993" w:hanging="284"/>
        <w:jc w:val="both"/>
        <w:rPr>
          <w:rFonts w:ascii="Century Gothic" w:hAnsi="Century Gothic"/>
          <w:sz w:val="19"/>
          <w:szCs w:val="19"/>
        </w:rPr>
      </w:pPr>
      <w:r>
        <w:rPr>
          <w:rFonts w:ascii="Century Gothic" w:hAnsi="Century Gothic"/>
          <w:sz w:val="19"/>
          <w:szCs w:val="19"/>
        </w:rPr>
        <w:t>Que mediante Decreto Legislativo número 976, de fecha cuatro de abril de dos mil quince, publicado en el Diario Oficial 64, Tomo 407, del trece de abril de dos mil quince, la Asamblea Legislativa, ratificó el referido Contrato de Préstamo, con cincuenta y seis votos a favor.</w:t>
      </w:r>
    </w:p>
    <w:p w:rsidR="00802946" w:rsidRPr="00802946" w:rsidRDefault="00802946" w:rsidP="00802946">
      <w:pPr>
        <w:pStyle w:val="Prrafodelista"/>
        <w:rPr>
          <w:rFonts w:ascii="Century Gothic" w:hAnsi="Century Gothic"/>
          <w:sz w:val="19"/>
          <w:szCs w:val="19"/>
        </w:rPr>
      </w:pPr>
    </w:p>
    <w:p w:rsidR="00506878" w:rsidRDefault="0007719F" w:rsidP="0007719F">
      <w:pPr>
        <w:pStyle w:val="Prrafodelista"/>
        <w:tabs>
          <w:tab w:val="left" w:pos="993"/>
          <w:tab w:val="left" w:pos="1140"/>
        </w:tabs>
        <w:spacing w:after="0" w:line="240" w:lineRule="atLeast"/>
        <w:ind w:left="993" w:hanging="284"/>
        <w:jc w:val="both"/>
        <w:rPr>
          <w:rFonts w:ascii="Century Gothic" w:hAnsi="Century Gothic"/>
          <w:sz w:val="19"/>
          <w:szCs w:val="19"/>
        </w:rPr>
      </w:pPr>
      <w:r>
        <w:rPr>
          <w:rFonts w:ascii="Century Gothic" w:hAnsi="Century Gothic"/>
          <w:sz w:val="19"/>
          <w:szCs w:val="19"/>
        </w:rPr>
        <w:t xml:space="preserve">III. </w:t>
      </w:r>
      <w:r w:rsidR="00802946" w:rsidRPr="0007719F">
        <w:rPr>
          <w:rFonts w:ascii="Century Gothic" w:hAnsi="Century Gothic"/>
          <w:sz w:val="19"/>
          <w:szCs w:val="19"/>
        </w:rPr>
        <w:t>Que en la Cláusula 3.02 de las Estipulaciones Especiales del Contrato del Préstamo del Programa de Desarrollo Turístico de la Franja Costero-Mar</w:t>
      </w:r>
      <w:r w:rsidRPr="0007719F">
        <w:rPr>
          <w:rFonts w:ascii="Century Gothic" w:hAnsi="Century Gothic"/>
          <w:sz w:val="19"/>
          <w:szCs w:val="19"/>
        </w:rPr>
        <w:t>ina, establece las Condiciones e</w:t>
      </w:r>
      <w:r w:rsidR="00802946" w:rsidRPr="0007719F">
        <w:rPr>
          <w:rFonts w:ascii="Century Gothic" w:hAnsi="Century Gothic"/>
          <w:sz w:val="19"/>
          <w:szCs w:val="19"/>
        </w:rPr>
        <w:t>speciales previas al primer desembolso del préstamo</w:t>
      </w:r>
      <w:r w:rsidRPr="0007719F">
        <w:rPr>
          <w:rFonts w:ascii="Century Gothic" w:hAnsi="Century Gothic"/>
          <w:sz w:val="19"/>
          <w:szCs w:val="19"/>
        </w:rPr>
        <w:t>.</w:t>
      </w:r>
    </w:p>
    <w:p w:rsidR="00656368" w:rsidRDefault="00656368" w:rsidP="0007719F">
      <w:pPr>
        <w:pStyle w:val="Prrafodelista"/>
        <w:tabs>
          <w:tab w:val="left" w:pos="993"/>
          <w:tab w:val="left" w:pos="1140"/>
        </w:tabs>
        <w:spacing w:after="0" w:line="240" w:lineRule="atLeast"/>
        <w:ind w:left="993" w:hanging="284"/>
        <w:jc w:val="both"/>
        <w:rPr>
          <w:rFonts w:ascii="Century Gothic" w:hAnsi="Century Gothic"/>
          <w:sz w:val="19"/>
          <w:szCs w:val="19"/>
        </w:rPr>
      </w:pPr>
    </w:p>
    <w:p w:rsidR="00656368" w:rsidRDefault="00656368" w:rsidP="0007719F">
      <w:pPr>
        <w:pStyle w:val="Prrafodelista"/>
        <w:tabs>
          <w:tab w:val="left" w:pos="993"/>
          <w:tab w:val="left" w:pos="1140"/>
        </w:tabs>
        <w:spacing w:after="0" w:line="240" w:lineRule="atLeast"/>
        <w:ind w:left="993" w:hanging="284"/>
        <w:jc w:val="both"/>
        <w:rPr>
          <w:rFonts w:ascii="Century Gothic" w:hAnsi="Century Gothic"/>
          <w:sz w:val="19"/>
          <w:szCs w:val="19"/>
        </w:rPr>
      </w:pPr>
      <w:r>
        <w:rPr>
          <w:rFonts w:ascii="Century Gothic" w:hAnsi="Century Gothic"/>
          <w:sz w:val="19"/>
          <w:szCs w:val="19"/>
        </w:rPr>
        <w:t xml:space="preserve">IV. </w:t>
      </w:r>
      <w:r w:rsidR="0042678E">
        <w:rPr>
          <w:rFonts w:ascii="Century Gothic" w:hAnsi="Century Gothic"/>
          <w:sz w:val="19"/>
          <w:szCs w:val="19"/>
        </w:rPr>
        <w:t>Que de acuerdo a la Ley SAFI, Capítulo II Responsabilidad de las Finanzas Públicas, Art.4 Atribuciones del Ministerio de Hacienda en Relación a la Gestión Financiera, en el literal h) textualmente dice: “Procurar el cumplimiento oportuno de los pagos del servicio de la deuda pública interna y externa.</w:t>
      </w:r>
    </w:p>
    <w:p w:rsidR="00656368" w:rsidRDefault="00656368" w:rsidP="0007719F">
      <w:pPr>
        <w:pStyle w:val="Prrafodelista"/>
        <w:tabs>
          <w:tab w:val="left" w:pos="993"/>
          <w:tab w:val="left" w:pos="1140"/>
        </w:tabs>
        <w:spacing w:after="0" w:line="240" w:lineRule="atLeast"/>
        <w:ind w:left="993" w:hanging="284"/>
        <w:jc w:val="both"/>
        <w:rPr>
          <w:rFonts w:ascii="Century Gothic" w:hAnsi="Century Gothic"/>
          <w:b/>
          <w:sz w:val="19"/>
          <w:szCs w:val="19"/>
        </w:rPr>
      </w:pPr>
    </w:p>
    <w:p w:rsidR="00656368" w:rsidRDefault="00656368" w:rsidP="0007719F">
      <w:pPr>
        <w:pStyle w:val="Prrafodelista"/>
        <w:tabs>
          <w:tab w:val="left" w:pos="993"/>
          <w:tab w:val="left" w:pos="1140"/>
        </w:tabs>
        <w:spacing w:after="0" w:line="240" w:lineRule="atLeast"/>
        <w:ind w:left="993" w:hanging="284"/>
        <w:jc w:val="both"/>
        <w:rPr>
          <w:rFonts w:ascii="Century Gothic" w:hAnsi="Century Gothic"/>
          <w:b/>
          <w:sz w:val="19"/>
          <w:szCs w:val="19"/>
        </w:rPr>
      </w:pPr>
    </w:p>
    <w:p w:rsidR="00656368" w:rsidRDefault="00656368" w:rsidP="0007719F">
      <w:pPr>
        <w:pStyle w:val="Prrafodelista"/>
        <w:tabs>
          <w:tab w:val="left" w:pos="993"/>
          <w:tab w:val="left" w:pos="1140"/>
        </w:tabs>
        <w:spacing w:after="0" w:line="240" w:lineRule="atLeast"/>
        <w:ind w:left="993" w:hanging="284"/>
        <w:jc w:val="both"/>
        <w:rPr>
          <w:rFonts w:ascii="Century Gothic" w:hAnsi="Century Gothic"/>
          <w:b/>
          <w:sz w:val="19"/>
          <w:szCs w:val="19"/>
        </w:rPr>
      </w:pPr>
    </w:p>
    <w:p w:rsidR="00656368" w:rsidRDefault="00656368" w:rsidP="0007719F">
      <w:pPr>
        <w:pStyle w:val="Prrafodelista"/>
        <w:tabs>
          <w:tab w:val="left" w:pos="993"/>
          <w:tab w:val="left" w:pos="1140"/>
        </w:tabs>
        <w:spacing w:after="0" w:line="240" w:lineRule="atLeast"/>
        <w:ind w:left="993" w:hanging="284"/>
        <w:jc w:val="both"/>
        <w:rPr>
          <w:rFonts w:ascii="Century Gothic" w:hAnsi="Century Gothic"/>
          <w:b/>
          <w:sz w:val="19"/>
          <w:szCs w:val="19"/>
        </w:rPr>
      </w:pPr>
    </w:p>
    <w:p w:rsidR="00656368" w:rsidRPr="00656368" w:rsidRDefault="00656368" w:rsidP="0007719F">
      <w:pPr>
        <w:pStyle w:val="Prrafodelista"/>
        <w:tabs>
          <w:tab w:val="left" w:pos="993"/>
          <w:tab w:val="left" w:pos="1140"/>
        </w:tabs>
        <w:spacing w:after="0" w:line="240" w:lineRule="atLeast"/>
        <w:ind w:left="993" w:hanging="284"/>
        <w:jc w:val="both"/>
        <w:rPr>
          <w:rFonts w:ascii="Century Gothic" w:hAnsi="Century Gothic"/>
          <w:b/>
          <w:sz w:val="19"/>
          <w:szCs w:val="19"/>
        </w:rPr>
      </w:pPr>
      <w:bookmarkStart w:id="0" w:name="_GoBack"/>
      <w:bookmarkEnd w:id="0"/>
    </w:p>
    <w:p w:rsidR="00506878" w:rsidRDefault="00506878" w:rsidP="009F2CC7">
      <w:pPr>
        <w:tabs>
          <w:tab w:val="left" w:pos="1140"/>
        </w:tabs>
        <w:spacing w:after="0" w:line="240" w:lineRule="atLeast"/>
        <w:ind w:left="709"/>
        <w:jc w:val="both"/>
        <w:rPr>
          <w:rFonts w:ascii="Century Gothic" w:hAnsi="Century Gothic"/>
          <w:b/>
          <w:sz w:val="19"/>
          <w:szCs w:val="19"/>
          <w:lang w:val="es-SV"/>
        </w:rPr>
      </w:pPr>
    </w:p>
    <w:p w:rsidR="009F2CC7" w:rsidRPr="00115EC4" w:rsidRDefault="009F2CC7" w:rsidP="009F2CC7">
      <w:pPr>
        <w:pStyle w:val="Prrafodelista"/>
        <w:tabs>
          <w:tab w:val="left" w:pos="3000"/>
        </w:tabs>
        <w:ind w:left="709"/>
        <w:jc w:val="both"/>
        <w:rPr>
          <w:rFonts w:ascii="Century Gothic" w:hAnsi="Century Gothic"/>
          <w:b/>
          <w:sz w:val="19"/>
          <w:szCs w:val="19"/>
          <w:lang w:val="es-SV"/>
        </w:rPr>
      </w:pPr>
      <w:r w:rsidRPr="00115EC4">
        <w:rPr>
          <w:rFonts w:ascii="Century Gothic" w:hAnsi="Century Gothic"/>
          <w:b/>
          <w:sz w:val="19"/>
          <w:szCs w:val="19"/>
          <w:lang w:val="es-SV"/>
        </w:rPr>
        <w:t>POR TANTO:</w:t>
      </w:r>
    </w:p>
    <w:p w:rsidR="009F2CC7" w:rsidRDefault="00B214B7" w:rsidP="009F2CC7">
      <w:pPr>
        <w:pStyle w:val="Prrafodelista"/>
        <w:tabs>
          <w:tab w:val="left" w:pos="284"/>
        </w:tabs>
        <w:ind w:right="441"/>
        <w:jc w:val="both"/>
        <w:rPr>
          <w:rFonts w:ascii="Century Gothic" w:hAnsi="Century Gothic"/>
          <w:sz w:val="19"/>
          <w:szCs w:val="19"/>
          <w:lang w:val="es-MX"/>
        </w:rPr>
      </w:pPr>
      <w:r>
        <w:rPr>
          <w:rFonts w:ascii="Century Gothic" w:hAnsi="Century Gothic"/>
          <w:sz w:val="19"/>
          <w:szCs w:val="19"/>
          <w:lang w:val="es-MX"/>
        </w:rPr>
        <w:t>De conformidad a lo</w:t>
      </w:r>
      <w:r w:rsidR="009F2CC7" w:rsidRPr="005B393D">
        <w:rPr>
          <w:rFonts w:ascii="Century Gothic" w:hAnsi="Century Gothic"/>
          <w:sz w:val="19"/>
          <w:szCs w:val="19"/>
          <w:lang w:val="es-MX"/>
        </w:rPr>
        <w:t xml:space="preserve"> establecido en los Art. 62 y 72 de la Ley de Acceso a la Información Pública.</w:t>
      </w:r>
    </w:p>
    <w:p w:rsidR="009F2CC7" w:rsidRDefault="009F2CC7" w:rsidP="009F2CC7">
      <w:pPr>
        <w:tabs>
          <w:tab w:val="left" w:pos="3000"/>
        </w:tabs>
        <w:jc w:val="both"/>
        <w:rPr>
          <w:rFonts w:ascii="Century Gothic" w:hAnsi="Century Gothic"/>
          <w:b/>
          <w:sz w:val="19"/>
          <w:szCs w:val="19"/>
          <w:lang w:val="es-SV"/>
        </w:rPr>
      </w:pPr>
      <w:r>
        <w:rPr>
          <w:rFonts w:ascii="Century Gothic" w:hAnsi="Century Gothic"/>
          <w:b/>
          <w:sz w:val="19"/>
          <w:szCs w:val="19"/>
          <w:lang w:val="es-SV"/>
        </w:rPr>
        <w:t xml:space="preserve">             </w:t>
      </w:r>
      <w:r w:rsidRPr="005B393D">
        <w:rPr>
          <w:rFonts w:ascii="Century Gothic" w:hAnsi="Century Gothic"/>
          <w:b/>
          <w:sz w:val="19"/>
          <w:szCs w:val="19"/>
          <w:lang w:val="es-SV"/>
        </w:rPr>
        <w:t>SE RESUELVE:</w:t>
      </w:r>
    </w:p>
    <w:p w:rsidR="00DD3CE1" w:rsidRDefault="00DD3CE1" w:rsidP="00DD3CE1">
      <w:pPr>
        <w:pStyle w:val="Prrafodelista"/>
        <w:numPr>
          <w:ilvl w:val="0"/>
          <w:numId w:val="44"/>
        </w:numPr>
        <w:tabs>
          <w:tab w:val="left" w:pos="705"/>
        </w:tabs>
        <w:ind w:left="993" w:hanging="288"/>
        <w:jc w:val="both"/>
        <w:rPr>
          <w:rFonts w:ascii="Century Gothic" w:hAnsi="Century Gothic"/>
          <w:sz w:val="19"/>
          <w:szCs w:val="19"/>
        </w:rPr>
      </w:pPr>
      <w:r>
        <w:rPr>
          <w:rFonts w:ascii="Century Gothic" w:hAnsi="Century Gothic"/>
          <w:sz w:val="19"/>
          <w:szCs w:val="19"/>
        </w:rPr>
        <w:t xml:space="preserve">Informar que actualmente el MITUR se encuentra en la etapa de cumplimiento de las condiciones </w:t>
      </w:r>
      <w:r w:rsidR="0042678E">
        <w:rPr>
          <w:rFonts w:ascii="Century Gothic" w:hAnsi="Century Gothic"/>
          <w:sz w:val="19"/>
          <w:szCs w:val="19"/>
        </w:rPr>
        <w:t xml:space="preserve">especiales </w:t>
      </w:r>
      <w:r>
        <w:rPr>
          <w:rFonts w:ascii="Century Gothic" w:hAnsi="Century Gothic"/>
          <w:sz w:val="19"/>
          <w:szCs w:val="19"/>
        </w:rPr>
        <w:t>previas</w:t>
      </w:r>
      <w:r w:rsidR="00630746">
        <w:rPr>
          <w:rFonts w:ascii="Century Gothic" w:hAnsi="Century Gothic"/>
          <w:sz w:val="19"/>
          <w:szCs w:val="19"/>
        </w:rPr>
        <w:t xml:space="preserve"> al primer desembolso</w:t>
      </w:r>
      <w:r>
        <w:rPr>
          <w:rFonts w:ascii="Century Gothic" w:hAnsi="Century Gothic"/>
          <w:sz w:val="19"/>
          <w:szCs w:val="19"/>
        </w:rPr>
        <w:t xml:space="preserve"> que se establecen en el contrato No.2966/OC-ES entre la República de El Salvador y el Banco Interamericano de Desarrollo (BID</w:t>
      </w:r>
      <w:r w:rsidR="001016CA">
        <w:rPr>
          <w:rFonts w:ascii="Century Gothic" w:hAnsi="Century Gothic"/>
          <w:sz w:val="19"/>
          <w:szCs w:val="19"/>
        </w:rPr>
        <w:t>, que podrá verificarlo</w:t>
      </w:r>
      <w:r>
        <w:rPr>
          <w:rFonts w:ascii="Century Gothic" w:hAnsi="Century Gothic"/>
          <w:sz w:val="19"/>
          <w:szCs w:val="19"/>
        </w:rPr>
        <w:t xml:space="preserve"> en el Diario Oficial Tomo No.407 de fecha 13 de abril de 2015.</w:t>
      </w:r>
      <w:r w:rsidR="001016CA">
        <w:rPr>
          <w:rFonts w:ascii="Century Gothic" w:hAnsi="Century Gothic"/>
          <w:sz w:val="19"/>
          <w:szCs w:val="19"/>
        </w:rPr>
        <w:t xml:space="preserve"> </w:t>
      </w:r>
      <w:r w:rsidR="00656368">
        <w:rPr>
          <w:rFonts w:ascii="Century Gothic" w:hAnsi="Century Gothic"/>
          <w:sz w:val="19"/>
          <w:szCs w:val="19"/>
        </w:rPr>
        <w:t xml:space="preserve"> </w:t>
      </w:r>
      <w:r w:rsidR="00BB32A0">
        <w:rPr>
          <w:rFonts w:ascii="Century Gothic" w:hAnsi="Century Gothic"/>
          <w:sz w:val="19"/>
          <w:szCs w:val="19"/>
        </w:rPr>
        <w:t>(Se anexa nota específica sobre la respuesta en este punto).</w:t>
      </w:r>
    </w:p>
    <w:p w:rsidR="0042678E" w:rsidRDefault="0042678E" w:rsidP="0042678E">
      <w:pPr>
        <w:pStyle w:val="Prrafodelista"/>
        <w:tabs>
          <w:tab w:val="left" w:pos="705"/>
        </w:tabs>
        <w:ind w:left="993"/>
        <w:jc w:val="both"/>
        <w:rPr>
          <w:rFonts w:ascii="Century Gothic" w:hAnsi="Century Gothic"/>
          <w:sz w:val="19"/>
          <w:szCs w:val="19"/>
        </w:rPr>
      </w:pPr>
    </w:p>
    <w:p w:rsidR="00BB32A0" w:rsidRPr="00CF06FD" w:rsidRDefault="0042678E" w:rsidP="002B68E8">
      <w:pPr>
        <w:pStyle w:val="Prrafodelista"/>
        <w:numPr>
          <w:ilvl w:val="0"/>
          <w:numId w:val="44"/>
        </w:numPr>
        <w:tabs>
          <w:tab w:val="left" w:pos="705"/>
        </w:tabs>
        <w:ind w:left="993" w:hanging="288"/>
        <w:jc w:val="both"/>
        <w:rPr>
          <w:rFonts w:ascii="Century Gothic" w:hAnsi="Century Gothic"/>
          <w:sz w:val="19"/>
          <w:szCs w:val="19"/>
        </w:rPr>
      </w:pPr>
      <w:r w:rsidRPr="00CF06FD">
        <w:rPr>
          <w:rFonts w:ascii="Century Gothic" w:hAnsi="Century Gothic"/>
          <w:sz w:val="19"/>
          <w:szCs w:val="19"/>
        </w:rPr>
        <w:t xml:space="preserve">Que el MITUR como ente ejecutor se encuentra en la etapa de cumplimiento de las Condiciones Previas al primer desembolso según lo establece el contrato en la </w:t>
      </w:r>
      <w:r w:rsidR="00BB32A0" w:rsidRPr="00CF06FD">
        <w:rPr>
          <w:rFonts w:ascii="Century Gothic" w:hAnsi="Century Gothic"/>
          <w:sz w:val="19"/>
          <w:szCs w:val="19"/>
        </w:rPr>
        <w:t>Cláusula</w:t>
      </w:r>
      <w:r w:rsidRPr="00CF06FD">
        <w:rPr>
          <w:rFonts w:ascii="Century Gothic" w:hAnsi="Century Gothic"/>
          <w:sz w:val="19"/>
          <w:szCs w:val="19"/>
        </w:rPr>
        <w:t xml:space="preserve"> </w:t>
      </w:r>
      <w:r w:rsidR="00BB32A0" w:rsidRPr="00CF06FD">
        <w:rPr>
          <w:rFonts w:ascii="Century Gothic" w:hAnsi="Century Gothic"/>
          <w:sz w:val="19"/>
          <w:szCs w:val="19"/>
        </w:rPr>
        <w:t>3.02, por lo tanto el Banco no ha otorgado el primer desembolso, por ende no se cuen</w:t>
      </w:r>
      <w:r w:rsidR="00CF06FD">
        <w:rPr>
          <w:rFonts w:ascii="Century Gothic" w:hAnsi="Century Gothic"/>
          <w:sz w:val="19"/>
          <w:szCs w:val="19"/>
        </w:rPr>
        <w:t>ta con la tabla de amortización.</w:t>
      </w:r>
    </w:p>
    <w:p w:rsidR="00BB32A0" w:rsidRPr="00BB32A0" w:rsidRDefault="00BB32A0" w:rsidP="00BB32A0">
      <w:pPr>
        <w:pStyle w:val="Prrafodelista"/>
        <w:tabs>
          <w:tab w:val="left" w:pos="705"/>
          <w:tab w:val="left" w:pos="3000"/>
        </w:tabs>
        <w:ind w:left="993"/>
        <w:jc w:val="both"/>
        <w:rPr>
          <w:rFonts w:ascii="Century Gothic" w:hAnsi="Century Gothic"/>
          <w:b/>
          <w:sz w:val="19"/>
          <w:szCs w:val="19"/>
          <w:lang w:val="es-SV"/>
        </w:rPr>
      </w:pPr>
    </w:p>
    <w:p w:rsidR="009F2CC7" w:rsidRDefault="009F2CC7" w:rsidP="008C4527">
      <w:pPr>
        <w:tabs>
          <w:tab w:val="left" w:pos="3000"/>
        </w:tabs>
        <w:ind w:left="708"/>
        <w:jc w:val="both"/>
        <w:rPr>
          <w:rFonts w:ascii="Century Gothic" w:hAnsi="Century Gothic"/>
          <w:sz w:val="19"/>
          <w:szCs w:val="19"/>
          <w:lang w:val="es-SV"/>
        </w:rPr>
      </w:pPr>
      <w:r w:rsidRPr="00833B53">
        <w:rPr>
          <w:rFonts w:ascii="Century Gothic" w:hAnsi="Century Gothic"/>
          <w:sz w:val="19"/>
          <w:szCs w:val="19"/>
          <w:lang w:val="es-SV"/>
        </w:rPr>
        <w:t>Por lo tanto se hace entrega de dicha información, en esta misma fecha, a través de correo electrónico consign</w:t>
      </w:r>
      <w:r>
        <w:rPr>
          <w:rFonts w:ascii="Century Gothic" w:hAnsi="Century Gothic"/>
          <w:sz w:val="19"/>
          <w:szCs w:val="19"/>
          <w:lang w:val="es-SV"/>
        </w:rPr>
        <w:t xml:space="preserve">ado para recibir notificaciones </w:t>
      </w:r>
      <w:r w:rsidR="00DC7B49" w:rsidRPr="00236CF5">
        <w:rPr>
          <w:rFonts w:ascii="Century Gothic" w:hAnsi="Century Gothic"/>
          <w:sz w:val="19"/>
          <w:szCs w:val="19"/>
          <w:highlight w:val="black"/>
          <w:lang w:val="es-SV"/>
        </w:rPr>
        <w:t>xxxxxxxx</w:t>
      </w:r>
    </w:p>
    <w:p w:rsidR="009F2CC7" w:rsidRDefault="009F2CC7" w:rsidP="009F2CC7">
      <w:pPr>
        <w:tabs>
          <w:tab w:val="left" w:pos="3000"/>
        </w:tabs>
        <w:jc w:val="both"/>
        <w:rPr>
          <w:rFonts w:ascii="Century Gothic" w:hAnsi="Century Gothic"/>
          <w:sz w:val="19"/>
          <w:szCs w:val="19"/>
          <w:lang w:val="es-SV"/>
        </w:rPr>
      </w:pPr>
    </w:p>
    <w:p w:rsidR="009F2CC7" w:rsidRDefault="009F2CC7" w:rsidP="009F2CC7">
      <w:pPr>
        <w:pStyle w:val="Textosinformato"/>
        <w:jc w:val="center"/>
        <w:rPr>
          <w:rFonts w:ascii="Century Gothic" w:hAnsi="Century Gothic"/>
          <w:sz w:val="19"/>
          <w:szCs w:val="19"/>
        </w:rPr>
      </w:pPr>
    </w:p>
    <w:p w:rsidR="00236CF5" w:rsidRDefault="00236CF5" w:rsidP="00236CF5">
      <w:pPr>
        <w:ind w:left="704"/>
        <w:jc w:val="both"/>
        <w:rPr>
          <w:rFonts w:ascii="Century Gothic" w:hAnsi="Century Gothic"/>
          <w:lang w:val="es-SV"/>
        </w:rPr>
      </w:pPr>
    </w:p>
    <w:p w:rsidR="00F30A2D" w:rsidRDefault="00F30A2D" w:rsidP="00F30A2D">
      <w:pPr>
        <w:pStyle w:val="Textosinformato"/>
        <w:jc w:val="center"/>
        <w:rPr>
          <w:rFonts w:ascii="Century Gothic" w:hAnsi="Century Gothic"/>
          <w:sz w:val="20"/>
          <w:szCs w:val="20"/>
        </w:rPr>
      </w:pPr>
      <w:r>
        <w:rPr>
          <w:rFonts w:ascii="Century Gothic" w:hAnsi="Century Gothic"/>
          <w:sz w:val="20"/>
          <w:szCs w:val="20"/>
        </w:rPr>
        <w:t>Firma: Glenda de Cáceres</w:t>
      </w:r>
    </w:p>
    <w:p w:rsidR="00F30A2D" w:rsidRDefault="00F30A2D" w:rsidP="00F30A2D">
      <w:pPr>
        <w:pStyle w:val="Textosinformato"/>
        <w:jc w:val="center"/>
        <w:rPr>
          <w:rFonts w:ascii="Century Gothic" w:hAnsi="Century Gothic"/>
          <w:sz w:val="20"/>
          <w:szCs w:val="20"/>
        </w:rPr>
      </w:pPr>
      <w:r>
        <w:rPr>
          <w:rFonts w:ascii="Century Gothic" w:hAnsi="Century Gothic"/>
          <w:sz w:val="20"/>
          <w:szCs w:val="20"/>
        </w:rPr>
        <w:t>Oficial de Información Ad honorem</w:t>
      </w:r>
    </w:p>
    <w:p w:rsidR="00F30A2D" w:rsidRDefault="00F30A2D" w:rsidP="00F30A2D">
      <w:pPr>
        <w:pStyle w:val="Textosinformato"/>
        <w:jc w:val="center"/>
        <w:rPr>
          <w:rFonts w:ascii="Century Gothic" w:hAnsi="Century Gothic"/>
          <w:sz w:val="20"/>
          <w:szCs w:val="20"/>
        </w:rPr>
      </w:pPr>
      <w:r>
        <w:rPr>
          <w:rFonts w:ascii="Century Gothic" w:hAnsi="Century Gothic"/>
          <w:sz w:val="20"/>
          <w:szCs w:val="20"/>
        </w:rPr>
        <w:t>Unidad de Acceso a la Información Pública</w:t>
      </w:r>
    </w:p>
    <w:p w:rsidR="00F30A2D" w:rsidRDefault="00F30A2D" w:rsidP="00F30A2D">
      <w:pPr>
        <w:pStyle w:val="Textosinformato"/>
        <w:jc w:val="both"/>
        <w:rPr>
          <w:rFonts w:ascii="Century Gothic" w:hAnsi="Century Gothic"/>
          <w:sz w:val="20"/>
          <w:szCs w:val="20"/>
        </w:rPr>
      </w:pPr>
    </w:p>
    <w:p w:rsidR="00F30A2D" w:rsidRDefault="00F30A2D" w:rsidP="00F30A2D">
      <w:pPr>
        <w:pStyle w:val="Textosinformato"/>
        <w:jc w:val="both"/>
        <w:rPr>
          <w:rFonts w:ascii="Century Gothic" w:hAnsi="Century Gothic"/>
          <w:sz w:val="20"/>
          <w:szCs w:val="20"/>
        </w:rPr>
      </w:pPr>
    </w:p>
    <w:p w:rsidR="00236CF5" w:rsidRDefault="00236CF5" w:rsidP="00236CF5">
      <w:pPr>
        <w:pStyle w:val="Textosinformato"/>
        <w:jc w:val="center"/>
        <w:rPr>
          <w:rFonts w:ascii="Century Gothic" w:hAnsi="Century Gothic"/>
          <w:sz w:val="20"/>
          <w:szCs w:val="20"/>
        </w:rPr>
      </w:pPr>
    </w:p>
    <w:p w:rsidR="00236CF5" w:rsidRDefault="00236CF5" w:rsidP="00236CF5">
      <w:pPr>
        <w:pStyle w:val="Textosinformato"/>
        <w:jc w:val="both"/>
        <w:rPr>
          <w:rFonts w:ascii="Century Gothic" w:hAnsi="Century Gothic"/>
          <w:sz w:val="20"/>
          <w:szCs w:val="20"/>
        </w:rPr>
      </w:pPr>
    </w:p>
    <w:p w:rsidR="00236CF5" w:rsidRDefault="00236CF5" w:rsidP="00236CF5">
      <w:pPr>
        <w:pStyle w:val="Textosinformato"/>
        <w:jc w:val="both"/>
        <w:rPr>
          <w:rFonts w:ascii="Century Gothic" w:hAnsi="Century Gothic"/>
          <w:sz w:val="20"/>
          <w:szCs w:val="20"/>
        </w:rPr>
      </w:pPr>
    </w:p>
    <w:p w:rsidR="009F2CC7" w:rsidRPr="00236CF5" w:rsidRDefault="00236CF5" w:rsidP="00236CF5">
      <w:pPr>
        <w:pStyle w:val="Textosinformato"/>
        <w:jc w:val="both"/>
        <w:rPr>
          <w:rFonts w:ascii="Century Gothic" w:hAnsi="Century Gothic"/>
          <w:sz w:val="20"/>
          <w:szCs w:val="20"/>
        </w:rPr>
      </w:pPr>
      <w:r>
        <w:rPr>
          <w:rFonts w:ascii="Century Gothic" w:hAnsi="Century Gothic"/>
          <w:b/>
          <w:sz w:val="20"/>
          <w:szCs w:val="20"/>
          <w:u w:val="single"/>
        </w:rPr>
        <w:t>Nota</w:t>
      </w:r>
      <w:r>
        <w:rPr>
          <w:rFonts w:ascii="Century Gothic" w:hAnsi="Century Gothic"/>
          <w:sz w:val="20"/>
          <w:szCs w:val="20"/>
        </w:rPr>
        <w:t xml:space="preserve">: Con base en los Art. 24, 25 y 30 de la Ley de Acceso a la Información Pública. Se ha suprimido el nombre del solicitante, número de Documento Único de Identidad DUI y correo electrónico de contacto.  </w:t>
      </w:r>
      <w:r>
        <w:rPr>
          <w:rFonts w:ascii="Century Gothic" w:hAnsi="Century Gothic"/>
          <w:sz w:val="20"/>
          <w:szCs w:val="20"/>
        </w:rPr>
        <w:tab/>
      </w:r>
    </w:p>
    <w:sectPr w:rsidR="009F2CC7" w:rsidRPr="00236CF5"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2E" w:rsidRDefault="00791B2E" w:rsidP="00C55328">
      <w:pPr>
        <w:spacing w:after="0" w:line="240" w:lineRule="auto"/>
      </w:pPr>
      <w:r>
        <w:separator/>
      </w:r>
    </w:p>
  </w:endnote>
  <w:endnote w:type="continuationSeparator" w:id="0">
    <w:p w:rsidR="00791B2E" w:rsidRDefault="00791B2E" w:rsidP="00C55328">
      <w:pPr>
        <w:spacing w:after="0" w:line="240" w:lineRule="auto"/>
      </w:pPr>
      <w:r>
        <w:continuationSeparator/>
      </w:r>
    </w:p>
  </w:endnote>
  <w:endnote w:type="continuationNotice" w:id="1">
    <w:p w:rsidR="00791B2E" w:rsidRDefault="00791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2E" w:rsidRDefault="00791B2E" w:rsidP="00C55328">
      <w:pPr>
        <w:spacing w:after="0" w:line="240" w:lineRule="auto"/>
      </w:pPr>
      <w:r>
        <w:separator/>
      </w:r>
    </w:p>
  </w:footnote>
  <w:footnote w:type="continuationSeparator" w:id="0">
    <w:p w:rsidR="00791B2E" w:rsidRDefault="00791B2E" w:rsidP="00C55328">
      <w:pPr>
        <w:spacing w:after="0" w:line="240" w:lineRule="auto"/>
      </w:pPr>
      <w:r>
        <w:continuationSeparator/>
      </w:r>
    </w:p>
  </w:footnote>
  <w:footnote w:type="continuationNotice" w:id="1">
    <w:p w:rsidR="00791B2E" w:rsidRDefault="00791B2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E80"/>
    <w:multiLevelType w:val="hybridMultilevel"/>
    <w:tmpl w:val="ADA8AD1A"/>
    <w:lvl w:ilvl="0" w:tplc="AEF0DF6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01E858B0"/>
    <w:multiLevelType w:val="hybridMultilevel"/>
    <w:tmpl w:val="41747C96"/>
    <w:lvl w:ilvl="0" w:tplc="D3DA0DE4">
      <w:start w:val="1"/>
      <w:numFmt w:val="bullet"/>
      <w:lvlText w:val=""/>
      <w:lvlJc w:val="left"/>
      <w:pPr>
        <w:ind w:left="1429" w:hanging="360"/>
      </w:pPr>
      <w:rPr>
        <w:rFonts w:ascii="Symbol" w:hAnsi="Symbol" w:hint="default"/>
        <w:color w:val="auto"/>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2756573"/>
    <w:multiLevelType w:val="hybridMultilevel"/>
    <w:tmpl w:val="426CB56E"/>
    <w:lvl w:ilvl="0" w:tplc="F2149FC2">
      <w:start w:val="1"/>
      <w:numFmt w:val="upperRoman"/>
      <w:lvlText w:val="%1."/>
      <w:lvlJc w:val="left"/>
      <w:pPr>
        <w:ind w:left="1710" w:hanging="720"/>
      </w:pPr>
      <w:rPr>
        <w:rFonts w:asciiTheme="minorHAnsi" w:hAnsiTheme="minorHAnsi" w:hint="default"/>
        <w:sz w:val="22"/>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3" w15:restartNumberingAfterBreak="0">
    <w:nsid w:val="03BF6C29"/>
    <w:multiLevelType w:val="hybridMultilevel"/>
    <w:tmpl w:val="097E88E4"/>
    <w:lvl w:ilvl="0" w:tplc="41BC4EB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15:restartNumberingAfterBreak="0">
    <w:nsid w:val="06592B5B"/>
    <w:multiLevelType w:val="hybridMultilevel"/>
    <w:tmpl w:val="AD285942"/>
    <w:lvl w:ilvl="0" w:tplc="FDF8CA2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0A1E527B"/>
    <w:multiLevelType w:val="hybridMultilevel"/>
    <w:tmpl w:val="AD7E6028"/>
    <w:lvl w:ilvl="0" w:tplc="440A0011">
      <w:start w:val="1"/>
      <w:numFmt w:val="decimal"/>
      <w:lvlText w:val="%1)"/>
      <w:lvlJc w:val="left"/>
      <w:pPr>
        <w:ind w:left="92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A21565C"/>
    <w:multiLevelType w:val="hybridMultilevel"/>
    <w:tmpl w:val="870A2C5C"/>
    <w:lvl w:ilvl="0" w:tplc="8656102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13D172F6"/>
    <w:multiLevelType w:val="hybridMultilevel"/>
    <w:tmpl w:val="1C1496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9B7D2C"/>
    <w:multiLevelType w:val="hybridMultilevel"/>
    <w:tmpl w:val="BA561676"/>
    <w:lvl w:ilvl="0" w:tplc="26304858">
      <w:numFmt w:val="bullet"/>
      <w:lvlText w:val="-"/>
      <w:lvlJc w:val="left"/>
      <w:pPr>
        <w:ind w:left="1080" w:hanging="360"/>
      </w:pPr>
      <w:rPr>
        <w:rFonts w:ascii="Century Gothic" w:eastAsiaTheme="minorHAnsi" w:hAnsi="Century Gothic"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167777D4"/>
    <w:multiLevelType w:val="hybridMultilevel"/>
    <w:tmpl w:val="8D00A4E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6AC69E7"/>
    <w:multiLevelType w:val="hybridMultilevel"/>
    <w:tmpl w:val="5D2603A4"/>
    <w:lvl w:ilvl="0" w:tplc="B10A8082">
      <w:start w:val="1"/>
      <w:numFmt w:val="upperRoman"/>
      <w:lvlText w:val="%1."/>
      <w:lvlJc w:val="left"/>
      <w:pPr>
        <w:ind w:left="1425" w:hanging="720"/>
      </w:pPr>
      <w:rPr>
        <w:rFonts w:asciiTheme="minorHAnsi" w:hAnsiTheme="minorHAnsi" w:hint="default"/>
        <w:b w:val="0"/>
        <w:sz w:val="22"/>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1" w15:restartNumberingAfterBreak="0">
    <w:nsid w:val="182D240C"/>
    <w:multiLevelType w:val="hybridMultilevel"/>
    <w:tmpl w:val="3162CEF4"/>
    <w:lvl w:ilvl="0" w:tplc="298EAC6C">
      <w:start w:val="5"/>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0B61B58"/>
    <w:multiLevelType w:val="hybridMultilevel"/>
    <w:tmpl w:val="78E6A8F0"/>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19B64D0"/>
    <w:multiLevelType w:val="hybridMultilevel"/>
    <w:tmpl w:val="24CC27DC"/>
    <w:lvl w:ilvl="0" w:tplc="BD6ED378">
      <w:start w:val="1"/>
      <w:numFmt w:val="lowerLetter"/>
      <w:lvlText w:val="%1)"/>
      <w:lvlJc w:val="lef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 w15:restartNumberingAfterBreak="0">
    <w:nsid w:val="22572457"/>
    <w:multiLevelType w:val="hybridMultilevel"/>
    <w:tmpl w:val="BC1637E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15:restartNumberingAfterBreak="0">
    <w:nsid w:val="248C4B5C"/>
    <w:multiLevelType w:val="hybridMultilevel"/>
    <w:tmpl w:val="7092E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78D11D4"/>
    <w:multiLevelType w:val="hybridMultilevel"/>
    <w:tmpl w:val="2CB6A4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5B2E81"/>
    <w:multiLevelType w:val="hybridMultilevel"/>
    <w:tmpl w:val="0E263254"/>
    <w:lvl w:ilvl="0" w:tplc="1FE6044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F00526F"/>
    <w:multiLevelType w:val="hybridMultilevel"/>
    <w:tmpl w:val="884C59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7FB5921"/>
    <w:multiLevelType w:val="hybridMultilevel"/>
    <w:tmpl w:val="F17E0E6E"/>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A725B99"/>
    <w:multiLevelType w:val="hybridMultilevel"/>
    <w:tmpl w:val="6A3046F4"/>
    <w:lvl w:ilvl="0" w:tplc="B37417B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2A43DE6"/>
    <w:multiLevelType w:val="hybridMultilevel"/>
    <w:tmpl w:val="BC5219A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6517CE"/>
    <w:multiLevelType w:val="hybridMultilevel"/>
    <w:tmpl w:val="07CC9E5E"/>
    <w:lvl w:ilvl="0" w:tplc="BEC40D7E">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 w15:restartNumberingAfterBreak="0">
    <w:nsid w:val="487A3B07"/>
    <w:multiLevelType w:val="hybridMultilevel"/>
    <w:tmpl w:val="F90CC2B8"/>
    <w:lvl w:ilvl="0" w:tplc="C21EB470">
      <w:start w:val="1"/>
      <w:numFmt w:val="upperRoman"/>
      <w:lvlText w:val="%1."/>
      <w:lvlJc w:val="left"/>
      <w:pPr>
        <w:ind w:left="1428" w:hanging="72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4A5D0935"/>
    <w:multiLevelType w:val="hybridMultilevel"/>
    <w:tmpl w:val="42A8BC76"/>
    <w:lvl w:ilvl="0" w:tplc="8BEE93F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547B3D80"/>
    <w:multiLevelType w:val="hybridMultilevel"/>
    <w:tmpl w:val="B2609546"/>
    <w:lvl w:ilvl="0" w:tplc="03D67E9A">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54B454ED"/>
    <w:multiLevelType w:val="hybridMultilevel"/>
    <w:tmpl w:val="436604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4F507C3"/>
    <w:multiLevelType w:val="hybridMultilevel"/>
    <w:tmpl w:val="648016FA"/>
    <w:lvl w:ilvl="0" w:tplc="ED70905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57B74C9B"/>
    <w:multiLevelType w:val="hybridMultilevel"/>
    <w:tmpl w:val="22D0FA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94E5EB3"/>
    <w:multiLevelType w:val="hybridMultilevel"/>
    <w:tmpl w:val="31E2056E"/>
    <w:lvl w:ilvl="0" w:tplc="1BD4D9B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5CB54D84"/>
    <w:multiLevelType w:val="hybridMultilevel"/>
    <w:tmpl w:val="3D5691AA"/>
    <w:lvl w:ilvl="0" w:tplc="A3E4E372">
      <w:start w:val="1"/>
      <w:numFmt w:val="decimal"/>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15:restartNumberingAfterBreak="0">
    <w:nsid w:val="62BA5177"/>
    <w:multiLevelType w:val="hybridMultilevel"/>
    <w:tmpl w:val="56F674D4"/>
    <w:lvl w:ilvl="0" w:tplc="5FBAFCC0">
      <w:start w:val="1"/>
      <w:numFmt w:val="lowerLetter"/>
      <w:lvlText w:val="%1)"/>
      <w:lvlJc w:val="left"/>
      <w:pPr>
        <w:ind w:left="1065" w:hanging="705"/>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34E74D6"/>
    <w:multiLevelType w:val="hybridMultilevel"/>
    <w:tmpl w:val="F0EC18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15:restartNumberingAfterBreak="0">
    <w:nsid w:val="63C8410D"/>
    <w:multiLevelType w:val="hybridMultilevel"/>
    <w:tmpl w:val="39F82E90"/>
    <w:lvl w:ilvl="0" w:tplc="B678902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52210C8"/>
    <w:multiLevelType w:val="hybridMultilevel"/>
    <w:tmpl w:val="B22A8CB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ABA2752"/>
    <w:multiLevelType w:val="hybridMultilevel"/>
    <w:tmpl w:val="6922D1DC"/>
    <w:lvl w:ilvl="0" w:tplc="440A0013">
      <w:start w:val="1"/>
      <w:numFmt w:val="upperRoman"/>
      <w:lvlText w:val="%1."/>
      <w:lvlJc w:val="righ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15:restartNumberingAfterBreak="0">
    <w:nsid w:val="71411CB3"/>
    <w:multiLevelType w:val="hybridMultilevel"/>
    <w:tmpl w:val="6E4CE6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15:restartNumberingAfterBreak="0">
    <w:nsid w:val="75C901A0"/>
    <w:multiLevelType w:val="hybridMultilevel"/>
    <w:tmpl w:val="6A2EC886"/>
    <w:lvl w:ilvl="0" w:tplc="33386BD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600375"/>
    <w:multiLevelType w:val="hybridMultilevel"/>
    <w:tmpl w:val="84B4520A"/>
    <w:lvl w:ilvl="0" w:tplc="3E80FED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7D74907"/>
    <w:multiLevelType w:val="hybridMultilevel"/>
    <w:tmpl w:val="C4628918"/>
    <w:lvl w:ilvl="0" w:tplc="0B2022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ACF1E2F"/>
    <w:multiLevelType w:val="hybridMultilevel"/>
    <w:tmpl w:val="4808ED68"/>
    <w:lvl w:ilvl="0" w:tplc="E33630D2">
      <w:start w:val="1"/>
      <w:numFmt w:val="upperRoman"/>
      <w:lvlText w:val="%1."/>
      <w:lvlJc w:val="left"/>
      <w:pPr>
        <w:ind w:left="1080" w:hanging="720"/>
      </w:pPr>
      <w:rPr>
        <w:rFonts w:asciiTheme="minorHAnsi" w:hAnsiTheme="minorHAnsi"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DA503BF"/>
    <w:multiLevelType w:val="hybridMultilevel"/>
    <w:tmpl w:val="81561EAC"/>
    <w:lvl w:ilvl="0" w:tplc="AB4865D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 w15:restartNumberingAfterBreak="0">
    <w:nsid w:val="7DFA3A63"/>
    <w:multiLevelType w:val="hybridMultilevel"/>
    <w:tmpl w:val="2ACAD1B4"/>
    <w:lvl w:ilvl="0" w:tplc="6FC2F2C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F7B71BE"/>
    <w:multiLevelType w:val="hybridMultilevel"/>
    <w:tmpl w:val="D4D2F8DE"/>
    <w:lvl w:ilvl="0" w:tplc="3F68F0D6">
      <w:start w:val="1"/>
      <w:numFmt w:val="upperRoman"/>
      <w:lvlText w:val="%1."/>
      <w:lvlJc w:val="left"/>
      <w:pPr>
        <w:ind w:left="1080" w:hanging="720"/>
      </w:pPr>
      <w:rPr>
        <w:rFonts w:asciiTheme="minorHAnsi" w:hAnsiTheme="minorHAns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28"/>
  </w:num>
  <w:num w:numId="3">
    <w:abstractNumId w:val="19"/>
  </w:num>
  <w:num w:numId="4">
    <w:abstractNumId w:val="31"/>
  </w:num>
  <w:num w:numId="5">
    <w:abstractNumId w:val="12"/>
  </w:num>
  <w:num w:numId="6">
    <w:abstractNumId w:val="15"/>
  </w:num>
  <w:num w:numId="7">
    <w:abstractNumId w:val="34"/>
  </w:num>
  <w:num w:numId="8">
    <w:abstractNumId w:val="20"/>
  </w:num>
  <w:num w:numId="9">
    <w:abstractNumId w:val="42"/>
  </w:num>
  <w:num w:numId="10">
    <w:abstractNumId w:val="39"/>
  </w:num>
  <w:num w:numId="11">
    <w:abstractNumId w:val="37"/>
  </w:num>
  <w:num w:numId="12">
    <w:abstractNumId w:val="7"/>
  </w:num>
  <w:num w:numId="13">
    <w:abstractNumId w:val="25"/>
  </w:num>
  <w:num w:numId="14">
    <w:abstractNumId w:val="17"/>
  </w:num>
  <w:num w:numId="15">
    <w:abstractNumId w:val="8"/>
  </w:num>
  <w:num w:numId="16">
    <w:abstractNumId w:val="24"/>
  </w:num>
  <w:num w:numId="17">
    <w:abstractNumId w:val="18"/>
  </w:num>
  <w:num w:numId="18">
    <w:abstractNumId w:val="30"/>
  </w:num>
  <w:num w:numId="19">
    <w:abstractNumId w:val="6"/>
  </w:num>
  <w:num w:numId="20">
    <w:abstractNumId w:val="26"/>
  </w:num>
  <w:num w:numId="21">
    <w:abstractNumId w:val="35"/>
  </w:num>
  <w:num w:numId="22">
    <w:abstractNumId w:val="21"/>
  </w:num>
  <w:num w:numId="23">
    <w:abstractNumId w:val="33"/>
  </w:num>
  <w:num w:numId="24">
    <w:abstractNumId w:val="13"/>
  </w:num>
  <w:num w:numId="25">
    <w:abstractNumId w:val="11"/>
  </w:num>
  <w:num w:numId="26">
    <w:abstractNumId w:val="29"/>
  </w:num>
  <w:num w:numId="27">
    <w:abstractNumId w:val="4"/>
  </w:num>
  <w:num w:numId="28">
    <w:abstractNumId w:val="32"/>
  </w:num>
  <w:num w:numId="29">
    <w:abstractNumId w:val="9"/>
  </w:num>
  <w:num w:numId="30">
    <w:abstractNumId w:val="36"/>
  </w:num>
  <w:num w:numId="31">
    <w:abstractNumId w:val="14"/>
  </w:num>
  <w:num w:numId="32">
    <w:abstractNumId w:val="1"/>
  </w:num>
  <w:num w:numId="33">
    <w:abstractNumId w:val="41"/>
  </w:num>
  <w:num w:numId="34">
    <w:abstractNumId w:val="5"/>
  </w:num>
  <w:num w:numId="35">
    <w:abstractNumId w:val="22"/>
  </w:num>
  <w:num w:numId="36">
    <w:abstractNumId w:val="27"/>
  </w:num>
  <w:num w:numId="37">
    <w:abstractNumId w:val="0"/>
  </w:num>
  <w:num w:numId="38">
    <w:abstractNumId w:val="3"/>
  </w:num>
  <w:num w:numId="39">
    <w:abstractNumId w:val="38"/>
  </w:num>
  <w:num w:numId="40">
    <w:abstractNumId w:val="40"/>
  </w:num>
  <w:num w:numId="41">
    <w:abstractNumId w:val="43"/>
  </w:num>
  <w:num w:numId="42">
    <w:abstractNumId w:val="2"/>
  </w:num>
  <w:num w:numId="43">
    <w:abstractNumId w:val="2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62A59"/>
    <w:rsid w:val="0007719F"/>
    <w:rsid w:val="00081D73"/>
    <w:rsid w:val="0008275D"/>
    <w:rsid w:val="00095CC3"/>
    <w:rsid w:val="000A4F6C"/>
    <w:rsid w:val="000C5B97"/>
    <w:rsid w:val="000D31C6"/>
    <w:rsid w:val="000E522A"/>
    <w:rsid w:val="001016CA"/>
    <w:rsid w:val="00102D68"/>
    <w:rsid w:val="00115EC4"/>
    <w:rsid w:val="00126A1D"/>
    <w:rsid w:val="00133676"/>
    <w:rsid w:val="0013521F"/>
    <w:rsid w:val="00135420"/>
    <w:rsid w:val="001525DC"/>
    <w:rsid w:val="00157E9F"/>
    <w:rsid w:val="00164F9B"/>
    <w:rsid w:val="00184098"/>
    <w:rsid w:val="001919E4"/>
    <w:rsid w:val="00193483"/>
    <w:rsid w:val="00197B9C"/>
    <w:rsid w:val="001A10AD"/>
    <w:rsid w:val="001A48B4"/>
    <w:rsid w:val="001C273F"/>
    <w:rsid w:val="001C5C46"/>
    <w:rsid w:val="001D0DFA"/>
    <w:rsid w:val="001D0E88"/>
    <w:rsid w:val="001D3F66"/>
    <w:rsid w:val="001F352D"/>
    <w:rsid w:val="00200BD5"/>
    <w:rsid w:val="00213ED2"/>
    <w:rsid w:val="0023131A"/>
    <w:rsid w:val="00236CF5"/>
    <w:rsid w:val="00240E1F"/>
    <w:rsid w:val="002659A4"/>
    <w:rsid w:val="00267A31"/>
    <w:rsid w:val="00277FC0"/>
    <w:rsid w:val="002B1251"/>
    <w:rsid w:val="002C117E"/>
    <w:rsid w:val="002D67B0"/>
    <w:rsid w:val="00303F01"/>
    <w:rsid w:val="00311F40"/>
    <w:rsid w:val="00332C23"/>
    <w:rsid w:val="00354B78"/>
    <w:rsid w:val="00362CD7"/>
    <w:rsid w:val="00386BDE"/>
    <w:rsid w:val="003A742C"/>
    <w:rsid w:val="00404C1C"/>
    <w:rsid w:val="0042678E"/>
    <w:rsid w:val="00447AED"/>
    <w:rsid w:val="00452494"/>
    <w:rsid w:val="004541B8"/>
    <w:rsid w:val="00476A8F"/>
    <w:rsid w:val="004925B1"/>
    <w:rsid w:val="004937C6"/>
    <w:rsid w:val="004D3622"/>
    <w:rsid w:val="004E1E97"/>
    <w:rsid w:val="00506878"/>
    <w:rsid w:val="00516AE8"/>
    <w:rsid w:val="0052000B"/>
    <w:rsid w:val="0053538B"/>
    <w:rsid w:val="00545606"/>
    <w:rsid w:val="005500D2"/>
    <w:rsid w:val="005545C2"/>
    <w:rsid w:val="00556ADE"/>
    <w:rsid w:val="00566C30"/>
    <w:rsid w:val="005713DC"/>
    <w:rsid w:val="00573540"/>
    <w:rsid w:val="00585F43"/>
    <w:rsid w:val="005A4EFF"/>
    <w:rsid w:val="005B393D"/>
    <w:rsid w:val="005B3EE6"/>
    <w:rsid w:val="005D44B6"/>
    <w:rsid w:val="005E48F9"/>
    <w:rsid w:val="005F046B"/>
    <w:rsid w:val="005F5A29"/>
    <w:rsid w:val="0061016E"/>
    <w:rsid w:val="00616EF2"/>
    <w:rsid w:val="00630746"/>
    <w:rsid w:val="00634691"/>
    <w:rsid w:val="0063767E"/>
    <w:rsid w:val="00644DA7"/>
    <w:rsid w:val="0065344F"/>
    <w:rsid w:val="00656368"/>
    <w:rsid w:val="00656439"/>
    <w:rsid w:val="00657886"/>
    <w:rsid w:val="006761E0"/>
    <w:rsid w:val="00677C83"/>
    <w:rsid w:val="00681BC6"/>
    <w:rsid w:val="00685371"/>
    <w:rsid w:val="006876ED"/>
    <w:rsid w:val="00691D5B"/>
    <w:rsid w:val="006B2840"/>
    <w:rsid w:val="006B29DD"/>
    <w:rsid w:val="006B5734"/>
    <w:rsid w:val="006B62E8"/>
    <w:rsid w:val="006C6416"/>
    <w:rsid w:val="006F0E18"/>
    <w:rsid w:val="007008F6"/>
    <w:rsid w:val="00720688"/>
    <w:rsid w:val="00732FD5"/>
    <w:rsid w:val="007379A5"/>
    <w:rsid w:val="00743161"/>
    <w:rsid w:val="00752790"/>
    <w:rsid w:val="00791B2E"/>
    <w:rsid w:val="007A0166"/>
    <w:rsid w:val="007B2DF2"/>
    <w:rsid w:val="007C3AFC"/>
    <w:rsid w:val="007D4463"/>
    <w:rsid w:val="007F7AF3"/>
    <w:rsid w:val="00802946"/>
    <w:rsid w:val="0081713C"/>
    <w:rsid w:val="00825757"/>
    <w:rsid w:val="00827311"/>
    <w:rsid w:val="00833B53"/>
    <w:rsid w:val="0086194B"/>
    <w:rsid w:val="00885EB0"/>
    <w:rsid w:val="008B4514"/>
    <w:rsid w:val="008C1BAA"/>
    <w:rsid w:val="008C1FC2"/>
    <w:rsid w:val="008C4527"/>
    <w:rsid w:val="008E1AA2"/>
    <w:rsid w:val="008F1B83"/>
    <w:rsid w:val="008F1E2E"/>
    <w:rsid w:val="00902FF9"/>
    <w:rsid w:val="009051DE"/>
    <w:rsid w:val="00906697"/>
    <w:rsid w:val="00956054"/>
    <w:rsid w:val="009837B1"/>
    <w:rsid w:val="00995CCF"/>
    <w:rsid w:val="009B2F52"/>
    <w:rsid w:val="009C3AD6"/>
    <w:rsid w:val="009E43ED"/>
    <w:rsid w:val="009F2CC7"/>
    <w:rsid w:val="009F307F"/>
    <w:rsid w:val="00A3029B"/>
    <w:rsid w:val="00A34AEB"/>
    <w:rsid w:val="00A41234"/>
    <w:rsid w:val="00A418BD"/>
    <w:rsid w:val="00A6509A"/>
    <w:rsid w:val="00A90E48"/>
    <w:rsid w:val="00A97A55"/>
    <w:rsid w:val="00AA0292"/>
    <w:rsid w:val="00AD29E9"/>
    <w:rsid w:val="00AE062C"/>
    <w:rsid w:val="00AE6740"/>
    <w:rsid w:val="00B203A0"/>
    <w:rsid w:val="00B214B7"/>
    <w:rsid w:val="00B2690A"/>
    <w:rsid w:val="00B30239"/>
    <w:rsid w:val="00B44B93"/>
    <w:rsid w:val="00B706D7"/>
    <w:rsid w:val="00B728C2"/>
    <w:rsid w:val="00BB2B34"/>
    <w:rsid w:val="00BB3098"/>
    <w:rsid w:val="00BB32A0"/>
    <w:rsid w:val="00BC00EC"/>
    <w:rsid w:val="00BC1C8B"/>
    <w:rsid w:val="00BC28D4"/>
    <w:rsid w:val="00BD0913"/>
    <w:rsid w:val="00BD5A04"/>
    <w:rsid w:val="00BE0566"/>
    <w:rsid w:val="00BF5CA1"/>
    <w:rsid w:val="00BF71A1"/>
    <w:rsid w:val="00C03FCB"/>
    <w:rsid w:val="00C051D0"/>
    <w:rsid w:val="00C2190A"/>
    <w:rsid w:val="00C332EF"/>
    <w:rsid w:val="00C34014"/>
    <w:rsid w:val="00C45DB4"/>
    <w:rsid w:val="00C50F7F"/>
    <w:rsid w:val="00C54559"/>
    <w:rsid w:val="00C55328"/>
    <w:rsid w:val="00C613FB"/>
    <w:rsid w:val="00C630F0"/>
    <w:rsid w:val="00C65E78"/>
    <w:rsid w:val="00C709AB"/>
    <w:rsid w:val="00C736F8"/>
    <w:rsid w:val="00C73CA1"/>
    <w:rsid w:val="00C76199"/>
    <w:rsid w:val="00C77506"/>
    <w:rsid w:val="00C949B0"/>
    <w:rsid w:val="00C9754A"/>
    <w:rsid w:val="00CB395A"/>
    <w:rsid w:val="00CD26B9"/>
    <w:rsid w:val="00CD27BC"/>
    <w:rsid w:val="00CE55CB"/>
    <w:rsid w:val="00CE6AC0"/>
    <w:rsid w:val="00CE6C4B"/>
    <w:rsid w:val="00CF06FD"/>
    <w:rsid w:val="00D0355F"/>
    <w:rsid w:val="00D12625"/>
    <w:rsid w:val="00D15654"/>
    <w:rsid w:val="00D20321"/>
    <w:rsid w:val="00D259E2"/>
    <w:rsid w:val="00D275EE"/>
    <w:rsid w:val="00D2786D"/>
    <w:rsid w:val="00D43165"/>
    <w:rsid w:val="00D462FA"/>
    <w:rsid w:val="00D63885"/>
    <w:rsid w:val="00D75E5C"/>
    <w:rsid w:val="00D77349"/>
    <w:rsid w:val="00D81439"/>
    <w:rsid w:val="00D90D04"/>
    <w:rsid w:val="00D924AD"/>
    <w:rsid w:val="00DA4331"/>
    <w:rsid w:val="00DC37CA"/>
    <w:rsid w:val="00DC7B49"/>
    <w:rsid w:val="00DD3CE1"/>
    <w:rsid w:val="00DE3EB0"/>
    <w:rsid w:val="00DE4884"/>
    <w:rsid w:val="00DF5546"/>
    <w:rsid w:val="00E04241"/>
    <w:rsid w:val="00E05CE1"/>
    <w:rsid w:val="00E155B4"/>
    <w:rsid w:val="00E2169C"/>
    <w:rsid w:val="00E22552"/>
    <w:rsid w:val="00E23847"/>
    <w:rsid w:val="00E5015D"/>
    <w:rsid w:val="00E52386"/>
    <w:rsid w:val="00E73FF1"/>
    <w:rsid w:val="00E7514F"/>
    <w:rsid w:val="00E81AC1"/>
    <w:rsid w:val="00E87B3B"/>
    <w:rsid w:val="00E941FE"/>
    <w:rsid w:val="00EA1206"/>
    <w:rsid w:val="00EA1F8A"/>
    <w:rsid w:val="00EB78D8"/>
    <w:rsid w:val="00ED2193"/>
    <w:rsid w:val="00EE138D"/>
    <w:rsid w:val="00EE5DDE"/>
    <w:rsid w:val="00EF4EB8"/>
    <w:rsid w:val="00F02154"/>
    <w:rsid w:val="00F254D0"/>
    <w:rsid w:val="00F30A2D"/>
    <w:rsid w:val="00F31C9A"/>
    <w:rsid w:val="00F509EF"/>
    <w:rsid w:val="00F55AE9"/>
    <w:rsid w:val="00FB77FE"/>
    <w:rsid w:val="00FE7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EC7C2-FEB9-43C1-9BE8-564A8A70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34149">
      <w:bodyDiv w:val="1"/>
      <w:marLeft w:val="0"/>
      <w:marRight w:val="0"/>
      <w:marTop w:val="0"/>
      <w:marBottom w:val="0"/>
      <w:divBdr>
        <w:top w:val="none" w:sz="0" w:space="0" w:color="auto"/>
        <w:left w:val="none" w:sz="0" w:space="0" w:color="auto"/>
        <w:bottom w:val="none" w:sz="0" w:space="0" w:color="auto"/>
        <w:right w:val="none" w:sz="0" w:space="0" w:color="auto"/>
      </w:divBdr>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04470635">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2</cp:revision>
  <cp:lastPrinted>2015-08-20T20:07:00Z</cp:lastPrinted>
  <dcterms:created xsi:type="dcterms:W3CDTF">2016-03-14T17:43:00Z</dcterms:created>
  <dcterms:modified xsi:type="dcterms:W3CDTF">2016-03-14T17:43:00Z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