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A" w:rsidRDefault="00B2690A" w:rsidP="009F2CC7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9F2CC7" w:rsidRPr="00906697" w:rsidRDefault="009F2CC7" w:rsidP="00E05CE1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E05CE1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E05CE1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6EEB">
        <w:rPr>
          <w:b/>
          <w:sz w:val="24"/>
          <w:szCs w:val="24"/>
        </w:rPr>
        <w:t>UAIP-MITUR No.23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516EEB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catorce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horas</w:t>
      </w:r>
      <w:r w:rsidR="004541B8">
        <w:rPr>
          <w:rFonts w:ascii="Century Gothic" w:hAnsi="Century Gothic"/>
          <w:sz w:val="19"/>
          <w:szCs w:val="19"/>
        </w:rPr>
        <w:t xml:space="preserve"> con treinta minutos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1A48B4">
        <w:rPr>
          <w:rFonts w:ascii="Century Gothic" w:hAnsi="Century Gothic"/>
          <w:sz w:val="19"/>
          <w:szCs w:val="19"/>
        </w:rPr>
        <w:t>del día nueve</w:t>
      </w:r>
      <w:r w:rsidR="009F2CC7">
        <w:rPr>
          <w:rFonts w:ascii="Century Gothic" w:hAnsi="Century Gothic"/>
          <w:sz w:val="19"/>
          <w:szCs w:val="19"/>
        </w:rPr>
        <w:t xml:space="preserve"> de </w:t>
      </w:r>
      <w:r w:rsidR="005500D2">
        <w:rPr>
          <w:rFonts w:ascii="Century Gothic" w:hAnsi="Century Gothic"/>
          <w:sz w:val="19"/>
          <w:szCs w:val="19"/>
        </w:rPr>
        <w:t>ju</w:t>
      </w:r>
      <w:r w:rsidR="007A0166">
        <w:rPr>
          <w:rFonts w:ascii="Century Gothic" w:hAnsi="Century Gothic"/>
          <w:sz w:val="19"/>
          <w:szCs w:val="19"/>
        </w:rPr>
        <w:t>l</w:t>
      </w:r>
      <w:r w:rsidR="005500D2">
        <w:rPr>
          <w:rFonts w:ascii="Century Gothic" w:hAnsi="Century Gothic"/>
          <w:sz w:val="19"/>
          <w:szCs w:val="19"/>
        </w:rPr>
        <w:t>io</w:t>
      </w:r>
      <w:r w:rsidR="009F2CC7">
        <w:rPr>
          <w:rFonts w:ascii="Century Gothic" w:hAnsi="Century Gothic"/>
          <w:sz w:val="19"/>
          <w:szCs w:val="19"/>
        </w:rPr>
        <w:t xml:space="preserve"> de dos mil quince, el Ministerio de Turismo</w:t>
      </w:r>
      <w:r w:rsidR="009F2CC7" w:rsidRPr="00A6509A">
        <w:rPr>
          <w:rFonts w:ascii="Century Gothic" w:hAnsi="Century Gothic"/>
          <w:sz w:val="19"/>
          <w:szCs w:val="19"/>
        </w:rPr>
        <w:t xml:space="preserve">, luego de haber recibido y admitido la solicitud de información, presentada ante la Unidad de Acceso a la Información Pública de esta dependencia por parte de </w:t>
      </w:r>
      <w:r w:rsidR="00DB4CCE" w:rsidRPr="00DB4CCE">
        <w:rPr>
          <w:rFonts w:ascii="Century Gothic" w:hAnsi="Century Gothic"/>
          <w:sz w:val="19"/>
          <w:szCs w:val="19"/>
          <w:highlight w:val="black"/>
        </w:rPr>
        <w:t>xxxxxxxxxxxxxx</w:t>
      </w:r>
      <w:r w:rsidR="009F2CC7" w:rsidRPr="00A6509A">
        <w:rPr>
          <w:rFonts w:ascii="Century Gothic" w:hAnsi="Century Gothic"/>
          <w:sz w:val="19"/>
          <w:szCs w:val="19"/>
        </w:rPr>
        <w:t>, con</w:t>
      </w:r>
      <w:r w:rsidR="009F2CC7">
        <w:rPr>
          <w:rFonts w:ascii="Century Gothic" w:hAnsi="Century Gothic"/>
          <w:sz w:val="19"/>
          <w:szCs w:val="19"/>
        </w:rPr>
        <w:t xml:space="preserve"> número de Do</w:t>
      </w:r>
      <w:r w:rsidR="005500D2">
        <w:rPr>
          <w:rFonts w:ascii="Century Gothic" w:hAnsi="Century Gothic"/>
          <w:sz w:val="19"/>
          <w:szCs w:val="19"/>
        </w:rPr>
        <w:t xml:space="preserve">cumento Único de </w:t>
      </w:r>
      <w:r w:rsidR="00906D12" w:rsidRPr="00DB4CCE">
        <w:rPr>
          <w:rFonts w:ascii="Century Gothic" w:hAnsi="Century Gothic"/>
          <w:sz w:val="19"/>
          <w:szCs w:val="19"/>
          <w:highlight w:val="black"/>
        </w:rPr>
        <w:t>xxxxxxxxxxxxxx</w:t>
      </w:r>
      <w:r w:rsidR="005500D2">
        <w:rPr>
          <w:rFonts w:ascii="Century Gothic" w:hAnsi="Century Gothic"/>
          <w:sz w:val="19"/>
          <w:szCs w:val="19"/>
        </w:rPr>
        <w:t>,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9F2CC7">
        <w:rPr>
          <w:rFonts w:ascii="Century Gothic" w:hAnsi="Century Gothic"/>
          <w:sz w:val="19"/>
          <w:szCs w:val="19"/>
        </w:rPr>
        <w:t xml:space="preserve"> y que la información solicitada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9F2CC7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7863CB" w:rsidRDefault="007863CB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7863CB" w:rsidRDefault="007863CB" w:rsidP="007863CB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Empresas que cumplen los requisitos (Según lo que establece la ley y su reglamento) para la obtención de exenciones y los que han sido aprobados para la obtención de exenciones.</w:t>
      </w:r>
    </w:p>
    <w:p w:rsidR="007863CB" w:rsidRDefault="007863CB" w:rsidP="007863CB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rFonts w:ascii="Century Gothic" w:hAnsi="Century Gothic"/>
          <w:sz w:val="19"/>
          <w:szCs w:val="19"/>
        </w:rPr>
      </w:pPr>
    </w:p>
    <w:p w:rsidR="007863CB" w:rsidRPr="007863CB" w:rsidRDefault="007863CB" w:rsidP="007863CB">
      <w:pPr>
        <w:pStyle w:val="Prrafodelista"/>
        <w:numPr>
          <w:ilvl w:val="0"/>
          <w:numId w:val="39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La estimación de la cantidad monetaria de lo que se ahorran por el beneficio de dichas exenciones.</w:t>
      </w:r>
    </w:p>
    <w:p w:rsidR="005500D2" w:rsidRDefault="005500D2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9F2CC7" w:rsidRPr="00545606" w:rsidRDefault="009F2CC7" w:rsidP="009F2CC7">
      <w:pPr>
        <w:tabs>
          <w:tab w:val="left" w:pos="1140"/>
        </w:tabs>
        <w:spacing w:after="0" w:line="240" w:lineRule="atLeast"/>
        <w:ind w:left="709"/>
        <w:jc w:val="both"/>
        <w:rPr>
          <w:sz w:val="19"/>
          <w:szCs w:val="19"/>
        </w:rPr>
      </w:pPr>
    </w:p>
    <w:p w:rsidR="00941517" w:rsidRDefault="007863CB" w:rsidP="007863CB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sz w:val="19"/>
          <w:szCs w:val="19"/>
        </w:rPr>
      </w:pPr>
      <w:r w:rsidRPr="007863CB">
        <w:rPr>
          <w:rFonts w:ascii="Century Gothic" w:hAnsi="Century Gothic"/>
          <w:sz w:val="19"/>
          <w:szCs w:val="19"/>
        </w:rPr>
        <w:t xml:space="preserve">Que los beneficios e incentivos que se establecen </w:t>
      </w:r>
      <w:r>
        <w:rPr>
          <w:rFonts w:ascii="Century Gothic" w:hAnsi="Century Gothic"/>
          <w:sz w:val="19"/>
          <w:szCs w:val="19"/>
        </w:rPr>
        <w:t>en la Ley de Turismo, están dirigidos a promover el desarrollo turístico del país, el incremento de inversiones nacionales y extranjeras para ese fin, y la descentralización y aumento de oportunidades de empleo en zonas turísticas del país.</w:t>
      </w:r>
    </w:p>
    <w:p w:rsidR="00053802" w:rsidRDefault="00053802" w:rsidP="00053802">
      <w:pPr>
        <w:pStyle w:val="Prrafodelista"/>
        <w:ind w:left="1425"/>
        <w:jc w:val="both"/>
        <w:rPr>
          <w:rFonts w:ascii="Century Gothic" w:hAnsi="Century Gothic"/>
          <w:sz w:val="19"/>
          <w:szCs w:val="19"/>
        </w:rPr>
      </w:pPr>
    </w:p>
    <w:p w:rsidR="007863CB" w:rsidRDefault="00053802" w:rsidP="007863CB">
      <w:pPr>
        <w:pStyle w:val="Prrafodelista"/>
        <w:numPr>
          <w:ilvl w:val="0"/>
          <w:numId w:val="41"/>
        </w:numPr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Que se según el Art.23 de la Ley de Turismo será competencia del Órgano Ejecutivo en el Ramo de Hacienda, según sea el caso, ejercer la vigilancia y control del régimen fiscal de las actividades incentivadas.</w:t>
      </w:r>
    </w:p>
    <w:p w:rsidR="00053802" w:rsidRPr="00053802" w:rsidRDefault="00053802" w:rsidP="00053802">
      <w:pPr>
        <w:pStyle w:val="Prrafodelista"/>
        <w:rPr>
          <w:rFonts w:ascii="Century Gothic" w:hAnsi="Century Gothic"/>
          <w:sz w:val="19"/>
          <w:szCs w:val="19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9F2CC7" w:rsidRDefault="00B214B7" w:rsidP="009F2CC7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>
        <w:rPr>
          <w:rFonts w:ascii="Century Gothic" w:hAnsi="Century Gothic"/>
          <w:sz w:val="19"/>
          <w:szCs w:val="19"/>
          <w:lang w:val="es-MX"/>
        </w:rPr>
        <w:t>De conformidad a lo</w:t>
      </w:r>
      <w:r w:rsidR="009F2CC7" w:rsidRPr="005B393D">
        <w:rPr>
          <w:rFonts w:ascii="Century Gothic" w:hAnsi="Century Gothic"/>
          <w:sz w:val="19"/>
          <w:szCs w:val="19"/>
          <w:lang w:val="es-MX"/>
        </w:rPr>
        <w:t xml:space="preserve"> establecido en los Art. 62 y 72 de la Ley de Acceso a la Información Pública.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053802" w:rsidRDefault="00053802" w:rsidP="00053802">
      <w:pPr>
        <w:pStyle w:val="Prrafodelista"/>
        <w:numPr>
          <w:ilvl w:val="0"/>
          <w:numId w:val="4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053802">
        <w:rPr>
          <w:rFonts w:ascii="Century Gothic" w:hAnsi="Century Gothic"/>
          <w:sz w:val="19"/>
          <w:szCs w:val="19"/>
          <w:lang w:val="es-SV"/>
        </w:rPr>
        <w:t>Brindar el detall</w:t>
      </w:r>
      <w:r>
        <w:rPr>
          <w:rFonts w:ascii="Century Gothic" w:hAnsi="Century Gothic"/>
          <w:sz w:val="19"/>
          <w:szCs w:val="19"/>
          <w:lang w:val="es-SV"/>
        </w:rPr>
        <w:t xml:space="preserve">e de los proyectos que han sido aprobados por el Ministerio de Turismo para la obtención de exención de impuestos, amparado en </w:t>
      </w:r>
      <w:r w:rsidR="00D92FC3">
        <w:rPr>
          <w:rFonts w:ascii="Century Gothic" w:hAnsi="Century Gothic"/>
          <w:sz w:val="19"/>
          <w:szCs w:val="19"/>
          <w:lang w:val="es-SV"/>
        </w:rPr>
        <w:t>su calificación como Proyecto de Interés Turístico Nacional. (Se presenta en adjunto)</w:t>
      </w:r>
    </w:p>
    <w:p w:rsidR="00D92FC3" w:rsidRDefault="00D92FC3" w:rsidP="00D92FC3">
      <w:pPr>
        <w:pStyle w:val="Prrafodelista"/>
        <w:tabs>
          <w:tab w:val="left" w:pos="3000"/>
        </w:tabs>
        <w:ind w:left="1068"/>
        <w:jc w:val="both"/>
        <w:rPr>
          <w:rFonts w:ascii="Century Gothic" w:hAnsi="Century Gothic"/>
          <w:sz w:val="19"/>
          <w:szCs w:val="19"/>
          <w:lang w:val="es-SV"/>
        </w:rPr>
      </w:pPr>
    </w:p>
    <w:p w:rsidR="00D92FC3" w:rsidRDefault="00D92FC3" w:rsidP="00053802">
      <w:pPr>
        <w:pStyle w:val="Prrafodelista"/>
        <w:numPr>
          <w:ilvl w:val="0"/>
          <w:numId w:val="4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 xml:space="preserve">Orientar que de acuerdo al Art.23 de la Ley de Turismo compete al Ministerio de Hacienda la vigilancia y control de los inventivos otorgados. </w:t>
      </w:r>
    </w:p>
    <w:p w:rsidR="00D92FC3" w:rsidRPr="00D92FC3" w:rsidRDefault="00D92FC3" w:rsidP="00D92FC3">
      <w:pPr>
        <w:pStyle w:val="Prrafodelista"/>
        <w:rPr>
          <w:rFonts w:ascii="Century Gothic" w:hAnsi="Century Gothic"/>
          <w:sz w:val="19"/>
          <w:szCs w:val="19"/>
          <w:lang w:val="es-SV"/>
        </w:rPr>
      </w:pPr>
    </w:p>
    <w:p w:rsidR="00053802" w:rsidRPr="00685E77" w:rsidRDefault="00685E77" w:rsidP="00685E77">
      <w:pPr>
        <w:pStyle w:val="Prrafodelista"/>
        <w:numPr>
          <w:ilvl w:val="0"/>
          <w:numId w:val="4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Para obtener información sobre las exenciones se le p</w:t>
      </w:r>
      <w:r w:rsidR="00D92FC3" w:rsidRPr="00685E77">
        <w:rPr>
          <w:rFonts w:ascii="Century Gothic" w:hAnsi="Century Gothic"/>
          <w:sz w:val="19"/>
          <w:szCs w:val="19"/>
          <w:lang w:val="es-SV"/>
        </w:rPr>
        <w:t xml:space="preserve">roporciona el contacto del Oficial de Información para que pueda dirigir su solicitud a la Unidad de Acceso a la </w:t>
      </w:r>
      <w:r>
        <w:rPr>
          <w:rFonts w:ascii="Century Gothic" w:hAnsi="Century Gothic"/>
          <w:sz w:val="19"/>
          <w:szCs w:val="19"/>
          <w:lang w:val="es-SV"/>
        </w:rPr>
        <w:t>Información Pública del Ministerio de Hacienda</w:t>
      </w:r>
      <w:r w:rsidR="00D92FC3" w:rsidRPr="00685E77">
        <w:rPr>
          <w:rFonts w:ascii="Century Gothic" w:hAnsi="Century Gothic"/>
          <w:sz w:val="19"/>
          <w:szCs w:val="19"/>
          <w:lang w:val="es-SV"/>
        </w:rPr>
        <w:t>, cuyos datos son: Lic.</w:t>
      </w:r>
      <w:r w:rsidRPr="00685E77">
        <w:rPr>
          <w:rFonts w:ascii="Century Gothic" w:hAnsi="Century Gothic"/>
          <w:sz w:val="19"/>
          <w:szCs w:val="19"/>
          <w:lang w:val="es-SV"/>
        </w:rPr>
        <w:t xml:space="preserve"> Daniel Eliseo Martín</w:t>
      </w:r>
      <w:r w:rsidR="00327DA2">
        <w:rPr>
          <w:rFonts w:ascii="Century Gothic" w:hAnsi="Century Gothic"/>
          <w:sz w:val="19"/>
          <w:szCs w:val="19"/>
          <w:lang w:val="es-SV"/>
        </w:rPr>
        <w:t xml:space="preserve">ez Taura, Dirección: Boulevard </w:t>
      </w:r>
      <w:r w:rsidRPr="00685E77">
        <w:rPr>
          <w:rFonts w:ascii="Century Gothic" w:hAnsi="Century Gothic"/>
          <w:sz w:val="19"/>
          <w:szCs w:val="19"/>
          <w:lang w:val="es-SV"/>
        </w:rPr>
        <w:t xml:space="preserve">Los Héroes, edificio anexo a Secretaría de Estado, Ministerio de Hacienda, correo electrónico </w:t>
      </w:r>
      <w:hyperlink r:id="rId11" w:history="1">
        <w:r w:rsidRPr="00685E77">
          <w:rPr>
            <w:rStyle w:val="Hipervnculo"/>
            <w:rFonts w:ascii="Century Gothic" w:hAnsi="Century Gothic"/>
            <w:sz w:val="19"/>
            <w:szCs w:val="19"/>
            <w:lang w:val="es-SV"/>
          </w:rPr>
          <w:t>oficialdeinformacion@mh.gob.sv</w:t>
        </w:r>
      </w:hyperlink>
      <w:r w:rsidRPr="00685E77">
        <w:rPr>
          <w:rFonts w:ascii="Century Gothic" w:hAnsi="Century Gothic"/>
          <w:sz w:val="19"/>
          <w:szCs w:val="19"/>
          <w:lang w:val="es-SV"/>
        </w:rPr>
        <w:t>, Teléfono: 2244-3830</w:t>
      </w:r>
    </w:p>
    <w:p w:rsidR="00053802" w:rsidRDefault="00053802" w:rsidP="008C4527">
      <w:pPr>
        <w:tabs>
          <w:tab w:val="left" w:pos="3000"/>
        </w:tabs>
        <w:ind w:left="708"/>
        <w:jc w:val="both"/>
        <w:rPr>
          <w:rFonts w:ascii="Century Gothic" w:hAnsi="Century Gothic"/>
          <w:sz w:val="19"/>
          <w:szCs w:val="19"/>
          <w:lang w:val="es-SV"/>
        </w:rPr>
      </w:pPr>
    </w:p>
    <w:p w:rsidR="009F2CC7" w:rsidRDefault="009F2CC7" w:rsidP="008C4527">
      <w:pPr>
        <w:tabs>
          <w:tab w:val="left" w:pos="3000"/>
        </w:tabs>
        <w:ind w:left="708"/>
        <w:jc w:val="both"/>
        <w:rPr>
          <w:rStyle w:val="Hipervnculo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>ado para recibir notificaciones</w:t>
      </w:r>
      <w:r w:rsidR="00906D12">
        <w:t xml:space="preserve">: </w:t>
      </w:r>
      <w:r w:rsidR="00906D12" w:rsidRPr="00DB4CCE">
        <w:rPr>
          <w:highlight w:val="black"/>
        </w:rPr>
        <w:t>xxxxxxxxxxxx</w:t>
      </w:r>
      <w:bookmarkStart w:id="0" w:name="_GoBack"/>
      <w:bookmarkEnd w:id="0"/>
      <w:r w:rsidR="00906D12">
        <w:rPr>
          <w:rStyle w:val="Hipervnculo"/>
          <w:lang w:val="es-SV"/>
        </w:rPr>
        <w:t xml:space="preserve"> </w:t>
      </w:r>
    </w:p>
    <w:p w:rsidR="00DB4CCE" w:rsidRDefault="00DB4CCE" w:rsidP="00DB4CCE">
      <w:pPr>
        <w:ind w:left="704"/>
        <w:jc w:val="both"/>
        <w:rPr>
          <w:rFonts w:ascii="Century Gothic" w:hAnsi="Century Gothic"/>
          <w:lang w:val="es-SV"/>
        </w:rPr>
      </w:pPr>
    </w:p>
    <w:p w:rsidR="00DC5B13" w:rsidRDefault="00DC5B13" w:rsidP="00DC5B13">
      <w:pPr>
        <w:ind w:left="704"/>
        <w:jc w:val="both"/>
        <w:rPr>
          <w:rFonts w:ascii="Century Gothic" w:hAnsi="Century Gothic"/>
          <w:lang w:val="es-SV"/>
        </w:rPr>
      </w:pPr>
    </w:p>
    <w:p w:rsidR="00DC5B13" w:rsidRDefault="00DC5B13" w:rsidP="00DC5B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DC5B13" w:rsidRDefault="00DC5B13" w:rsidP="00DC5B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DC5B13" w:rsidRDefault="00DC5B13" w:rsidP="00DC5B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DB4CCE" w:rsidRDefault="00DB4CCE" w:rsidP="00DB4CCE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DB4CCE" w:rsidRDefault="00DB4CCE" w:rsidP="00DB4CCE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DB4CCE" w:rsidRDefault="00DB4CCE" w:rsidP="00DB4CCE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DB4CCE" w:rsidRDefault="00DB4CCE" w:rsidP="00DB4CCE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9F2CC7" w:rsidRDefault="009F2CC7" w:rsidP="00DB4CCE">
      <w:pPr>
        <w:tabs>
          <w:tab w:val="left" w:pos="1140"/>
        </w:tabs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9F2CC7" w:rsidRDefault="009F2CC7" w:rsidP="009F2CC7">
      <w:pPr>
        <w:tabs>
          <w:tab w:val="left" w:pos="1140"/>
        </w:tabs>
        <w:spacing w:after="0" w:line="240" w:lineRule="atLeast"/>
        <w:ind w:left="709"/>
        <w:jc w:val="both"/>
      </w:pPr>
    </w:p>
    <w:p w:rsidR="00213ED2" w:rsidRPr="00C76199" w:rsidRDefault="00213ED2" w:rsidP="00C01F97">
      <w:pPr>
        <w:rPr>
          <w:rFonts w:ascii="Century Gothic" w:hAnsi="Century Gothic"/>
          <w:sz w:val="20"/>
          <w:szCs w:val="20"/>
        </w:rPr>
      </w:pPr>
    </w:p>
    <w:sectPr w:rsidR="00213ED2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21" w:rsidRDefault="00A70521" w:rsidP="00C55328">
      <w:pPr>
        <w:spacing w:after="0" w:line="240" w:lineRule="auto"/>
      </w:pPr>
      <w:r>
        <w:separator/>
      </w:r>
    </w:p>
  </w:endnote>
  <w:endnote w:type="continuationSeparator" w:id="0">
    <w:p w:rsidR="00A70521" w:rsidRDefault="00A70521" w:rsidP="00C55328">
      <w:pPr>
        <w:spacing w:after="0" w:line="240" w:lineRule="auto"/>
      </w:pPr>
      <w:r>
        <w:continuationSeparator/>
      </w:r>
    </w:p>
  </w:endnote>
  <w:endnote w:type="continuationNotice" w:id="1">
    <w:p w:rsidR="00A70521" w:rsidRDefault="00A70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21" w:rsidRDefault="00A70521" w:rsidP="00C55328">
      <w:pPr>
        <w:spacing w:after="0" w:line="240" w:lineRule="auto"/>
      </w:pPr>
      <w:r>
        <w:separator/>
      </w:r>
    </w:p>
  </w:footnote>
  <w:footnote w:type="continuationSeparator" w:id="0">
    <w:p w:rsidR="00A70521" w:rsidRDefault="00A70521" w:rsidP="00C55328">
      <w:pPr>
        <w:spacing w:after="0" w:line="240" w:lineRule="auto"/>
      </w:pPr>
      <w:r>
        <w:continuationSeparator/>
      </w:r>
    </w:p>
  </w:footnote>
  <w:footnote w:type="continuationNotice" w:id="1">
    <w:p w:rsidR="00A70521" w:rsidRDefault="00A705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7CE"/>
    <w:multiLevelType w:val="hybridMultilevel"/>
    <w:tmpl w:val="07CC9E5E"/>
    <w:lvl w:ilvl="0" w:tplc="BEC40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7C3"/>
    <w:multiLevelType w:val="hybridMultilevel"/>
    <w:tmpl w:val="648016FA"/>
    <w:lvl w:ilvl="0" w:tplc="ED7090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07B68"/>
    <w:multiLevelType w:val="hybridMultilevel"/>
    <w:tmpl w:val="9F2E1EB4"/>
    <w:lvl w:ilvl="0" w:tplc="60FE7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742A"/>
    <w:multiLevelType w:val="hybridMultilevel"/>
    <w:tmpl w:val="C472D68A"/>
    <w:lvl w:ilvl="0" w:tplc="FD44CE3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5266F4"/>
    <w:multiLevelType w:val="hybridMultilevel"/>
    <w:tmpl w:val="B7E08AAE"/>
    <w:lvl w:ilvl="0" w:tplc="8A22C9E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F4F"/>
    <w:multiLevelType w:val="hybridMultilevel"/>
    <w:tmpl w:val="F3500EFA"/>
    <w:lvl w:ilvl="0" w:tplc="27DA5B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41772"/>
    <w:multiLevelType w:val="hybridMultilevel"/>
    <w:tmpl w:val="6FD819B6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2440D"/>
    <w:multiLevelType w:val="hybridMultilevel"/>
    <w:tmpl w:val="AA4EF452"/>
    <w:lvl w:ilvl="0" w:tplc="120CD6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26"/>
  </w:num>
  <w:num w:numId="5">
    <w:abstractNumId w:val="8"/>
  </w:num>
  <w:num w:numId="6">
    <w:abstractNumId w:val="11"/>
  </w:num>
  <w:num w:numId="7">
    <w:abstractNumId w:val="30"/>
  </w:num>
  <w:num w:numId="8">
    <w:abstractNumId w:val="16"/>
  </w:num>
  <w:num w:numId="9">
    <w:abstractNumId w:val="40"/>
  </w:num>
  <w:num w:numId="10">
    <w:abstractNumId w:val="36"/>
  </w:num>
  <w:num w:numId="11">
    <w:abstractNumId w:val="35"/>
  </w:num>
  <w:num w:numId="12">
    <w:abstractNumId w:val="4"/>
  </w:num>
  <w:num w:numId="13">
    <w:abstractNumId w:val="20"/>
  </w:num>
  <w:num w:numId="14">
    <w:abstractNumId w:val="13"/>
  </w:num>
  <w:num w:numId="15">
    <w:abstractNumId w:val="5"/>
  </w:num>
  <w:num w:numId="16">
    <w:abstractNumId w:val="19"/>
  </w:num>
  <w:num w:numId="17">
    <w:abstractNumId w:val="14"/>
  </w:num>
  <w:num w:numId="18">
    <w:abstractNumId w:val="25"/>
  </w:num>
  <w:num w:numId="19">
    <w:abstractNumId w:val="3"/>
  </w:num>
  <w:num w:numId="20">
    <w:abstractNumId w:val="21"/>
  </w:num>
  <w:num w:numId="21">
    <w:abstractNumId w:val="32"/>
  </w:num>
  <w:num w:numId="22">
    <w:abstractNumId w:val="17"/>
  </w:num>
  <w:num w:numId="23">
    <w:abstractNumId w:val="28"/>
  </w:num>
  <w:num w:numId="24">
    <w:abstractNumId w:val="9"/>
  </w:num>
  <w:num w:numId="25">
    <w:abstractNumId w:val="7"/>
  </w:num>
  <w:num w:numId="26">
    <w:abstractNumId w:val="24"/>
  </w:num>
  <w:num w:numId="27">
    <w:abstractNumId w:val="1"/>
  </w:num>
  <w:num w:numId="28">
    <w:abstractNumId w:val="27"/>
  </w:num>
  <w:num w:numId="29">
    <w:abstractNumId w:val="6"/>
  </w:num>
  <w:num w:numId="30">
    <w:abstractNumId w:val="33"/>
  </w:num>
  <w:num w:numId="31">
    <w:abstractNumId w:val="10"/>
  </w:num>
  <w:num w:numId="32">
    <w:abstractNumId w:val="0"/>
  </w:num>
  <w:num w:numId="33">
    <w:abstractNumId w:val="39"/>
  </w:num>
  <w:num w:numId="34">
    <w:abstractNumId w:val="2"/>
  </w:num>
  <w:num w:numId="35">
    <w:abstractNumId w:val="18"/>
  </w:num>
  <w:num w:numId="36">
    <w:abstractNumId w:val="22"/>
  </w:num>
  <w:num w:numId="37">
    <w:abstractNumId w:val="37"/>
  </w:num>
  <w:num w:numId="38">
    <w:abstractNumId w:val="31"/>
  </w:num>
  <w:num w:numId="39">
    <w:abstractNumId w:val="29"/>
  </w:num>
  <w:num w:numId="40">
    <w:abstractNumId w:val="41"/>
  </w:num>
  <w:num w:numId="41">
    <w:abstractNumId w:val="3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53802"/>
    <w:rsid w:val="00081D73"/>
    <w:rsid w:val="0008275D"/>
    <w:rsid w:val="00095CC3"/>
    <w:rsid w:val="000A4F6C"/>
    <w:rsid w:val="000C5B97"/>
    <w:rsid w:val="000D31C6"/>
    <w:rsid w:val="000D6A26"/>
    <w:rsid w:val="000E522A"/>
    <w:rsid w:val="00102D68"/>
    <w:rsid w:val="00115EC4"/>
    <w:rsid w:val="00126A1D"/>
    <w:rsid w:val="00133676"/>
    <w:rsid w:val="00135420"/>
    <w:rsid w:val="001525DC"/>
    <w:rsid w:val="00157E9F"/>
    <w:rsid w:val="00164F9B"/>
    <w:rsid w:val="00184098"/>
    <w:rsid w:val="001919E4"/>
    <w:rsid w:val="00193483"/>
    <w:rsid w:val="001A10AD"/>
    <w:rsid w:val="001A48B4"/>
    <w:rsid w:val="001C273F"/>
    <w:rsid w:val="001C5C46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A35C6"/>
    <w:rsid w:val="002B1251"/>
    <w:rsid w:val="002D67B0"/>
    <w:rsid w:val="00303F01"/>
    <w:rsid w:val="00311F40"/>
    <w:rsid w:val="00327DA2"/>
    <w:rsid w:val="00332C23"/>
    <w:rsid w:val="00354B78"/>
    <w:rsid w:val="00362CD7"/>
    <w:rsid w:val="00386BDE"/>
    <w:rsid w:val="003A742C"/>
    <w:rsid w:val="00404C1C"/>
    <w:rsid w:val="00447AED"/>
    <w:rsid w:val="00452494"/>
    <w:rsid w:val="004541B8"/>
    <w:rsid w:val="004925B1"/>
    <w:rsid w:val="004937C6"/>
    <w:rsid w:val="004D3622"/>
    <w:rsid w:val="004E1E97"/>
    <w:rsid w:val="00516AE8"/>
    <w:rsid w:val="00516EEB"/>
    <w:rsid w:val="0052000B"/>
    <w:rsid w:val="0053538B"/>
    <w:rsid w:val="00545606"/>
    <w:rsid w:val="005500D2"/>
    <w:rsid w:val="005545C2"/>
    <w:rsid w:val="00556ADE"/>
    <w:rsid w:val="005713DC"/>
    <w:rsid w:val="00573540"/>
    <w:rsid w:val="00585F43"/>
    <w:rsid w:val="005A4EFF"/>
    <w:rsid w:val="005B393D"/>
    <w:rsid w:val="005B3EE6"/>
    <w:rsid w:val="005B58E6"/>
    <w:rsid w:val="005D2A91"/>
    <w:rsid w:val="005D44B6"/>
    <w:rsid w:val="005D7FB4"/>
    <w:rsid w:val="005E48F9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5E77"/>
    <w:rsid w:val="006876ED"/>
    <w:rsid w:val="006B2840"/>
    <w:rsid w:val="006B29DD"/>
    <w:rsid w:val="006B5734"/>
    <w:rsid w:val="006B62E8"/>
    <w:rsid w:val="006C5D22"/>
    <w:rsid w:val="006F0E18"/>
    <w:rsid w:val="006F12AD"/>
    <w:rsid w:val="007008F6"/>
    <w:rsid w:val="00720688"/>
    <w:rsid w:val="00732FD5"/>
    <w:rsid w:val="007379A5"/>
    <w:rsid w:val="00743161"/>
    <w:rsid w:val="00752790"/>
    <w:rsid w:val="007863CB"/>
    <w:rsid w:val="007A0166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C4527"/>
    <w:rsid w:val="008D4457"/>
    <w:rsid w:val="008E1AA2"/>
    <w:rsid w:val="008F1B83"/>
    <w:rsid w:val="00902FF9"/>
    <w:rsid w:val="009051DE"/>
    <w:rsid w:val="00906697"/>
    <w:rsid w:val="00906D12"/>
    <w:rsid w:val="00941517"/>
    <w:rsid w:val="00956054"/>
    <w:rsid w:val="009837B1"/>
    <w:rsid w:val="00995CCF"/>
    <w:rsid w:val="009B2F52"/>
    <w:rsid w:val="009C3AD6"/>
    <w:rsid w:val="009E43ED"/>
    <w:rsid w:val="009F2CC7"/>
    <w:rsid w:val="009F307F"/>
    <w:rsid w:val="00A3029B"/>
    <w:rsid w:val="00A34AEB"/>
    <w:rsid w:val="00A41234"/>
    <w:rsid w:val="00A418BD"/>
    <w:rsid w:val="00A6509A"/>
    <w:rsid w:val="00A70521"/>
    <w:rsid w:val="00A90E48"/>
    <w:rsid w:val="00A97A55"/>
    <w:rsid w:val="00AA0292"/>
    <w:rsid w:val="00AB2A4A"/>
    <w:rsid w:val="00AD29E9"/>
    <w:rsid w:val="00AE062C"/>
    <w:rsid w:val="00AE6740"/>
    <w:rsid w:val="00AE7FF5"/>
    <w:rsid w:val="00B203A0"/>
    <w:rsid w:val="00B214B7"/>
    <w:rsid w:val="00B2690A"/>
    <w:rsid w:val="00B30239"/>
    <w:rsid w:val="00B44B93"/>
    <w:rsid w:val="00B706D7"/>
    <w:rsid w:val="00B728C2"/>
    <w:rsid w:val="00BB3098"/>
    <w:rsid w:val="00BC00EC"/>
    <w:rsid w:val="00BC1C8B"/>
    <w:rsid w:val="00BC28D4"/>
    <w:rsid w:val="00BD0913"/>
    <w:rsid w:val="00BE0566"/>
    <w:rsid w:val="00BF5CA1"/>
    <w:rsid w:val="00BF71A1"/>
    <w:rsid w:val="00C01F97"/>
    <w:rsid w:val="00C03FCB"/>
    <w:rsid w:val="00C051D0"/>
    <w:rsid w:val="00C2190A"/>
    <w:rsid w:val="00C332EF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92FC3"/>
    <w:rsid w:val="00DA4331"/>
    <w:rsid w:val="00DB4CCE"/>
    <w:rsid w:val="00DC37CA"/>
    <w:rsid w:val="00DC5B13"/>
    <w:rsid w:val="00DE3EB0"/>
    <w:rsid w:val="00DE4884"/>
    <w:rsid w:val="00DF5546"/>
    <w:rsid w:val="00E04241"/>
    <w:rsid w:val="00E05CE1"/>
    <w:rsid w:val="00E155B4"/>
    <w:rsid w:val="00E2169C"/>
    <w:rsid w:val="00E22552"/>
    <w:rsid w:val="00E23847"/>
    <w:rsid w:val="00E41B53"/>
    <w:rsid w:val="00E5015D"/>
    <w:rsid w:val="00E52386"/>
    <w:rsid w:val="00E73FF1"/>
    <w:rsid w:val="00E7514F"/>
    <w:rsid w:val="00E81AC1"/>
    <w:rsid w:val="00E87B3B"/>
    <w:rsid w:val="00E941FE"/>
    <w:rsid w:val="00EA1206"/>
    <w:rsid w:val="00EB78D8"/>
    <w:rsid w:val="00EB7A15"/>
    <w:rsid w:val="00ED2193"/>
    <w:rsid w:val="00EE138D"/>
    <w:rsid w:val="00EE5DDE"/>
    <w:rsid w:val="00EF4EB8"/>
    <w:rsid w:val="00F02154"/>
    <w:rsid w:val="00F254D0"/>
    <w:rsid w:val="00F31C9A"/>
    <w:rsid w:val="00F509EF"/>
    <w:rsid w:val="00F55AE9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EA88A-64CF-4051-8B63-BCBA3E78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D9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mh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2015-07-09T20:48:00Z</cp:lastPrinted>
  <dcterms:created xsi:type="dcterms:W3CDTF">2016-03-14T17:24:00Z</dcterms:created>
  <dcterms:modified xsi:type="dcterms:W3CDTF">2016-03-17T18:09:00Z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