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A" w:rsidRDefault="009F2CC7" w:rsidP="00B2690A">
      <w:pPr>
        <w:tabs>
          <w:tab w:val="left" w:pos="3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269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B2690A">
        <w:rPr>
          <w:rFonts w:ascii="Century Gothic" w:hAnsi="Century Gothic"/>
          <w:noProof/>
          <w:sz w:val="20"/>
          <w:szCs w:val="20"/>
          <w:lang w:val="es-SV" w:eastAsia="es-SV"/>
        </w:rPr>
        <w:t xml:space="preserve">         </w:t>
      </w:r>
      <w:r w:rsidR="00B2690A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0A" w:rsidRDefault="00B2690A" w:rsidP="009F2CC7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9F2CC7" w:rsidRPr="00906697" w:rsidRDefault="009F2CC7" w:rsidP="00E05CE1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9F2CC7" w:rsidRDefault="009F2CC7" w:rsidP="00E05CE1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Resolución de Entrega de Información.</w:t>
      </w:r>
    </w:p>
    <w:p w:rsidR="009F2CC7" w:rsidRPr="00906697" w:rsidRDefault="009F2CC7" w:rsidP="00E05CE1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541B8">
        <w:rPr>
          <w:b/>
          <w:sz w:val="24"/>
          <w:szCs w:val="24"/>
        </w:rPr>
        <w:t>UAIP-MITUR No.20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9F2CC7" w:rsidRPr="00906697" w:rsidRDefault="009F2CC7" w:rsidP="009F2CC7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9F2CC7" w:rsidRDefault="004541B8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San Salvador, a las diez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horas</w:t>
      </w:r>
      <w:r>
        <w:rPr>
          <w:rFonts w:ascii="Century Gothic" w:hAnsi="Century Gothic"/>
          <w:sz w:val="19"/>
          <w:szCs w:val="19"/>
        </w:rPr>
        <w:t xml:space="preserve"> con treinta minutos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5500D2">
        <w:rPr>
          <w:rFonts w:ascii="Century Gothic" w:hAnsi="Century Gothic"/>
          <w:sz w:val="19"/>
          <w:szCs w:val="19"/>
        </w:rPr>
        <w:t>del día veintinueve</w:t>
      </w:r>
      <w:r w:rsidR="009F2CC7">
        <w:rPr>
          <w:rFonts w:ascii="Century Gothic" w:hAnsi="Century Gothic"/>
          <w:sz w:val="19"/>
          <w:szCs w:val="19"/>
        </w:rPr>
        <w:t xml:space="preserve"> de </w:t>
      </w:r>
      <w:r w:rsidR="005500D2">
        <w:rPr>
          <w:rFonts w:ascii="Century Gothic" w:hAnsi="Century Gothic"/>
          <w:sz w:val="19"/>
          <w:szCs w:val="19"/>
        </w:rPr>
        <w:t>junio</w:t>
      </w:r>
      <w:r w:rsidR="009F2CC7">
        <w:rPr>
          <w:rFonts w:ascii="Century Gothic" w:hAnsi="Century Gothic"/>
          <w:sz w:val="19"/>
          <w:szCs w:val="19"/>
        </w:rPr>
        <w:t xml:space="preserve"> de dos mil quince, el Ministerio de Turismo</w:t>
      </w:r>
      <w:r w:rsidR="009F2CC7" w:rsidRPr="00A6509A">
        <w:rPr>
          <w:rFonts w:ascii="Century Gothic" w:hAnsi="Century Gothic"/>
          <w:sz w:val="19"/>
          <w:szCs w:val="19"/>
        </w:rPr>
        <w:t xml:space="preserve">, luego de haber recibido y admitido la solicitud de información, presentada ante la Unidad de Acceso a la Información Pública de esta dependencia por parte de </w:t>
      </w:r>
      <w:r w:rsidR="00DE6564" w:rsidRPr="00DE6564">
        <w:rPr>
          <w:rFonts w:ascii="Century Gothic" w:hAnsi="Century Gothic"/>
          <w:sz w:val="19"/>
          <w:szCs w:val="19"/>
          <w:highlight w:val="black"/>
        </w:rPr>
        <w:t>xxxxxxxxxx</w:t>
      </w:r>
      <w:bookmarkStart w:id="0" w:name="_GoBack"/>
      <w:bookmarkEnd w:id="0"/>
      <w:r w:rsidR="008A7363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, con</w:t>
      </w:r>
      <w:r w:rsidR="009F2CC7">
        <w:rPr>
          <w:rFonts w:ascii="Century Gothic" w:hAnsi="Century Gothic"/>
          <w:sz w:val="19"/>
          <w:szCs w:val="19"/>
        </w:rPr>
        <w:t xml:space="preserve"> número de Do</w:t>
      </w:r>
      <w:r w:rsidR="005500D2">
        <w:rPr>
          <w:rFonts w:ascii="Century Gothic" w:hAnsi="Century Gothic"/>
          <w:sz w:val="19"/>
          <w:szCs w:val="19"/>
        </w:rPr>
        <w:t xml:space="preserve">cumento Único de Identidad </w:t>
      </w:r>
      <w:r w:rsidR="008A7363" w:rsidRPr="00DE6564">
        <w:rPr>
          <w:rFonts w:ascii="Century Gothic" w:hAnsi="Century Gothic"/>
          <w:sz w:val="19"/>
          <w:szCs w:val="19"/>
          <w:highlight w:val="black"/>
        </w:rPr>
        <w:t>xxxxxxxxxx</w:t>
      </w:r>
      <w:r w:rsidR="008A7363">
        <w:rPr>
          <w:rFonts w:ascii="Century Gothic" w:hAnsi="Century Gothic"/>
          <w:sz w:val="19"/>
          <w:szCs w:val="19"/>
        </w:rPr>
        <w:t xml:space="preserve"> </w:t>
      </w:r>
      <w:r w:rsidR="005500D2">
        <w:rPr>
          <w:rFonts w:ascii="Century Gothic" w:hAnsi="Century Gothic"/>
          <w:sz w:val="19"/>
          <w:szCs w:val="19"/>
        </w:rPr>
        <w:t>,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 w:rsidR="009F2CC7">
        <w:rPr>
          <w:rFonts w:ascii="Century Gothic" w:hAnsi="Century Gothic"/>
          <w:sz w:val="19"/>
          <w:szCs w:val="19"/>
        </w:rPr>
        <w:t xml:space="preserve"> y que la información solicitada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9F2CC7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5500D2" w:rsidRDefault="005500D2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5500D2" w:rsidRDefault="005500D2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Número de personas que llegan a vacacionar a los Municipios de San Ignacio, La Palma y Citalá del departamento de Chalatenango y la temporalidad (por meses)</w:t>
      </w:r>
    </w:p>
    <w:p w:rsidR="005500D2" w:rsidRDefault="005500D2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Tráfico de visitas por fines de semana (Cuántos salvadoreños y cuantos extranjeros)</w:t>
      </w:r>
    </w:p>
    <w:p w:rsidR="005500D2" w:rsidRDefault="005500D2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Tráfico de visitas por temporadas de vacaciones (Cuántos salvadoreños y cuántos extranjeros)</w:t>
      </w:r>
    </w:p>
    <w:p w:rsidR="005500D2" w:rsidRDefault="005500D2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Perfil de personas que llegan a vacacionar a los municipios mencionados (gustos y preferencias)</w:t>
      </w:r>
    </w:p>
    <w:p w:rsidR="005500D2" w:rsidRDefault="004937C6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Tipo de personas que llegan a vacacionar a los municipios mencionados (personas salvadoreñas, extranjeras)</w:t>
      </w:r>
    </w:p>
    <w:p w:rsidR="004937C6" w:rsidRDefault="004937C6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Ferias mensuales-anual, perfil de cada una de las ferias.</w:t>
      </w:r>
    </w:p>
    <w:p w:rsidR="004937C6" w:rsidRDefault="004937C6" w:rsidP="005500D2">
      <w:pPr>
        <w:pStyle w:val="Prrafodelista"/>
        <w:numPr>
          <w:ilvl w:val="0"/>
          <w:numId w:val="35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Número y nombre de las asociaciones de microempresas y/o artesanos por sector.</w:t>
      </w:r>
    </w:p>
    <w:p w:rsidR="004937C6" w:rsidRDefault="004937C6" w:rsidP="004937C6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La información solicitada debe ser desagregada por cada municipio</w:t>
      </w:r>
      <w:r w:rsidR="00C051D0">
        <w:rPr>
          <w:rFonts w:ascii="Century Gothic" w:hAnsi="Century Gothic"/>
          <w:sz w:val="19"/>
          <w:szCs w:val="19"/>
        </w:rPr>
        <w:t>: San Ignacio, La Palma y Citalá del departamento de Chalatenango; así como visitantes que entran por la frontera del Poy.</w:t>
      </w: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9F2CC7" w:rsidRPr="00545606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sz w:val="19"/>
          <w:szCs w:val="19"/>
        </w:rPr>
      </w:pPr>
    </w:p>
    <w:p w:rsidR="009F2CC7" w:rsidRDefault="009F2CC7" w:rsidP="009F2CC7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 w:rsidRPr="00B706D7">
        <w:rPr>
          <w:rFonts w:ascii="Century Gothic" w:hAnsi="Century Gothic"/>
          <w:sz w:val="19"/>
          <w:szCs w:val="19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9F2CC7" w:rsidRDefault="009F2CC7" w:rsidP="009F2CC7">
      <w:pPr>
        <w:pStyle w:val="Prrafodelista"/>
        <w:ind w:left="1440"/>
        <w:jc w:val="both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Que según el</w:t>
      </w:r>
      <w:r w:rsidRPr="00820C33">
        <w:rPr>
          <w:rFonts w:ascii="Century Gothic" w:hAnsi="Century Gothic"/>
          <w:sz w:val="19"/>
          <w:szCs w:val="19"/>
        </w:rPr>
        <w:t> Art. 2 de La Ley de la Corporación Salvadoreña de Turismo,</w:t>
      </w:r>
      <w:r>
        <w:rPr>
          <w:rFonts w:ascii="Century Gothic" w:hAnsi="Century Gothic"/>
          <w:sz w:val="19"/>
          <w:szCs w:val="19"/>
        </w:rPr>
        <w:t xml:space="preserve"> dentro de las</w:t>
      </w:r>
      <w:r w:rsidRPr="00820C33">
        <w:rPr>
          <w:rFonts w:ascii="Century Gothic" w:hAnsi="Century Gothic"/>
          <w:sz w:val="19"/>
          <w:szCs w:val="19"/>
        </w:rPr>
        <w:t xml:space="preserve"> finalid</w:t>
      </w:r>
      <w:r w:rsidR="00C051D0">
        <w:rPr>
          <w:rFonts w:ascii="Century Gothic" w:hAnsi="Century Gothic"/>
          <w:sz w:val="19"/>
          <w:szCs w:val="19"/>
        </w:rPr>
        <w:t>ades de CORSATUR en el literal c) establece que la institución llevará un censo estadístico actualizado, conteniendo información sobre el inventario de atractivos e infraestructura nacional de la actividad turística y otra información de interés sobre el turismo interno e internacional.</w:t>
      </w:r>
    </w:p>
    <w:p w:rsidR="009F2CC7" w:rsidRPr="00820C33" w:rsidRDefault="009F2CC7" w:rsidP="009F2CC7">
      <w:pPr>
        <w:pStyle w:val="Prrafodelista"/>
        <w:rPr>
          <w:rFonts w:ascii="Century Gothic" w:hAnsi="Century Gothic"/>
          <w:sz w:val="19"/>
          <w:szCs w:val="19"/>
        </w:rPr>
      </w:pPr>
    </w:p>
    <w:p w:rsidR="009F2CC7" w:rsidRPr="00115EC4" w:rsidRDefault="009F2CC7" w:rsidP="009F2CC7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9F2CC7" w:rsidRDefault="009F2CC7" w:rsidP="009F2CC7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 w:rsidRPr="005B393D">
        <w:rPr>
          <w:rFonts w:ascii="Century Gothic" w:hAnsi="Century Gothic"/>
          <w:sz w:val="19"/>
          <w:szCs w:val="19"/>
          <w:lang w:val="es-MX"/>
        </w:rPr>
        <w:t>De conformidad a los establecido en los Art. 62 y 72 de la Ley de Acceso a la Información Pública.</w:t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9F2CC7" w:rsidRPr="00C051D0" w:rsidRDefault="00C051D0" w:rsidP="008E12A2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Orientar que la información solicitada no es generada por el Ministerio de Turismo, sino por la Corporación Salvadoreña de Turismo (CORSATUR) de acuerdo a su Ley.</w:t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Pr="003F7DD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Default="009F2CC7" w:rsidP="009F2CC7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Pr="00115EC4" w:rsidRDefault="009F2CC7" w:rsidP="009F2CC7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  <w:r w:rsidRPr="00E60CCF">
        <w:rPr>
          <w:rFonts w:ascii="Century Gothic" w:hAnsi="Century Gothic"/>
          <w:sz w:val="19"/>
          <w:szCs w:val="19"/>
          <w:lang w:val="es-SV"/>
        </w:rPr>
        <w:t>Para obtener la informa</w:t>
      </w:r>
      <w:r>
        <w:rPr>
          <w:rFonts w:ascii="Century Gothic" w:hAnsi="Century Gothic"/>
          <w:sz w:val="19"/>
          <w:szCs w:val="19"/>
          <w:lang w:val="es-SV"/>
        </w:rPr>
        <w:t xml:space="preserve">ción puede requerirla </w:t>
      </w:r>
      <w:r w:rsidRPr="00E60CCF">
        <w:rPr>
          <w:rFonts w:ascii="Century Gothic" w:hAnsi="Century Gothic"/>
          <w:sz w:val="19"/>
          <w:szCs w:val="19"/>
          <w:lang w:val="es-SV"/>
        </w:rPr>
        <w:t xml:space="preserve"> en la Unidad de Acceso a la Información Pública de la Corporación Sal</w:t>
      </w:r>
      <w:r>
        <w:rPr>
          <w:rFonts w:ascii="Century Gothic" w:hAnsi="Century Gothic"/>
          <w:sz w:val="19"/>
          <w:szCs w:val="19"/>
          <w:lang w:val="es-SV"/>
        </w:rPr>
        <w:t xml:space="preserve">vadoreña de Turismo, en Alameda Dr. Manuel Enrique Araujo, Edificio Carbonel No. 2, segunda planta, pasaje Carbonel, Colonia Roma; San Salvador; con Ing. Juan Miranda, Oficial de Información, teléfono 2243-7835 o al correo electrónico </w:t>
      </w:r>
      <w:hyperlink r:id="rId11" w:history="1">
        <w:r w:rsidRPr="00F933CA">
          <w:rPr>
            <w:rStyle w:val="Hipervnculo"/>
            <w:rFonts w:ascii="Century Gothic" w:hAnsi="Century Gothic"/>
            <w:sz w:val="19"/>
            <w:szCs w:val="19"/>
            <w:lang w:val="es-SV"/>
          </w:rPr>
          <w:t>oficialdeinformacion@corsatur.gob.sv</w:t>
        </w:r>
      </w:hyperlink>
    </w:p>
    <w:p w:rsidR="009F2CC7" w:rsidRDefault="009F2CC7" w:rsidP="00E05CE1">
      <w:pPr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>ado para recibir notificaciones</w:t>
      </w:r>
      <w:r w:rsidR="008A7363">
        <w:rPr>
          <w:rFonts w:ascii="Century Gothic" w:hAnsi="Century Gothic"/>
          <w:sz w:val="19"/>
          <w:szCs w:val="19"/>
          <w:lang w:val="es-SV"/>
        </w:rPr>
        <w:t xml:space="preserve">: </w:t>
      </w:r>
      <w:r w:rsidR="008A7363" w:rsidRPr="00DE6564">
        <w:rPr>
          <w:rFonts w:ascii="Century Gothic" w:hAnsi="Century Gothic"/>
          <w:sz w:val="19"/>
          <w:szCs w:val="19"/>
          <w:highlight w:val="black"/>
          <w:lang w:val="es-SV"/>
        </w:rPr>
        <w:t>xxxxxxxxxx</w:t>
      </w:r>
    </w:p>
    <w:p w:rsidR="00DE6564" w:rsidRDefault="00DE6564" w:rsidP="00DE6564">
      <w:pPr>
        <w:ind w:left="704"/>
        <w:jc w:val="both"/>
        <w:rPr>
          <w:rFonts w:ascii="Century Gothic" w:hAnsi="Century Gothic"/>
          <w:lang w:val="es-SV"/>
        </w:rPr>
      </w:pPr>
    </w:p>
    <w:p w:rsidR="007A02EA" w:rsidRDefault="007A02EA" w:rsidP="007A02EA">
      <w:pPr>
        <w:ind w:left="704"/>
        <w:jc w:val="both"/>
        <w:rPr>
          <w:rFonts w:ascii="Century Gothic" w:hAnsi="Century Gothic"/>
          <w:lang w:val="es-SV"/>
        </w:rPr>
      </w:pPr>
    </w:p>
    <w:p w:rsidR="007A02EA" w:rsidRDefault="007A02EA" w:rsidP="007A02E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7A02EA" w:rsidRDefault="007A02EA" w:rsidP="007A02E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7A02EA" w:rsidRDefault="007A02EA" w:rsidP="007A02E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DE6564" w:rsidRDefault="00DE6564" w:rsidP="00DE656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DE6564" w:rsidRDefault="00DE6564" w:rsidP="00DE656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DE6564" w:rsidRDefault="00DE6564" w:rsidP="00DE656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DE6564" w:rsidRDefault="00DE6564" w:rsidP="00DE6564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213ED2" w:rsidRPr="00C76199" w:rsidRDefault="00213ED2" w:rsidP="00DE6564">
      <w:pPr>
        <w:rPr>
          <w:rFonts w:ascii="Century Gothic" w:hAnsi="Century Gothic"/>
          <w:sz w:val="20"/>
          <w:szCs w:val="20"/>
        </w:rPr>
      </w:pPr>
    </w:p>
    <w:sectPr w:rsidR="00213ED2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51" w:rsidRDefault="00CC6F51" w:rsidP="00C55328">
      <w:pPr>
        <w:spacing w:after="0" w:line="240" w:lineRule="auto"/>
      </w:pPr>
      <w:r>
        <w:separator/>
      </w:r>
    </w:p>
  </w:endnote>
  <w:endnote w:type="continuationSeparator" w:id="0">
    <w:p w:rsidR="00CC6F51" w:rsidRDefault="00CC6F51" w:rsidP="00C55328">
      <w:pPr>
        <w:spacing w:after="0" w:line="240" w:lineRule="auto"/>
      </w:pPr>
      <w:r>
        <w:continuationSeparator/>
      </w:r>
    </w:p>
  </w:endnote>
  <w:endnote w:type="continuationNotice" w:id="1">
    <w:p w:rsidR="00CC6F51" w:rsidRDefault="00CC6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51" w:rsidRDefault="00CC6F51" w:rsidP="00C55328">
      <w:pPr>
        <w:spacing w:after="0" w:line="240" w:lineRule="auto"/>
      </w:pPr>
      <w:r>
        <w:separator/>
      </w:r>
    </w:p>
  </w:footnote>
  <w:footnote w:type="continuationSeparator" w:id="0">
    <w:p w:rsidR="00CC6F51" w:rsidRDefault="00CC6F51" w:rsidP="00C55328">
      <w:pPr>
        <w:spacing w:after="0" w:line="240" w:lineRule="auto"/>
      </w:pPr>
      <w:r>
        <w:continuationSeparator/>
      </w:r>
    </w:p>
  </w:footnote>
  <w:footnote w:type="continuationNotice" w:id="1">
    <w:p w:rsidR="00CC6F51" w:rsidRDefault="00CC6F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7CE"/>
    <w:multiLevelType w:val="hybridMultilevel"/>
    <w:tmpl w:val="07CC9E5E"/>
    <w:lvl w:ilvl="0" w:tplc="BEC40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25"/>
  </w:num>
  <w:num w:numId="5">
    <w:abstractNumId w:val="8"/>
  </w:num>
  <w:num w:numId="6">
    <w:abstractNumId w:val="11"/>
  </w:num>
  <w:num w:numId="7">
    <w:abstractNumId w:val="28"/>
  </w:num>
  <w:num w:numId="8">
    <w:abstractNumId w:val="16"/>
  </w:num>
  <w:num w:numId="9">
    <w:abstractNumId w:val="34"/>
  </w:num>
  <w:num w:numId="10">
    <w:abstractNumId w:val="32"/>
  </w:num>
  <w:num w:numId="11">
    <w:abstractNumId w:val="31"/>
  </w:num>
  <w:num w:numId="12">
    <w:abstractNumId w:val="4"/>
  </w:num>
  <w:num w:numId="13">
    <w:abstractNumId w:val="20"/>
  </w:num>
  <w:num w:numId="14">
    <w:abstractNumId w:val="13"/>
  </w:num>
  <w:num w:numId="15">
    <w:abstractNumId w:val="5"/>
  </w:num>
  <w:num w:numId="16">
    <w:abstractNumId w:val="19"/>
  </w:num>
  <w:num w:numId="17">
    <w:abstractNumId w:val="14"/>
  </w:num>
  <w:num w:numId="18">
    <w:abstractNumId w:val="24"/>
  </w:num>
  <w:num w:numId="19">
    <w:abstractNumId w:val="3"/>
  </w:num>
  <w:num w:numId="20">
    <w:abstractNumId w:val="21"/>
  </w:num>
  <w:num w:numId="21">
    <w:abstractNumId w:val="29"/>
  </w:num>
  <w:num w:numId="22">
    <w:abstractNumId w:val="17"/>
  </w:num>
  <w:num w:numId="23">
    <w:abstractNumId w:val="27"/>
  </w:num>
  <w:num w:numId="24">
    <w:abstractNumId w:val="9"/>
  </w:num>
  <w:num w:numId="25">
    <w:abstractNumId w:val="7"/>
  </w:num>
  <w:num w:numId="26">
    <w:abstractNumId w:val="23"/>
  </w:num>
  <w:num w:numId="27">
    <w:abstractNumId w:val="1"/>
  </w:num>
  <w:num w:numId="28">
    <w:abstractNumId w:val="26"/>
  </w:num>
  <w:num w:numId="29">
    <w:abstractNumId w:val="6"/>
  </w:num>
  <w:num w:numId="30">
    <w:abstractNumId w:val="30"/>
  </w:num>
  <w:num w:numId="31">
    <w:abstractNumId w:val="10"/>
  </w:num>
  <w:num w:numId="32">
    <w:abstractNumId w:val="0"/>
  </w:num>
  <w:num w:numId="33">
    <w:abstractNumId w:val="33"/>
  </w:num>
  <w:num w:numId="34">
    <w:abstractNumId w:val="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21F1D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32C23"/>
    <w:rsid w:val="00354B78"/>
    <w:rsid w:val="00362CD7"/>
    <w:rsid w:val="00386BDE"/>
    <w:rsid w:val="003A742C"/>
    <w:rsid w:val="003D7984"/>
    <w:rsid w:val="00404C1C"/>
    <w:rsid w:val="00447AED"/>
    <w:rsid w:val="00452494"/>
    <w:rsid w:val="004541B8"/>
    <w:rsid w:val="00454518"/>
    <w:rsid w:val="004925B1"/>
    <w:rsid w:val="004937C6"/>
    <w:rsid w:val="004D3622"/>
    <w:rsid w:val="004E1E97"/>
    <w:rsid w:val="00516AE8"/>
    <w:rsid w:val="0052000B"/>
    <w:rsid w:val="0053538B"/>
    <w:rsid w:val="00545606"/>
    <w:rsid w:val="005500D2"/>
    <w:rsid w:val="005545C2"/>
    <w:rsid w:val="00556ADE"/>
    <w:rsid w:val="005713DC"/>
    <w:rsid w:val="00585F43"/>
    <w:rsid w:val="005A4EFF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52790"/>
    <w:rsid w:val="007A02EA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A7363"/>
    <w:rsid w:val="008C1BAA"/>
    <w:rsid w:val="008C1FC2"/>
    <w:rsid w:val="008E1AA2"/>
    <w:rsid w:val="008F1B8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2CC7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B026FD"/>
    <w:rsid w:val="00B203A0"/>
    <w:rsid w:val="00B2690A"/>
    <w:rsid w:val="00B30239"/>
    <w:rsid w:val="00B44B93"/>
    <w:rsid w:val="00B62C66"/>
    <w:rsid w:val="00B67AB7"/>
    <w:rsid w:val="00B706D7"/>
    <w:rsid w:val="00B728C2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051D0"/>
    <w:rsid w:val="00C2190A"/>
    <w:rsid w:val="00C332EF"/>
    <w:rsid w:val="00C34014"/>
    <w:rsid w:val="00C45DB4"/>
    <w:rsid w:val="00C50F7F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49B0"/>
    <w:rsid w:val="00C9754A"/>
    <w:rsid w:val="00CB395A"/>
    <w:rsid w:val="00CC6F51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E4884"/>
    <w:rsid w:val="00DE6564"/>
    <w:rsid w:val="00DF5546"/>
    <w:rsid w:val="00E04241"/>
    <w:rsid w:val="00E05CE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55AE9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E03B0-7DE7-4C55-949E-9A2FD324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2015-06-29T16:35:00Z</cp:lastPrinted>
  <dcterms:created xsi:type="dcterms:W3CDTF">2016-03-14T17:09:00Z</dcterms:created>
  <dcterms:modified xsi:type="dcterms:W3CDTF">2016-03-14T21:41:00Z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