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Default="00502A53" w:rsidP="00B44B93">
      <w:pPr>
        <w:jc w:val="center"/>
      </w:pPr>
      <w:r>
        <w:rPr>
          <w:noProof/>
          <w:lang w:val="es-SV" w:eastAsia="es-SV"/>
        </w:rPr>
        <w:drawing>
          <wp:inline distT="0" distB="0" distL="0" distR="0">
            <wp:extent cx="1260475" cy="622300"/>
            <wp:effectExtent l="0" t="0" r="0" b="6350"/>
            <wp:docPr id="1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095CC3" w:rsidRDefault="00095CC3" w:rsidP="00415AEA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095CC3">
        <w:rPr>
          <w:b/>
        </w:rPr>
        <w:t>UNIDAD DE ACCESO A LA INFORMACIÓ</w:t>
      </w:r>
      <w:r w:rsidR="00213ED2" w:rsidRPr="00095CC3">
        <w:rPr>
          <w:b/>
        </w:rPr>
        <w:t>N PÚBLICA.</w:t>
      </w:r>
    </w:p>
    <w:p w:rsidR="00213ED2" w:rsidRDefault="00213ED2" w:rsidP="00415AEA">
      <w:pPr>
        <w:tabs>
          <w:tab w:val="left" w:pos="3000"/>
        </w:tabs>
        <w:spacing w:after="0" w:line="120" w:lineRule="atLeast"/>
        <w:jc w:val="center"/>
        <w:rPr>
          <w:b/>
        </w:rPr>
      </w:pPr>
      <w:r>
        <w:rPr>
          <w:b/>
        </w:rPr>
        <w:t>Resolución de Entrega de Información.</w:t>
      </w:r>
    </w:p>
    <w:p w:rsidR="00415AEA" w:rsidRDefault="00415AEA" w:rsidP="00415AEA">
      <w:pPr>
        <w:tabs>
          <w:tab w:val="left" w:pos="3000"/>
        </w:tabs>
        <w:spacing w:after="0" w:line="120" w:lineRule="atLeast"/>
        <w:jc w:val="center"/>
        <w:rPr>
          <w:b/>
        </w:rPr>
      </w:pPr>
      <w:r>
        <w:rPr>
          <w:b/>
        </w:rPr>
        <w:t>UAIP-MITUR No.13/2015</w:t>
      </w:r>
    </w:p>
    <w:p w:rsidR="00095CC3" w:rsidRDefault="00095CC3" w:rsidP="00A41234">
      <w:pPr>
        <w:tabs>
          <w:tab w:val="left" w:pos="3000"/>
        </w:tabs>
        <w:spacing w:after="0" w:line="240" w:lineRule="atLeast"/>
        <w:jc w:val="center"/>
      </w:pPr>
    </w:p>
    <w:p w:rsidR="00D63885" w:rsidRDefault="005F6E1A" w:rsidP="00A41234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San Salvador, a las </w:t>
      </w:r>
      <w:r w:rsidR="00415AEA">
        <w:rPr>
          <w:rFonts w:ascii="Century Gothic" w:hAnsi="Century Gothic"/>
          <w:sz w:val="19"/>
          <w:szCs w:val="19"/>
        </w:rPr>
        <w:t>quince horas</w:t>
      </w:r>
      <w:r w:rsidR="001C5C46" w:rsidRPr="00A6509A">
        <w:rPr>
          <w:rFonts w:ascii="Century Gothic" w:hAnsi="Century Gothic"/>
          <w:sz w:val="19"/>
          <w:szCs w:val="19"/>
        </w:rPr>
        <w:t xml:space="preserve"> </w:t>
      </w:r>
      <w:r w:rsidR="00415AEA">
        <w:rPr>
          <w:rFonts w:ascii="Century Gothic" w:hAnsi="Century Gothic"/>
          <w:sz w:val="19"/>
          <w:szCs w:val="19"/>
        </w:rPr>
        <w:t>con treinta</w:t>
      </w:r>
      <w:r>
        <w:rPr>
          <w:rFonts w:ascii="Century Gothic" w:hAnsi="Century Gothic"/>
          <w:sz w:val="19"/>
          <w:szCs w:val="19"/>
        </w:rPr>
        <w:t xml:space="preserve"> y cinco minutos </w:t>
      </w:r>
      <w:r w:rsidR="00415AEA">
        <w:rPr>
          <w:rFonts w:ascii="Century Gothic" w:hAnsi="Century Gothic"/>
          <w:sz w:val="19"/>
          <w:szCs w:val="19"/>
        </w:rPr>
        <w:t>del día dieciocho de mayo</w:t>
      </w:r>
      <w:r w:rsidR="00B44B93">
        <w:rPr>
          <w:rFonts w:ascii="Century Gothic" w:hAnsi="Century Gothic"/>
          <w:sz w:val="19"/>
          <w:szCs w:val="19"/>
        </w:rPr>
        <w:t xml:space="preserve"> </w:t>
      </w:r>
      <w:r w:rsidR="00415AEA">
        <w:rPr>
          <w:rFonts w:ascii="Century Gothic" w:hAnsi="Century Gothic"/>
          <w:sz w:val="19"/>
          <w:szCs w:val="19"/>
        </w:rPr>
        <w:t xml:space="preserve"> de dos mil quince</w:t>
      </w:r>
      <w:r w:rsidR="00D63885">
        <w:rPr>
          <w:rFonts w:ascii="Century Gothic" w:hAnsi="Century Gothic"/>
          <w:sz w:val="19"/>
          <w:szCs w:val="19"/>
        </w:rPr>
        <w:t>, el Ministerio de Turismo</w:t>
      </w:r>
      <w:r w:rsidR="00213ED2" w:rsidRPr="00A6509A">
        <w:rPr>
          <w:rFonts w:ascii="Century Gothic" w:hAnsi="Century Gothic"/>
          <w:sz w:val="19"/>
          <w:szCs w:val="19"/>
        </w:rPr>
        <w:t>, luego de haber recibido y admitido la s</w:t>
      </w:r>
      <w:r w:rsidR="00E2169C" w:rsidRPr="00A6509A">
        <w:rPr>
          <w:rFonts w:ascii="Century Gothic" w:hAnsi="Century Gothic"/>
          <w:sz w:val="19"/>
          <w:szCs w:val="19"/>
        </w:rPr>
        <w:t xml:space="preserve">olicitud de </w:t>
      </w:r>
      <w:r w:rsidR="00D75E5C" w:rsidRPr="00A6509A">
        <w:rPr>
          <w:rFonts w:ascii="Century Gothic" w:hAnsi="Century Gothic"/>
          <w:sz w:val="19"/>
          <w:szCs w:val="19"/>
        </w:rPr>
        <w:t>información,</w:t>
      </w:r>
      <w:r w:rsidR="00213ED2" w:rsidRPr="00A6509A">
        <w:rPr>
          <w:rFonts w:ascii="Century Gothic" w:hAnsi="Century Gothic"/>
          <w:sz w:val="19"/>
          <w:szCs w:val="19"/>
        </w:rPr>
        <w:t xml:space="preserve"> presentada ante la Unidad de Acceso a la Información Pública de esta dependencia por parte de </w:t>
      </w:r>
      <w:r w:rsidR="008B74E8" w:rsidRPr="008B74E8">
        <w:rPr>
          <w:rFonts w:ascii="Century Gothic" w:hAnsi="Century Gothic"/>
          <w:sz w:val="19"/>
          <w:szCs w:val="19"/>
          <w:highlight w:val="black"/>
        </w:rPr>
        <w:t>xxxxxxxxxx</w:t>
      </w:r>
      <w:r w:rsidR="00095CC3" w:rsidRPr="00A6509A">
        <w:rPr>
          <w:rFonts w:ascii="Century Gothic" w:hAnsi="Century Gothic"/>
          <w:sz w:val="19"/>
          <w:szCs w:val="19"/>
        </w:rPr>
        <w:t>, con</w:t>
      </w:r>
      <w:r w:rsidR="00685371">
        <w:rPr>
          <w:rFonts w:ascii="Century Gothic" w:hAnsi="Century Gothic"/>
          <w:sz w:val="19"/>
          <w:szCs w:val="19"/>
        </w:rPr>
        <w:t xml:space="preserve"> número de </w:t>
      </w:r>
      <w:r w:rsidR="00820C33">
        <w:rPr>
          <w:rFonts w:ascii="Century Gothic" w:hAnsi="Century Gothic"/>
          <w:sz w:val="19"/>
          <w:szCs w:val="19"/>
        </w:rPr>
        <w:t xml:space="preserve">Documento Único de Identidad </w:t>
      </w:r>
      <w:r w:rsidR="008B74E8" w:rsidRPr="008B74E8">
        <w:rPr>
          <w:rFonts w:ascii="Century Gothic" w:hAnsi="Century Gothic"/>
          <w:sz w:val="19"/>
          <w:szCs w:val="19"/>
          <w:highlight w:val="black"/>
        </w:rPr>
        <w:t>xxxxxxxxxx</w:t>
      </w:r>
      <w:r w:rsidR="001C5C46" w:rsidRPr="00A6509A">
        <w:rPr>
          <w:rFonts w:ascii="Century Gothic" w:hAnsi="Century Gothic"/>
          <w:sz w:val="19"/>
          <w:szCs w:val="19"/>
        </w:rPr>
        <w:t xml:space="preserve"> </w:t>
      </w:r>
      <w:r w:rsidR="00213ED2" w:rsidRPr="00A6509A">
        <w:rPr>
          <w:rFonts w:ascii="Century Gothic" w:hAnsi="Century Gothic"/>
          <w:sz w:val="19"/>
          <w:szCs w:val="19"/>
        </w:rPr>
        <w:t>y considerando que la solicitud cumple con todos los requisitos establecidos en el Art.66 de la Ley de Acceso a la Información Pública,</w:t>
      </w:r>
      <w:r w:rsidR="00D63885">
        <w:rPr>
          <w:rFonts w:ascii="Century Gothic" w:hAnsi="Century Gothic"/>
          <w:sz w:val="19"/>
          <w:szCs w:val="19"/>
        </w:rPr>
        <w:t xml:space="preserve"> y que la información solicitada</w:t>
      </w:r>
      <w:r w:rsidR="00213ED2" w:rsidRPr="00A6509A">
        <w:rPr>
          <w:rFonts w:ascii="Century Gothic" w:hAnsi="Century Gothic"/>
          <w:sz w:val="19"/>
          <w:szCs w:val="19"/>
        </w:rPr>
        <w:t xml:space="preserve"> </w:t>
      </w:r>
      <w:r w:rsidR="00D63885" w:rsidRPr="007E34EA">
        <w:rPr>
          <w:rFonts w:ascii="Century Gothic" w:hAnsi="Century Gothic"/>
          <w:sz w:val="19"/>
          <w:szCs w:val="19"/>
        </w:rPr>
        <w:t>no se encuentra entre las excepciones enumeradas en los artículos 19 y 24 de la ley; y art. 19 del Reglamento, la Unidad de Acceso a la Información Pública resuelve según el siguiente detalle:</w:t>
      </w:r>
    </w:p>
    <w:p w:rsidR="00415AEA" w:rsidRDefault="00415AEA" w:rsidP="00A41234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415AEA" w:rsidRDefault="00415AEA" w:rsidP="00415AEA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b/>
          <w:sz w:val="19"/>
          <w:szCs w:val="19"/>
        </w:rPr>
      </w:pPr>
      <w:r w:rsidRPr="00415AEA">
        <w:rPr>
          <w:rFonts w:ascii="Century Gothic" w:hAnsi="Century Gothic"/>
          <w:b/>
          <w:sz w:val="19"/>
          <w:szCs w:val="19"/>
        </w:rPr>
        <w:t>Plan Nacional de Turismo 2020</w:t>
      </w:r>
      <w:r>
        <w:rPr>
          <w:rFonts w:ascii="Century Gothic" w:hAnsi="Century Gothic"/>
          <w:b/>
          <w:sz w:val="19"/>
          <w:szCs w:val="19"/>
        </w:rPr>
        <w:t>.</w:t>
      </w:r>
    </w:p>
    <w:p w:rsidR="00415AEA" w:rsidRDefault="00415AEA" w:rsidP="00415AEA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b/>
          <w:sz w:val="19"/>
          <w:szCs w:val="19"/>
        </w:rPr>
      </w:pPr>
      <w:r>
        <w:rPr>
          <w:rFonts w:ascii="Century Gothic" w:hAnsi="Century Gothic"/>
          <w:b/>
          <w:sz w:val="19"/>
          <w:szCs w:val="19"/>
        </w:rPr>
        <w:t>Estrategia de Desarrollo de la Franja Costero Marina.</w:t>
      </w:r>
    </w:p>
    <w:p w:rsidR="00415AEA" w:rsidRPr="00415AEA" w:rsidRDefault="00415AEA" w:rsidP="00415AEA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b/>
          <w:sz w:val="19"/>
          <w:szCs w:val="19"/>
        </w:rPr>
      </w:pPr>
      <w:r>
        <w:rPr>
          <w:rFonts w:ascii="Century Gothic" w:hAnsi="Century Gothic"/>
          <w:b/>
          <w:sz w:val="19"/>
          <w:szCs w:val="19"/>
        </w:rPr>
        <w:t xml:space="preserve">Diagnóstico turístico y evaluación socio-ambiental de La Libertad y Bahía de </w:t>
      </w:r>
      <w:proofErr w:type="spellStart"/>
      <w:r>
        <w:rPr>
          <w:rFonts w:ascii="Century Gothic" w:hAnsi="Century Gothic"/>
          <w:b/>
          <w:sz w:val="19"/>
          <w:szCs w:val="19"/>
        </w:rPr>
        <w:t>Jiquilisco</w:t>
      </w:r>
      <w:proofErr w:type="spellEnd"/>
      <w:r>
        <w:rPr>
          <w:rFonts w:ascii="Century Gothic" w:hAnsi="Century Gothic"/>
          <w:b/>
          <w:sz w:val="19"/>
          <w:szCs w:val="19"/>
        </w:rPr>
        <w:t>, 2012.</w:t>
      </w:r>
    </w:p>
    <w:p w:rsidR="005054A8" w:rsidRDefault="005054A8" w:rsidP="00A41234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545606" w:rsidRPr="00545606" w:rsidRDefault="00E07EB2" w:rsidP="0065344F">
      <w:pPr>
        <w:tabs>
          <w:tab w:val="left" w:pos="3000"/>
        </w:tabs>
        <w:spacing w:line="240" w:lineRule="auto"/>
        <w:jc w:val="both"/>
        <w:rPr>
          <w:sz w:val="19"/>
          <w:szCs w:val="19"/>
        </w:rPr>
      </w:pPr>
      <w:r>
        <w:rPr>
          <w:rFonts w:ascii="Century Gothic" w:hAnsi="Century Gothic"/>
          <w:b/>
          <w:sz w:val="19"/>
          <w:szCs w:val="19"/>
          <w:lang w:val="es-SV"/>
        </w:rPr>
        <w:t xml:space="preserve">            </w:t>
      </w:r>
      <w:r w:rsidR="00D275EE" w:rsidRPr="00A6509A">
        <w:rPr>
          <w:rFonts w:ascii="Century Gothic" w:hAnsi="Century Gothic"/>
          <w:b/>
          <w:sz w:val="19"/>
          <w:szCs w:val="19"/>
          <w:lang w:val="es-SV"/>
        </w:rPr>
        <w:t>CONSIDERANDO:</w:t>
      </w:r>
    </w:p>
    <w:p w:rsidR="00820C33" w:rsidRPr="002A714F" w:rsidRDefault="00820C33" w:rsidP="00B84FF1">
      <w:pPr>
        <w:pStyle w:val="Prrafodelista"/>
        <w:numPr>
          <w:ilvl w:val="0"/>
          <w:numId w:val="21"/>
        </w:numPr>
        <w:jc w:val="both"/>
        <w:rPr>
          <w:rFonts w:ascii="Century Gothic" w:hAnsi="Century Gothic"/>
          <w:sz w:val="19"/>
          <w:szCs w:val="19"/>
        </w:rPr>
      </w:pPr>
      <w:r w:rsidRPr="002A714F">
        <w:rPr>
          <w:rFonts w:ascii="Century Gothic" w:hAnsi="Century Gothic"/>
          <w:sz w:val="19"/>
          <w:szCs w:val="19"/>
        </w:rPr>
        <w:t>Que de acuerdo al Reglamento Interno del Órgano Ejecutivo, el Ministerio de Turismo es el órgano rector en materia turística, le corresponde determinar y velar por el cumplimiento de la Política y del Plan Nacional de Turismo, así como del cumplimiento de los objetivos de la presente Ley y sus Reglamentos.</w:t>
      </w:r>
    </w:p>
    <w:p w:rsidR="00804997" w:rsidRPr="00804997" w:rsidRDefault="00804997" w:rsidP="00804997">
      <w:pPr>
        <w:pStyle w:val="Prrafodelista"/>
        <w:rPr>
          <w:rFonts w:ascii="Century Gothic" w:hAnsi="Century Gothic"/>
          <w:sz w:val="19"/>
          <w:szCs w:val="19"/>
        </w:rPr>
      </w:pPr>
    </w:p>
    <w:p w:rsidR="00680A83" w:rsidRDefault="00680A83" w:rsidP="00680A83">
      <w:pPr>
        <w:pStyle w:val="Prrafodelista"/>
        <w:numPr>
          <w:ilvl w:val="0"/>
          <w:numId w:val="31"/>
        </w:numPr>
        <w:jc w:val="both"/>
        <w:rPr>
          <w:rFonts w:ascii="Century Gothic" w:hAnsi="Century Gothic"/>
          <w:sz w:val="19"/>
          <w:szCs w:val="19"/>
        </w:rPr>
      </w:pPr>
      <w:r w:rsidRPr="002A714F">
        <w:rPr>
          <w:rFonts w:ascii="Century Gothic" w:hAnsi="Century Gothic"/>
          <w:sz w:val="19"/>
          <w:szCs w:val="19"/>
        </w:rPr>
        <w:t xml:space="preserve">Que en el marco del </w:t>
      </w:r>
      <w:r>
        <w:rPr>
          <w:rFonts w:ascii="Century Gothic" w:hAnsi="Century Gothic"/>
          <w:sz w:val="19"/>
          <w:szCs w:val="19"/>
        </w:rPr>
        <w:t xml:space="preserve">Asocio para el Crecimiento, surge el </w:t>
      </w:r>
      <w:proofErr w:type="spellStart"/>
      <w:r w:rsidRPr="002A714F">
        <w:rPr>
          <w:rFonts w:ascii="Century Gothic" w:hAnsi="Century Gothic"/>
          <w:sz w:val="19"/>
          <w:szCs w:val="19"/>
        </w:rPr>
        <w:t>Fomilenio</w:t>
      </w:r>
      <w:proofErr w:type="spellEnd"/>
      <w:r w:rsidRPr="002A714F">
        <w:rPr>
          <w:rFonts w:ascii="Century Gothic" w:hAnsi="Century Gothic"/>
          <w:sz w:val="19"/>
          <w:szCs w:val="19"/>
        </w:rPr>
        <w:t xml:space="preserve"> II, </w:t>
      </w:r>
      <w:r>
        <w:rPr>
          <w:rFonts w:ascii="Century Gothic" w:hAnsi="Century Gothic"/>
          <w:sz w:val="19"/>
          <w:szCs w:val="19"/>
        </w:rPr>
        <w:t xml:space="preserve">en el cual </w:t>
      </w:r>
      <w:r w:rsidRPr="002A714F">
        <w:rPr>
          <w:rFonts w:ascii="Century Gothic" w:hAnsi="Century Gothic"/>
          <w:sz w:val="19"/>
          <w:szCs w:val="19"/>
        </w:rPr>
        <w:t>la Secretaría Técnica de la Presidencia formuló la Estrategia de D</w:t>
      </w:r>
      <w:r>
        <w:rPr>
          <w:rFonts w:ascii="Century Gothic" w:hAnsi="Century Gothic"/>
          <w:sz w:val="19"/>
          <w:szCs w:val="19"/>
        </w:rPr>
        <w:t>esarrollo Costero Marina, que</w:t>
      </w:r>
      <w:r w:rsidRPr="002A714F">
        <w:rPr>
          <w:rFonts w:ascii="Century Gothic" w:hAnsi="Century Gothic"/>
          <w:sz w:val="19"/>
          <w:szCs w:val="19"/>
        </w:rPr>
        <w:t xml:space="preserve"> presenta como objetivo fundamental mejorar la calidad de vida de la población de la Franja Costero Marina, mediante la activación y el fortalecimiento de los sistemas socio productivos costeros marinos y su integración con la actividad económica nacional.</w:t>
      </w:r>
    </w:p>
    <w:p w:rsidR="00680A83" w:rsidRPr="00680A83" w:rsidRDefault="00680A83" w:rsidP="00680A83">
      <w:pPr>
        <w:pStyle w:val="Prrafodelista"/>
        <w:rPr>
          <w:rFonts w:ascii="Century Gothic" w:hAnsi="Century Gothic"/>
          <w:sz w:val="19"/>
          <w:szCs w:val="19"/>
        </w:rPr>
      </w:pPr>
    </w:p>
    <w:p w:rsidR="002745DD" w:rsidRPr="002745DD" w:rsidRDefault="002A714F" w:rsidP="00680A83">
      <w:pPr>
        <w:pStyle w:val="Prrafodelista"/>
        <w:numPr>
          <w:ilvl w:val="0"/>
          <w:numId w:val="31"/>
        </w:numPr>
        <w:jc w:val="both"/>
        <w:rPr>
          <w:rFonts w:ascii="Century Gothic" w:hAnsi="Century Gothic"/>
          <w:sz w:val="19"/>
          <w:szCs w:val="19"/>
        </w:rPr>
      </w:pPr>
      <w:r w:rsidRPr="002745DD">
        <w:rPr>
          <w:rFonts w:ascii="Century Gothic" w:hAnsi="Century Gothic"/>
          <w:sz w:val="19"/>
          <w:szCs w:val="19"/>
        </w:rPr>
        <w:t xml:space="preserve">Que el Programa de Desarrollo Turístico de la Franja Costero-Marina ES-L1066, ha sido diseñado y aprobado por el Banco Interamericano de Turismo </w:t>
      </w:r>
      <w:r w:rsidR="002745DD" w:rsidRPr="002745DD">
        <w:rPr>
          <w:rFonts w:ascii="Century Gothic" w:hAnsi="Century Gothic"/>
          <w:sz w:val="19"/>
          <w:szCs w:val="19"/>
        </w:rPr>
        <w:t>(BID)</w:t>
      </w:r>
      <w:r w:rsidR="002745DD">
        <w:rPr>
          <w:rFonts w:ascii="Century Gothic" w:hAnsi="Century Gothic"/>
          <w:sz w:val="19"/>
          <w:szCs w:val="19"/>
        </w:rPr>
        <w:t>.</w:t>
      </w:r>
    </w:p>
    <w:p w:rsidR="002745DD" w:rsidRPr="002745DD" w:rsidRDefault="002745DD" w:rsidP="002745DD">
      <w:pPr>
        <w:pStyle w:val="Prrafodelista"/>
        <w:ind w:left="1440"/>
        <w:jc w:val="both"/>
        <w:rPr>
          <w:rFonts w:ascii="Century Gothic" w:hAnsi="Century Gothic"/>
          <w:sz w:val="19"/>
          <w:szCs w:val="19"/>
        </w:rPr>
      </w:pPr>
    </w:p>
    <w:p w:rsidR="002A714F" w:rsidRPr="002A714F" w:rsidRDefault="002A714F" w:rsidP="002A714F">
      <w:pPr>
        <w:pStyle w:val="Prrafodelista"/>
        <w:rPr>
          <w:rFonts w:ascii="Century Gothic" w:hAnsi="Century Gothic"/>
          <w:sz w:val="19"/>
          <w:szCs w:val="19"/>
        </w:rPr>
      </w:pPr>
    </w:p>
    <w:p w:rsidR="005B393D" w:rsidRPr="00115EC4" w:rsidRDefault="005B393D" w:rsidP="00115EC4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:rsidR="00B706D7" w:rsidRDefault="005B393D" w:rsidP="005B393D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9"/>
          <w:szCs w:val="19"/>
          <w:lang w:val="es-MX"/>
        </w:rPr>
      </w:pPr>
      <w:r w:rsidRPr="005B393D">
        <w:rPr>
          <w:rFonts w:ascii="Century Gothic" w:hAnsi="Century Gothic"/>
          <w:sz w:val="19"/>
          <w:szCs w:val="19"/>
          <w:lang w:val="es-MX"/>
        </w:rPr>
        <w:t>De conformidad a los establecido en los Art. 62 y 72 de la Ley de Acceso a la Información Pública.</w:t>
      </w:r>
    </w:p>
    <w:p w:rsidR="005B393D" w:rsidRDefault="005B393D" w:rsidP="005B393D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5B393D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:rsidR="002745DD" w:rsidRPr="00680A83" w:rsidRDefault="00C42138" w:rsidP="00680A83">
      <w:pPr>
        <w:pStyle w:val="Prrafodelista"/>
        <w:numPr>
          <w:ilvl w:val="0"/>
          <w:numId w:val="30"/>
        </w:numPr>
        <w:jc w:val="both"/>
        <w:rPr>
          <w:rFonts w:ascii="Century Gothic" w:hAnsi="Century Gothic"/>
          <w:sz w:val="19"/>
          <w:szCs w:val="19"/>
        </w:rPr>
      </w:pPr>
      <w:r w:rsidRPr="00680A83">
        <w:rPr>
          <w:rFonts w:ascii="Century Gothic" w:hAnsi="Century Gothic"/>
          <w:sz w:val="19"/>
          <w:szCs w:val="19"/>
        </w:rPr>
        <w:t>Se hace entrega del Plan Nacional de Turismo 2020 en formato digital</w:t>
      </w:r>
      <w:r w:rsidR="00680A83" w:rsidRPr="00680A83">
        <w:rPr>
          <w:rFonts w:ascii="Century Gothic" w:hAnsi="Century Gothic"/>
          <w:sz w:val="19"/>
          <w:szCs w:val="19"/>
        </w:rPr>
        <w:t>.</w:t>
      </w:r>
    </w:p>
    <w:p w:rsidR="00680A83" w:rsidRDefault="00680A83" w:rsidP="00680A83">
      <w:pPr>
        <w:pStyle w:val="Prrafodelista"/>
        <w:numPr>
          <w:ilvl w:val="0"/>
          <w:numId w:val="30"/>
        </w:numPr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Orientar que en cuanto a la Estrategia de Desarrollo Costero Marina, podrá obtener mayor ampliación en la Secretaría Técnica y de Planificación, dependencia de la Presidencia de la República, solicitando en la Unidad de Acceso a la Información Pública, cuyo contacto es el siguiente: Pavel Benjamín Cruz Álvarez, correo electrónico </w:t>
      </w:r>
      <w:hyperlink r:id="rId6" w:history="1">
        <w:r w:rsidRPr="004F679A">
          <w:rPr>
            <w:rStyle w:val="Hipervnculo"/>
            <w:rFonts w:ascii="Century Gothic" w:hAnsi="Century Gothic"/>
            <w:sz w:val="19"/>
            <w:szCs w:val="19"/>
          </w:rPr>
          <w:t>oir@presidencia.gob.sv</w:t>
        </w:r>
      </w:hyperlink>
      <w:r>
        <w:rPr>
          <w:rFonts w:ascii="Century Gothic" w:hAnsi="Century Gothic"/>
          <w:sz w:val="19"/>
          <w:szCs w:val="19"/>
        </w:rPr>
        <w:t>; teléfono: 2231-8050.</w:t>
      </w:r>
    </w:p>
    <w:p w:rsidR="001257A5" w:rsidRPr="001257A5" w:rsidRDefault="001257A5" w:rsidP="001257A5">
      <w:pPr>
        <w:jc w:val="both"/>
        <w:rPr>
          <w:rFonts w:ascii="Century Gothic" w:hAnsi="Century Gothic"/>
          <w:sz w:val="19"/>
          <w:szCs w:val="19"/>
        </w:rPr>
      </w:pPr>
    </w:p>
    <w:p w:rsidR="00680A83" w:rsidRDefault="001257A5" w:rsidP="001257A5">
      <w:pPr>
        <w:pStyle w:val="Prrafodelista"/>
        <w:numPr>
          <w:ilvl w:val="0"/>
          <w:numId w:val="30"/>
        </w:numPr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lastRenderedPageBreak/>
        <w:t xml:space="preserve">Que en el marco del Programa de Desarrollo Turístico de la Franja Costero Marina, el BID realizó el Diagnóstico Turístico y Evaluación Socio Ambiental, de la Libertad y Bahía de </w:t>
      </w:r>
      <w:proofErr w:type="spellStart"/>
      <w:r>
        <w:rPr>
          <w:rFonts w:ascii="Century Gothic" w:hAnsi="Century Gothic"/>
          <w:sz w:val="19"/>
          <w:szCs w:val="19"/>
        </w:rPr>
        <w:t>Jiquilisco</w:t>
      </w:r>
      <w:proofErr w:type="spellEnd"/>
      <w:r>
        <w:rPr>
          <w:rFonts w:ascii="Century Gothic" w:hAnsi="Century Gothic"/>
          <w:sz w:val="19"/>
          <w:szCs w:val="19"/>
        </w:rPr>
        <w:t>, podrá encontrarlo en la página web del BID, en el siguiente link:</w:t>
      </w:r>
    </w:p>
    <w:p w:rsidR="001257A5" w:rsidRDefault="00C22344" w:rsidP="001257A5">
      <w:pPr>
        <w:pStyle w:val="Prrafodelista"/>
        <w:ind w:left="1416"/>
        <w:rPr>
          <w:rFonts w:ascii="Century Gothic" w:hAnsi="Century Gothic"/>
          <w:sz w:val="19"/>
          <w:szCs w:val="19"/>
        </w:rPr>
      </w:pPr>
      <w:hyperlink r:id="rId7" w:history="1">
        <w:r w:rsidR="001257A5" w:rsidRPr="004F679A">
          <w:rPr>
            <w:rStyle w:val="Hipervnculo"/>
            <w:rFonts w:ascii="Century Gothic" w:hAnsi="Century Gothic"/>
            <w:sz w:val="19"/>
            <w:szCs w:val="19"/>
          </w:rPr>
          <w:t>http://idbdocs.iadb.org/wsdocs/getdocument.aspx?docnum=37708365</w:t>
        </w:r>
      </w:hyperlink>
    </w:p>
    <w:p w:rsidR="001F66E8" w:rsidRDefault="001F66E8" w:rsidP="001F66E8">
      <w:pPr>
        <w:pStyle w:val="Prrafodelista"/>
        <w:ind w:left="1428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Por otra parte se informa que el Ministerio de Turismo no cuenta con un documento propio sobre evaluación socio ambiental de La Libertad y Bahía de </w:t>
      </w:r>
      <w:proofErr w:type="spellStart"/>
      <w:r>
        <w:rPr>
          <w:rFonts w:ascii="Century Gothic" w:hAnsi="Century Gothic"/>
          <w:sz w:val="19"/>
          <w:szCs w:val="19"/>
        </w:rPr>
        <w:t>Jiquilisco</w:t>
      </w:r>
      <w:proofErr w:type="spellEnd"/>
      <w:r>
        <w:rPr>
          <w:rFonts w:ascii="Century Gothic" w:hAnsi="Century Gothic"/>
          <w:sz w:val="19"/>
          <w:szCs w:val="19"/>
        </w:rPr>
        <w:t>.</w:t>
      </w:r>
    </w:p>
    <w:p w:rsidR="001F66E8" w:rsidRDefault="001F66E8" w:rsidP="001F66E8">
      <w:pPr>
        <w:pStyle w:val="Prrafodelista"/>
        <w:ind w:left="1428"/>
        <w:jc w:val="both"/>
        <w:rPr>
          <w:rFonts w:ascii="Century Gothic" w:hAnsi="Century Gothic"/>
          <w:sz w:val="19"/>
          <w:szCs w:val="19"/>
        </w:rPr>
      </w:pPr>
    </w:p>
    <w:p w:rsidR="00743161" w:rsidRDefault="00DF5546" w:rsidP="001F66E8">
      <w:pPr>
        <w:pStyle w:val="Prrafodelista"/>
        <w:ind w:left="1428"/>
        <w:jc w:val="both"/>
        <w:rPr>
          <w:rFonts w:ascii="Century Gothic" w:hAnsi="Century Gothic"/>
          <w:sz w:val="19"/>
          <w:szCs w:val="19"/>
          <w:lang w:val="es-SV"/>
        </w:rPr>
      </w:pPr>
      <w:r w:rsidRPr="00833B53">
        <w:rPr>
          <w:rFonts w:ascii="Century Gothic" w:hAnsi="Century Gothic"/>
          <w:sz w:val="19"/>
          <w:szCs w:val="19"/>
          <w:lang w:val="es-SV"/>
        </w:rPr>
        <w:t>Por lo tanto se hace entrega de dicha información, en esta misma fecha, a través de correo electrónico consign</w:t>
      </w:r>
      <w:r>
        <w:rPr>
          <w:rFonts w:ascii="Century Gothic" w:hAnsi="Century Gothic"/>
          <w:sz w:val="19"/>
          <w:szCs w:val="19"/>
          <w:lang w:val="es-SV"/>
        </w:rPr>
        <w:t>ado para recibir notificaciones</w:t>
      </w:r>
      <w:r w:rsidR="00BA08CF">
        <w:rPr>
          <w:rFonts w:ascii="Century Gothic" w:hAnsi="Century Gothic"/>
          <w:sz w:val="19"/>
          <w:szCs w:val="19"/>
          <w:lang w:val="es-SV"/>
        </w:rPr>
        <w:t>:</w:t>
      </w:r>
      <w:r>
        <w:rPr>
          <w:rFonts w:ascii="Century Gothic" w:hAnsi="Century Gothic"/>
          <w:sz w:val="19"/>
          <w:szCs w:val="19"/>
          <w:lang w:val="es-SV"/>
        </w:rPr>
        <w:t xml:space="preserve"> </w:t>
      </w:r>
      <w:r w:rsidR="008B74E8" w:rsidRPr="008B74E8">
        <w:rPr>
          <w:highlight w:val="black"/>
        </w:rPr>
        <w:t>xxxxxxxxxx</w:t>
      </w:r>
    </w:p>
    <w:p w:rsidR="001F66E8" w:rsidRDefault="001F66E8" w:rsidP="001F66E8">
      <w:pPr>
        <w:pStyle w:val="Prrafodelista"/>
        <w:ind w:left="1428"/>
        <w:jc w:val="both"/>
        <w:rPr>
          <w:rFonts w:ascii="Century Gothic" w:hAnsi="Century Gothic"/>
          <w:sz w:val="19"/>
          <w:szCs w:val="19"/>
          <w:lang w:val="es-SV"/>
        </w:rPr>
      </w:pPr>
    </w:p>
    <w:p w:rsidR="00C22344" w:rsidRDefault="00C22344" w:rsidP="00C22344">
      <w:pPr>
        <w:ind w:left="704"/>
        <w:jc w:val="both"/>
        <w:rPr>
          <w:rFonts w:ascii="Century Gothic" w:hAnsi="Century Gothic"/>
          <w:lang w:val="es-SV"/>
        </w:rPr>
      </w:pPr>
      <w:bookmarkStart w:id="0" w:name="_GoBack"/>
      <w:bookmarkEnd w:id="0"/>
    </w:p>
    <w:p w:rsidR="00C22344" w:rsidRDefault="00C22344" w:rsidP="00C2234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C22344" w:rsidRDefault="00C22344" w:rsidP="00C2234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C22344" w:rsidRDefault="00C22344" w:rsidP="00C2234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8B74E8" w:rsidRDefault="008B74E8" w:rsidP="008B74E8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8B74E8" w:rsidRDefault="008B74E8" w:rsidP="008B74E8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8B74E8" w:rsidRDefault="008B74E8" w:rsidP="008B74E8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8B74E8" w:rsidRDefault="008B74E8" w:rsidP="008B74E8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B44B93" w:rsidRDefault="00B44B93" w:rsidP="00DF5546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DF5546" w:rsidRDefault="00DF5546" w:rsidP="00DF5546">
      <w:pPr>
        <w:tabs>
          <w:tab w:val="left" w:pos="3000"/>
        </w:tabs>
        <w:jc w:val="both"/>
        <w:rPr>
          <w:lang w:val="es-SV"/>
        </w:rPr>
      </w:pPr>
    </w:p>
    <w:p w:rsidR="008B74E8" w:rsidRDefault="008B74E8" w:rsidP="008B74E8">
      <w:pPr>
        <w:pStyle w:val="Textosinformato"/>
      </w:pPr>
    </w:p>
    <w:p w:rsidR="00743161" w:rsidRDefault="00213ED2" w:rsidP="00A41234">
      <w:pPr>
        <w:pStyle w:val="Textosinforma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08F6">
        <w:tab/>
      </w:r>
      <w:r w:rsidR="007008F6">
        <w:tab/>
      </w:r>
      <w:r w:rsidR="007008F6">
        <w:tab/>
      </w:r>
      <w:r w:rsidR="007008F6">
        <w:tab/>
      </w:r>
    </w:p>
    <w:p w:rsidR="00743161" w:rsidRDefault="00743161" w:rsidP="00A41234">
      <w:pPr>
        <w:pStyle w:val="Textosinformato"/>
        <w:jc w:val="center"/>
      </w:pPr>
    </w:p>
    <w:p w:rsidR="00743161" w:rsidRDefault="00743161" w:rsidP="00A41234">
      <w:pPr>
        <w:pStyle w:val="Textosinformato"/>
        <w:jc w:val="center"/>
      </w:pPr>
    </w:p>
    <w:p w:rsidR="00743161" w:rsidRDefault="00743161" w:rsidP="00A41234">
      <w:pPr>
        <w:pStyle w:val="Textosinformato"/>
        <w:jc w:val="center"/>
      </w:pPr>
    </w:p>
    <w:p w:rsidR="007F7AF3" w:rsidRDefault="00213ED2" w:rsidP="00A41234">
      <w:pPr>
        <w:pStyle w:val="Textosinformato"/>
        <w:jc w:val="center"/>
      </w:pPr>
      <w:r>
        <w:tab/>
      </w:r>
      <w:r>
        <w:tab/>
      </w:r>
      <w:r w:rsidR="009E43ED">
        <w:t xml:space="preserve"> </w:t>
      </w:r>
      <w:r>
        <w:tab/>
      </w:r>
    </w:p>
    <w:sectPr w:rsidR="007F7AF3" w:rsidSect="00B706D7">
      <w:pgSz w:w="12240" w:h="15840"/>
      <w:pgMar w:top="851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90E"/>
    <w:multiLevelType w:val="hybridMultilevel"/>
    <w:tmpl w:val="FB3A777E"/>
    <w:lvl w:ilvl="0" w:tplc="B85AE94E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01977"/>
    <w:multiLevelType w:val="hybridMultilevel"/>
    <w:tmpl w:val="B330B6EA"/>
    <w:lvl w:ilvl="0" w:tplc="76F04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E720E"/>
    <w:multiLevelType w:val="hybridMultilevel"/>
    <w:tmpl w:val="712C075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10ECD"/>
    <w:multiLevelType w:val="hybridMultilevel"/>
    <w:tmpl w:val="282A36F2"/>
    <w:lvl w:ilvl="0" w:tplc="DD1872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46C65"/>
    <w:multiLevelType w:val="hybridMultilevel"/>
    <w:tmpl w:val="3558EFF8"/>
    <w:lvl w:ilvl="0" w:tplc="E8A82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093EB3"/>
    <w:multiLevelType w:val="hybridMultilevel"/>
    <w:tmpl w:val="F5765A88"/>
    <w:lvl w:ilvl="0" w:tplc="A1E696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B6374"/>
    <w:multiLevelType w:val="hybridMultilevel"/>
    <w:tmpl w:val="DE341F80"/>
    <w:lvl w:ilvl="0" w:tplc="DCA8A2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F11AF3"/>
    <w:multiLevelType w:val="hybridMultilevel"/>
    <w:tmpl w:val="5FB0402A"/>
    <w:lvl w:ilvl="0" w:tplc="B1B6FE7C">
      <w:start w:val="1"/>
      <w:numFmt w:val="upperRoman"/>
      <w:lvlText w:val="%1."/>
      <w:lvlJc w:val="left"/>
      <w:pPr>
        <w:ind w:left="1428" w:hanging="720"/>
      </w:pPr>
      <w:rPr>
        <w:rFonts w:asciiTheme="minorHAnsi" w:hAnsi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A2752"/>
    <w:multiLevelType w:val="hybridMultilevel"/>
    <w:tmpl w:val="FB3A777E"/>
    <w:lvl w:ilvl="0" w:tplc="B85AE94E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0"/>
  </w:num>
  <w:num w:numId="4">
    <w:abstractNumId w:val="24"/>
  </w:num>
  <w:num w:numId="5">
    <w:abstractNumId w:val="5"/>
  </w:num>
  <w:num w:numId="6">
    <w:abstractNumId w:val="6"/>
  </w:num>
  <w:num w:numId="7">
    <w:abstractNumId w:val="26"/>
  </w:num>
  <w:num w:numId="8">
    <w:abstractNumId w:val="11"/>
  </w:num>
  <w:num w:numId="9">
    <w:abstractNumId w:val="30"/>
  </w:num>
  <w:num w:numId="10">
    <w:abstractNumId w:val="29"/>
  </w:num>
  <w:num w:numId="11">
    <w:abstractNumId w:val="28"/>
  </w:num>
  <w:num w:numId="12">
    <w:abstractNumId w:val="2"/>
  </w:num>
  <w:num w:numId="13">
    <w:abstractNumId w:val="18"/>
  </w:num>
  <w:num w:numId="14">
    <w:abstractNumId w:val="8"/>
  </w:num>
  <w:num w:numId="15">
    <w:abstractNumId w:val="3"/>
  </w:num>
  <w:num w:numId="16">
    <w:abstractNumId w:val="16"/>
  </w:num>
  <w:num w:numId="17">
    <w:abstractNumId w:val="9"/>
  </w:num>
  <w:num w:numId="18">
    <w:abstractNumId w:val="22"/>
  </w:num>
  <w:num w:numId="19">
    <w:abstractNumId w:val="1"/>
  </w:num>
  <w:num w:numId="20">
    <w:abstractNumId w:val="19"/>
  </w:num>
  <w:num w:numId="21">
    <w:abstractNumId w:val="27"/>
  </w:num>
  <w:num w:numId="22">
    <w:abstractNumId w:val="14"/>
  </w:num>
  <w:num w:numId="23">
    <w:abstractNumId w:val="25"/>
  </w:num>
  <w:num w:numId="24">
    <w:abstractNumId w:val="15"/>
  </w:num>
  <w:num w:numId="25">
    <w:abstractNumId w:val="13"/>
  </w:num>
  <w:num w:numId="26">
    <w:abstractNumId w:val="17"/>
  </w:num>
  <w:num w:numId="27">
    <w:abstractNumId w:val="4"/>
  </w:num>
  <w:num w:numId="28">
    <w:abstractNumId w:val="12"/>
  </w:num>
  <w:num w:numId="29">
    <w:abstractNumId w:val="21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81D73"/>
    <w:rsid w:val="0008275D"/>
    <w:rsid w:val="00095CC3"/>
    <w:rsid w:val="000A4F6C"/>
    <w:rsid w:val="000C5B97"/>
    <w:rsid w:val="000D31C6"/>
    <w:rsid w:val="000E522A"/>
    <w:rsid w:val="00115EC4"/>
    <w:rsid w:val="001257A5"/>
    <w:rsid w:val="00126A1D"/>
    <w:rsid w:val="00133676"/>
    <w:rsid w:val="00135420"/>
    <w:rsid w:val="001525DC"/>
    <w:rsid w:val="00157E9F"/>
    <w:rsid w:val="00184098"/>
    <w:rsid w:val="001C5C46"/>
    <w:rsid w:val="001D0DFA"/>
    <w:rsid w:val="001D3F66"/>
    <w:rsid w:val="001F352D"/>
    <w:rsid w:val="001F66E8"/>
    <w:rsid w:val="00213ED2"/>
    <w:rsid w:val="00240542"/>
    <w:rsid w:val="002659A4"/>
    <w:rsid w:val="00267A31"/>
    <w:rsid w:val="002745DD"/>
    <w:rsid w:val="002A714F"/>
    <w:rsid w:val="002B1251"/>
    <w:rsid w:val="00303F01"/>
    <w:rsid w:val="00386BDE"/>
    <w:rsid w:val="003A742C"/>
    <w:rsid w:val="00404C1C"/>
    <w:rsid w:val="00415AEA"/>
    <w:rsid w:val="00452494"/>
    <w:rsid w:val="004925B1"/>
    <w:rsid w:val="004A7EEA"/>
    <w:rsid w:val="004D3622"/>
    <w:rsid w:val="004E1E97"/>
    <w:rsid w:val="00502A53"/>
    <w:rsid w:val="005054A8"/>
    <w:rsid w:val="00516AE8"/>
    <w:rsid w:val="00545606"/>
    <w:rsid w:val="00585F43"/>
    <w:rsid w:val="005B393D"/>
    <w:rsid w:val="005B3EE6"/>
    <w:rsid w:val="005D44B6"/>
    <w:rsid w:val="005F046B"/>
    <w:rsid w:val="005F6E1A"/>
    <w:rsid w:val="0065344F"/>
    <w:rsid w:val="00677C83"/>
    <w:rsid w:val="00680A83"/>
    <w:rsid w:val="00685371"/>
    <w:rsid w:val="006876ED"/>
    <w:rsid w:val="006B2840"/>
    <w:rsid w:val="006B5734"/>
    <w:rsid w:val="006F0E18"/>
    <w:rsid w:val="006F5AFE"/>
    <w:rsid w:val="007008F6"/>
    <w:rsid w:val="00712203"/>
    <w:rsid w:val="00743161"/>
    <w:rsid w:val="007F7AF3"/>
    <w:rsid w:val="00804997"/>
    <w:rsid w:val="0081713C"/>
    <w:rsid w:val="00820C33"/>
    <w:rsid w:val="00825757"/>
    <w:rsid w:val="00833B53"/>
    <w:rsid w:val="0086194B"/>
    <w:rsid w:val="008B74E8"/>
    <w:rsid w:val="00902FF9"/>
    <w:rsid w:val="0099321C"/>
    <w:rsid w:val="009D613C"/>
    <w:rsid w:val="009E43ED"/>
    <w:rsid w:val="00A36731"/>
    <w:rsid w:val="00A41234"/>
    <w:rsid w:val="00A6509A"/>
    <w:rsid w:val="00A8781F"/>
    <w:rsid w:val="00A97A55"/>
    <w:rsid w:val="00AA0292"/>
    <w:rsid w:val="00B44B93"/>
    <w:rsid w:val="00B706D7"/>
    <w:rsid w:val="00B728C2"/>
    <w:rsid w:val="00BA08CF"/>
    <w:rsid w:val="00BC1C8B"/>
    <w:rsid w:val="00BC28D4"/>
    <w:rsid w:val="00BF71A1"/>
    <w:rsid w:val="00C2190A"/>
    <w:rsid w:val="00C22344"/>
    <w:rsid w:val="00C34014"/>
    <w:rsid w:val="00C42138"/>
    <w:rsid w:val="00C45DB4"/>
    <w:rsid w:val="00C613FB"/>
    <w:rsid w:val="00C65E78"/>
    <w:rsid w:val="00C73CA1"/>
    <w:rsid w:val="00C9754A"/>
    <w:rsid w:val="00CD26B9"/>
    <w:rsid w:val="00D0355F"/>
    <w:rsid w:val="00D12625"/>
    <w:rsid w:val="00D15654"/>
    <w:rsid w:val="00D169A6"/>
    <w:rsid w:val="00D275EE"/>
    <w:rsid w:val="00D2786D"/>
    <w:rsid w:val="00D63885"/>
    <w:rsid w:val="00D75E5C"/>
    <w:rsid w:val="00D90D04"/>
    <w:rsid w:val="00DA4331"/>
    <w:rsid w:val="00DF5546"/>
    <w:rsid w:val="00E04241"/>
    <w:rsid w:val="00E07EB2"/>
    <w:rsid w:val="00E2169C"/>
    <w:rsid w:val="00E23847"/>
    <w:rsid w:val="00E3643F"/>
    <w:rsid w:val="00E52386"/>
    <w:rsid w:val="00E7514F"/>
    <w:rsid w:val="00E90A2F"/>
    <w:rsid w:val="00EE5DDE"/>
    <w:rsid w:val="00EF4EB8"/>
    <w:rsid w:val="00F254D0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CC04DF-820E-46EE-A51B-F537F56C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2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dbdocs.iadb.org/wsdocs/getdocument.aspx?docnum=37708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presidencia.gob.s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 Miranda</dc:creator>
  <cp:lastModifiedBy>Glenda Marisol Campos de Cáceres</cp:lastModifiedBy>
  <cp:revision>3</cp:revision>
  <cp:lastPrinted>2015-05-18T22:38:00Z</cp:lastPrinted>
  <dcterms:created xsi:type="dcterms:W3CDTF">2016-03-11T21:56:00Z</dcterms:created>
  <dcterms:modified xsi:type="dcterms:W3CDTF">2016-03-14T21:29:00Z</dcterms:modified>
</cp:coreProperties>
</file>