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7088F878" w:rsidR="005B5DF4" w:rsidRPr="005B5DF4" w:rsidRDefault="00B22C0A" w:rsidP="00B22C0A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9C34952" wp14:editId="7486C037">
            <wp:extent cx="4304030" cy="74358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4A14FA92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254F9D">
        <w:rPr>
          <w:b/>
          <w:sz w:val="24"/>
          <w:lang w:val="es-MX"/>
        </w:rPr>
        <w:t>7</w:t>
      </w:r>
      <w:r w:rsidR="00EB0B46" w:rsidRPr="00EB0B46">
        <w:rPr>
          <w:b/>
          <w:sz w:val="24"/>
          <w:lang w:val="es-MX"/>
        </w:rPr>
        <w:t>/2022</w:t>
      </w:r>
    </w:p>
    <w:p w14:paraId="615E5437" w14:textId="7C4C0295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7F6B34">
        <w:rPr>
          <w:lang w:val="es-MX"/>
        </w:rPr>
        <w:t>ocho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E055B9">
        <w:rPr>
          <w:lang w:val="es-MX"/>
        </w:rPr>
        <w:t>seis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3CBB089C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7F6B34">
        <w:rPr>
          <w:b/>
          <w:lang w:val="es-MX"/>
        </w:rPr>
        <w:t>4</w:t>
      </w:r>
      <w:r w:rsidR="00BB6C74">
        <w:rPr>
          <w:b/>
          <w:lang w:val="es-MX"/>
        </w:rPr>
        <w:t>5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BB6C74">
        <w:rPr>
          <w:lang w:val="es-MX"/>
        </w:rPr>
        <w:t>uno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B22C0A">
        <w:rPr>
          <w:b/>
          <w:lang w:val="es-MX"/>
        </w:rPr>
        <w:t>______________________-</w:t>
      </w:r>
      <w:r w:rsidRPr="005B5DF4">
        <w:rPr>
          <w:lang w:val="es-MX"/>
        </w:rPr>
        <w:t xml:space="preserve">, Persona natural, con Documento de Identidad (DI) números </w:t>
      </w:r>
      <w:r w:rsidR="00B22C0A">
        <w:rPr>
          <w:lang w:val="es-MX"/>
        </w:rPr>
        <w:t>______________________________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bookmarkStart w:id="0" w:name="_Hlk107992795"/>
      <w:r w:rsidR="00B96950">
        <w:rPr>
          <w:lang w:val="es-MX"/>
        </w:rPr>
        <w:t xml:space="preserve">de </w:t>
      </w:r>
      <w:r w:rsidR="00BB6C74">
        <w:rPr>
          <w:lang w:val="es-MX"/>
        </w:rPr>
        <w:t>Mixco Guatemala</w:t>
      </w:r>
      <w:bookmarkEnd w:id="0"/>
      <w:r w:rsidR="00514DF8">
        <w:rPr>
          <w:lang w:val="es-MX"/>
        </w:rPr>
        <w:t xml:space="preserve">, </w:t>
      </w:r>
      <w:r w:rsidR="00BB6C74" w:rsidRPr="00BB6C74">
        <w:rPr>
          <w:lang w:val="es-MX"/>
        </w:rPr>
        <w:t>Guatemala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>en la cual solicita que se le proporcione la siguiente información</w:t>
      </w:r>
      <w:r w:rsidRPr="006758FD">
        <w:rPr>
          <w:lang w:val="es-MX"/>
        </w:rPr>
        <w:t xml:space="preserve">: </w:t>
      </w:r>
    </w:p>
    <w:p w14:paraId="230BB648" w14:textId="07D4C431" w:rsidR="007F6B34" w:rsidRDefault="00BB6C74" w:rsidP="00304A8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Pr="00BB6C74">
        <w:rPr>
          <w:rFonts w:ascii="Calibri" w:eastAsia="Calibri" w:hAnsi="Calibri" w:cs="Calibri"/>
          <w:b/>
        </w:rPr>
        <w:t xml:space="preserve">De la manera más atenta les solicitamos nos envíen un listado en formato digital (xls, </w:t>
      </w:r>
      <w:proofErr w:type="spellStart"/>
      <w:r w:rsidRPr="00BB6C74">
        <w:rPr>
          <w:rFonts w:ascii="Calibri" w:eastAsia="Calibri" w:hAnsi="Calibri" w:cs="Calibri"/>
          <w:b/>
        </w:rPr>
        <w:t>csv</w:t>
      </w:r>
      <w:proofErr w:type="spellEnd"/>
      <w:r w:rsidRPr="00BB6C74">
        <w:rPr>
          <w:rFonts w:ascii="Calibri" w:eastAsia="Calibri" w:hAnsi="Calibri" w:cs="Calibri"/>
          <w:b/>
        </w:rPr>
        <w:t xml:space="preserve"> o similar), en donde aparezcan las Minas/Canteras Activas que contenga los siguientes campos: Número de Licencia, Nombre de mina/cantera, Titular del Derecho de Explotación, Departamento, Municipio, Ubicación, Tipo de material, Venta o Autoconsumo, Coordenadas (</w:t>
      </w:r>
      <w:proofErr w:type="spellStart"/>
      <w:r w:rsidRPr="00BB6C74">
        <w:rPr>
          <w:rFonts w:ascii="Calibri" w:eastAsia="Calibri" w:hAnsi="Calibri" w:cs="Calibri"/>
          <w:b/>
        </w:rPr>
        <w:t>Lat</w:t>
      </w:r>
      <w:proofErr w:type="spellEnd"/>
      <w:r w:rsidRPr="00BB6C74">
        <w:rPr>
          <w:rFonts w:ascii="Calibri" w:eastAsia="Calibri" w:hAnsi="Calibri" w:cs="Calibri"/>
          <w:b/>
        </w:rPr>
        <w:t xml:space="preserve"> - Long), Teléfono</w:t>
      </w:r>
      <w:r w:rsidR="007F6B34" w:rsidRPr="007F6B34">
        <w:rPr>
          <w:rFonts w:ascii="Calibri" w:eastAsia="Calibri" w:hAnsi="Calibri" w:cs="Calibri"/>
          <w:b/>
        </w:rPr>
        <w:t xml:space="preserve">.”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1C048709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r w:rsidR="00B22C0A">
        <w:t>_______________________________________</w:t>
      </w:r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4347B4E1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Ministerio,</w:t>
      </w:r>
      <w:r w:rsidRPr="00FA6C0E">
        <w:rPr>
          <w:lang w:val="es-MX"/>
        </w:rPr>
        <w:t xml:space="preserve"> de </w:t>
      </w:r>
      <w:r>
        <w:rPr>
          <w:lang w:val="es-MX"/>
        </w:rPr>
        <w:t>las peticiones referentes a la información solicitada</w:t>
      </w:r>
      <w:r w:rsidRPr="00FA6C0E">
        <w:rPr>
          <w:lang w:val="es-MX"/>
        </w:rPr>
        <w:t xml:space="preserve">, </w:t>
      </w:r>
      <w:r>
        <w:rPr>
          <w:lang w:val="es-MX"/>
        </w:rPr>
        <w:t xml:space="preserve">para localizar y remitir la información </w:t>
      </w:r>
      <w:r w:rsidRPr="00FA6C0E">
        <w:rPr>
          <w:lang w:val="es-MX"/>
        </w:rPr>
        <w:t>solicitada por</w:t>
      </w:r>
      <w:r w:rsidR="007977BC" w:rsidRPr="007977BC">
        <w:rPr>
          <w:lang w:val="es-MX"/>
        </w:rPr>
        <w:t xml:space="preserve"> </w:t>
      </w:r>
      <w:r w:rsidR="00B22C0A">
        <w:rPr>
          <w:lang w:val="es-MX"/>
        </w:rPr>
        <w:t>_____________________________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4A57EFA5" w14:textId="06318860" w:rsidR="00934D68" w:rsidRDefault="00B3444A" w:rsidP="001B0697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CC11A9">
        <w:rPr>
          <w:lang w:val="es-MX"/>
        </w:rPr>
        <w:t xml:space="preserve">Que </w:t>
      </w:r>
      <w:r w:rsidR="001F0610">
        <w:rPr>
          <w:lang w:val="es-MX"/>
        </w:rPr>
        <w:t xml:space="preserve">la </w:t>
      </w:r>
      <w:r w:rsidR="001F0610" w:rsidRPr="001F0610">
        <w:rPr>
          <w:b/>
          <w:bCs/>
          <w:lang w:val="es-MX"/>
        </w:rPr>
        <w:t xml:space="preserve">Dirección </w:t>
      </w:r>
      <w:r w:rsidR="00304A86">
        <w:rPr>
          <w:b/>
          <w:bCs/>
          <w:lang w:val="es-MX"/>
        </w:rPr>
        <w:t>de Hidrocarburos</w:t>
      </w:r>
      <w:r w:rsidR="001F0610" w:rsidRPr="001F0610">
        <w:rPr>
          <w:b/>
          <w:bCs/>
          <w:lang w:val="es-MX"/>
        </w:rPr>
        <w:t xml:space="preserve"> y </w:t>
      </w:r>
      <w:r w:rsidR="00304A86">
        <w:rPr>
          <w:b/>
          <w:bCs/>
          <w:lang w:val="es-MX"/>
        </w:rPr>
        <w:t>Minas</w:t>
      </w:r>
      <w:r w:rsidR="001F0610">
        <w:rPr>
          <w:lang w:val="es-MX"/>
        </w:rPr>
        <w:t xml:space="preserve"> (</w:t>
      </w:r>
      <w:r w:rsidR="00391890">
        <w:rPr>
          <w:lang w:val="es-MX"/>
        </w:rPr>
        <w:t>DHYM</w:t>
      </w:r>
      <w:r w:rsidR="001F0610">
        <w:rPr>
          <w:lang w:val="es-MX"/>
        </w:rPr>
        <w:t xml:space="preserve">), </w:t>
      </w:r>
      <w:r w:rsidR="00784663" w:rsidRPr="00CC11A9">
        <w:rPr>
          <w:lang w:val="es-MX"/>
        </w:rPr>
        <w:t xml:space="preserve">en atención </w:t>
      </w:r>
      <w:r w:rsidR="00951A7B" w:rsidRPr="00CC11A9">
        <w:rPr>
          <w:lang w:val="es-MX"/>
        </w:rPr>
        <w:t xml:space="preserve">a su solicitud </w:t>
      </w:r>
      <w:r w:rsidRPr="00CC11A9">
        <w:rPr>
          <w:lang w:val="es-MX"/>
        </w:rPr>
        <w:t>de</w:t>
      </w:r>
      <w:r w:rsidRPr="00C513F9">
        <w:rPr>
          <w:lang w:val="es-MX"/>
        </w:rPr>
        <w:t xml:space="preserve"> información</w:t>
      </w:r>
      <w:r w:rsidR="006758FD" w:rsidRPr="00C513F9">
        <w:rPr>
          <w:lang w:val="es-MX"/>
        </w:rPr>
        <w:t xml:space="preserve">, </w:t>
      </w:r>
      <w:r w:rsidR="006F0A60" w:rsidRPr="00C513F9">
        <w:rPr>
          <w:lang w:val="es-MX"/>
        </w:rPr>
        <w:t xml:space="preserve">responde por medio de </w:t>
      </w:r>
      <w:bookmarkStart w:id="1" w:name="_Hlk104298884"/>
      <w:r w:rsidR="00097E0C" w:rsidRPr="00C513F9">
        <w:rPr>
          <w:lang w:val="es-MX"/>
        </w:rPr>
        <w:t>correo electrónico</w:t>
      </w:r>
      <w:r w:rsidR="00934D68">
        <w:rPr>
          <w:lang w:val="es-MX"/>
        </w:rPr>
        <w:t>,</w:t>
      </w:r>
      <w:r w:rsidR="00097E0C" w:rsidRPr="00C513F9">
        <w:rPr>
          <w:lang w:val="es-MX"/>
        </w:rPr>
        <w:t xml:space="preserve"> </w:t>
      </w:r>
      <w:r w:rsidR="00934D68">
        <w:rPr>
          <w:lang w:val="es-MX"/>
        </w:rPr>
        <w:t>de la siguiente manera:</w:t>
      </w:r>
    </w:p>
    <w:bookmarkEnd w:id="1"/>
    <w:p w14:paraId="7A0B7BDA" w14:textId="77777777" w:rsidR="00934D68" w:rsidRDefault="00934D68" w:rsidP="00934D68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2F85DEEB" w14:textId="77777777" w:rsidR="00B96950" w:rsidRDefault="00B96950" w:rsidP="00B96950">
      <w:pPr>
        <w:spacing w:after="0"/>
        <w:jc w:val="both"/>
      </w:pPr>
      <w:r>
        <w:t xml:space="preserve">En respuesta a la solicitud de información MINEC-2022-0145, presentada ante la Unidad de Acceso a la Información Pública, del Ministerio de Economía, en la cual solicitan un listado (en formatos xls, </w:t>
      </w:r>
      <w:proofErr w:type="spellStart"/>
      <w:r>
        <w:t>csv</w:t>
      </w:r>
      <w:proofErr w:type="spellEnd"/>
      <w:r>
        <w:t xml:space="preserve"> o similar),de las Minas/Canteras Activas que contenga los campos: Número de Licencia, Nombre de mina/cantera, Titular del Derecho de Explotación, Departamento, Municipio, </w:t>
      </w:r>
      <w:r>
        <w:lastRenderedPageBreak/>
        <w:t>Ubicación, Tipo de material, Venta o Autoconsumo, Coordenadas (</w:t>
      </w:r>
      <w:proofErr w:type="spellStart"/>
      <w:r>
        <w:t>Lat</w:t>
      </w:r>
      <w:proofErr w:type="spellEnd"/>
      <w:r>
        <w:t xml:space="preserve"> - Long) y Teléfono, le informamos lo siguiente:</w:t>
      </w:r>
    </w:p>
    <w:p w14:paraId="3DC59D23" w14:textId="77777777" w:rsidR="00B96950" w:rsidRDefault="00B96950" w:rsidP="00B96950">
      <w:pPr>
        <w:pStyle w:val="Prrafodelista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La Minería Metálica se prohibió en El Salvador por Decreto Legislativo </w:t>
      </w:r>
      <w:proofErr w:type="spellStart"/>
      <w:r>
        <w:rPr>
          <w:rFonts w:eastAsia="Times New Roman"/>
        </w:rPr>
        <w:t>Nª</w:t>
      </w:r>
      <w:proofErr w:type="spellEnd"/>
      <w:r>
        <w:rPr>
          <w:rFonts w:eastAsia="Times New Roman"/>
        </w:rPr>
        <w:t xml:space="preserve"> 639 del año 2017, “Ley de Prohibición de la Minería Metálica”, que dejó expresamente prohibidas las actividades de exploración, extracción, procesamiento, ya sea a cielo abierto o cerrado para la actividad de Minería Metálica;</w:t>
      </w:r>
    </w:p>
    <w:p w14:paraId="612A114B" w14:textId="77777777" w:rsidR="00B96950" w:rsidRDefault="00B96950" w:rsidP="00B96950">
      <w:pPr>
        <w:pStyle w:val="Prrafodelista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La información que se entrega se refiere únicamente a las licencias temporales otorgadas por esta Dirección, reguladas por el Art. 20 del Reglamento de la Ley de Minería, ya que, a la fecha no se han otorgado Licencias a favor de Plantas Procesadoras de material pétreo.</w:t>
      </w:r>
    </w:p>
    <w:p w14:paraId="25E65253" w14:textId="77777777" w:rsidR="00B96950" w:rsidRDefault="00B96950" w:rsidP="00B96950">
      <w:pPr>
        <w:pStyle w:val="Prrafodelista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Las licencias temporales vigentes a la fecha para extracción de Materiales Pétreos se detallan:</w:t>
      </w:r>
    </w:p>
    <w:p w14:paraId="0FF0F918" w14:textId="77777777" w:rsidR="00B96950" w:rsidRDefault="00B96950" w:rsidP="00B96950">
      <w:pPr>
        <w:spacing w:after="0"/>
        <w:jc w:val="both"/>
      </w:pPr>
    </w:p>
    <w:p w14:paraId="2A90D760" w14:textId="10C6DD89" w:rsidR="00B96950" w:rsidRDefault="00B96950" w:rsidP="00B96950">
      <w:pPr>
        <w:spacing w:after="0"/>
        <w:jc w:val="both"/>
      </w:pPr>
      <w:r>
        <w:rPr>
          <w:noProof/>
        </w:rPr>
        <w:drawing>
          <wp:inline distT="0" distB="0" distL="0" distR="0" wp14:anchorId="2FA03108" wp14:editId="40C9D72E">
            <wp:extent cx="6296025" cy="1475105"/>
            <wp:effectExtent l="0" t="0" r="9525" b="0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468F" w14:textId="77777777" w:rsidR="00B96950" w:rsidRDefault="00B96950" w:rsidP="00B96950">
      <w:pPr>
        <w:spacing w:after="0"/>
        <w:jc w:val="both"/>
      </w:pPr>
    </w:p>
    <w:p w14:paraId="2517D72C" w14:textId="5B82450F" w:rsidR="00CB7A62" w:rsidRDefault="00934D68" w:rsidP="00934D68">
      <w:pPr>
        <w:shd w:val="clear" w:color="auto" w:fill="FFFFFF"/>
        <w:spacing w:after="0"/>
        <w:ind w:left="426"/>
        <w:jc w:val="both"/>
        <w:rPr>
          <w:lang w:val="es-MX"/>
        </w:rPr>
      </w:pPr>
      <w:r>
        <w:rPr>
          <w:lang w:val="es-MX"/>
        </w:rPr>
        <w:t>(Sic)</w:t>
      </w:r>
    </w:p>
    <w:p w14:paraId="5488C58F" w14:textId="77777777" w:rsidR="00934D68" w:rsidRPr="00CB7A62" w:rsidRDefault="00934D68" w:rsidP="00934D68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3F6FD0F7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B22C0A">
        <w:rPr>
          <w:b/>
          <w:lang w:val="es-MX"/>
        </w:rPr>
        <w:t>____________________________</w:t>
      </w:r>
      <w:r w:rsidR="00304A86" w:rsidRPr="00304A86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A44715C" w14:textId="77777777" w:rsidR="00254F9D" w:rsidRDefault="00254F9D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16FFEC29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B22C0A">
        <w:rPr>
          <w:lang w:val="es-MX"/>
        </w:rPr>
        <w:t>___________________________________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7777777" w:rsidR="005800F7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5800F7" w:rsidRPr="005B5DF4" w:rsidSect="00E505DB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4B6F" w14:textId="77777777" w:rsidR="00B07A9D" w:rsidRDefault="00B07A9D">
      <w:pPr>
        <w:spacing w:after="0" w:line="240" w:lineRule="auto"/>
      </w:pPr>
      <w:r>
        <w:separator/>
      </w:r>
    </w:p>
  </w:endnote>
  <w:endnote w:type="continuationSeparator" w:id="0">
    <w:p w14:paraId="19DD04B1" w14:textId="77777777" w:rsidR="00B07A9D" w:rsidRDefault="00B0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EBB4" w14:textId="77777777" w:rsidR="00B07A9D" w:rsidRDefault="00B07A9D">
      <w:pPr>
        <w:spacing w:after="0" w:line="240" w:lineRule="auto"/>
      </w:pPr>
      <w:r>
        <w:separator/>
      </w:r>
    </w:p>
  </w:footnote>
  <w:footnote w:type="continuationSeparator" w:id="0">
    <w:p w14:paraId="1D8D7E0B" w14:textId="77777777" w:rsidR="00B07A9D" w:rsidRDefault="00B0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2A566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B2C2C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43F3"/>
    <w:rsid w:val="00391890"/>
    <w:rsid w:val="003A149D"/>
    <w:rsid w:val="003B18E5"/>
    <w:rsid w:val="003B7906"/>
    <w:rsid w:val="003C126F"/>
    <w:rsid w:val="003C632F"/>
    <w:rsid w:val="00402757"/>
    <w:rsid w:val="0040379A"/>
    <w:rsid w:val="0042686E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800F7"/>
    <w:rsid w:val="005809B8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B0EE3"/>
    <w:rsid w:val="006C3738"/>
    <w:rsid w:val="006E06E6"/>
    <w:rsid w:val="006F038C"/>
    <w:rsid w:val="006F0A60"/>
    <w:rsid w:val="006F4707"/>
    <w:rsid w:val="006F61A9"/>
    <w:rsid w:val="00724543"/>
    <w:rsid w:val="0077047D"/>
    <w:rsid w:val="00784663"/>
    <w:rsid w:val="00792309"/>
    <w:rsid w:val="007977BC"/>
    <w:rsid w:val="007A10A0"/>
    <w:rsid w:val="007B2BFF"/>
    <w:rsid w:val="007B3D20"/>
    <w:rsid w:val="007C15FE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07A9D"/>
    <w:rsid w:val="00B22C0A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89080.BE97744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2022-07-06T15:35:00Z</cp:lastPrinted>
  <dcterms:created xsi:type="dcterms:W3CDTF">2022-07-08T16:30:00Z</dcterms:created>
  <dcterms:modified xsi:type="dcterms:W3CDTF">2022-07-08T16:30:00Z</dcterms:modified>
</cp:coreProperties>
</file>