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5505125" wp14:editId="3545D68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02920">
      <w:pPr>
        <w:autoSpaceDE w:val="0"/>
        <w:autoSpaceDN w:val="0"/>
        <w:adjustRightInd w:val="0"/>
        <w:spacing w:after="0" w:line="24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222222"/>
        </w:rPr>
      </w:pPr>
      <w:r>
        <w:rPr>
          <w:rFonts w:ascii="*Calibri-7390-Identity-H" w:hAnsi="*Calibri-7390-Identity-H" w:cs="*Calibri-7390-Identity-H"/>
          <w:color w:val="222222"/>
        </w:rPr>
        <w:t>L</w:t>
      </w:r>
      <w:r>
        <w:rPr>
          <w:rFonts w:ascii="*Calibri-7390-Identity-H" w:hAnsi="*Calibri-7390-Identity-H" w:cs="*Calibri-7390-Identity-H"/>
          <w:color w:val="222222"/>
        </w:rPr>
        <w:t xml:space="preserve">a </w:t>
      </w:r>
      <w:r>
        <w:rPr>
          <w:rFonts w:ascii="*Calibri-BoldItalic-7392-Identi" w:hAnsi="*Calibri-BoldItalic-7392-Identi" w:cs="*Calibri-BoldItalic-7392-Identi"/>
          <w:b/>
          <w:bCs/>
          <w:i/>
          <w:iCs/>
          <w:color w:val="222222"/>
        </w:rPr>
        <w:t xml:space="preserve">Dirección de Hidrocarburos </w:t>
      </w:r>
      <w:r>
        <w:rPr>
          <w:rFonts w:ascii="*Tahoma-BoldItalic-7395-Identit" w:hAnsi="*Tahoma-BoldItalic-7395-Identit" w:cs="*Tahoma-BoldItalic-7395-Identit"/>
          <w:b/>
          <w:bCs/>
          <w:i/>
          <w:iCs/>
          <w:color w:val="222222"/>
          <w:sz w:val="18"/>
          <w:szCs w:val="18"/>
        </w:rPr>
        <w:t xml:space="preserve">y </w:t>
      </w:r>
      <w:r>
        <w:rPr>
          <w:rFonts w:ascii="*Calibri-BoldItalic-7392-Identi" w:hAnsi="*Calibri-BoldItalic-7392-Identi" w:cs="*Calibri-BoldItalic-7392-Identi"/>
          <w:b/>
          <w:bCs/>
          <w:i/>
          <w:iCs/>
          <w:color w:val="222222"/>
        </w:rPr>
        <w:t xml:space="preserve">Minas </w:t>
      </w:r>
      <w:r>
        <w:rPr>
          <w:rFonts w:ascii="*Calibri-Bold-7391-Identity-H" w:hAnsi="*Calibri-Bold-7391-Identity-H" w:cs="*Calibri-Bold-7391-Identity-H"/>
          <w:b/>
          <w:bCs/>
          <w:color w:val="222222"/>
        </w:rPr>
        <w:t xml:space="preserve">(DHYM), </w:t>
      </w:r>
      <w:r>
        <w:rPr>
          <w:rFonts w:ascii="*Calibri-7390-Identity-H" w:hAnsi="*Calibri-7390-Identity-H" w:cs="*Calibri-7390-Identity-H"/>
          <w:color w:val="222222"/>
        </w:rPr>
        <w:t>en atenció</w:t>
      </w:r>
      <w:r>
        <w:rPr>
          <w:rFonts w:ascii="*Calibri-7390-Identity-H" w:hAnsi="*Calibri-7390-Identity-H" w:cs="*Calibri-7390-Identity-H"/>
          <w:color w:val="222222"/>
        </w:rPr>
        <w:t xml:space="preserve">n y respuesta al </w:t>
      </w:r>
      <w:r>
        <w:rPr>
          <w:rFonts w:ascii="*Calibri-7390-Identity-H" w:hAnsi="*Calibri-7390-Identity-H" w:cs="*Calibri-7390-Identity-H"/>
          <w:color w:val="222222"/>
        </w:rPr>
        <w:t>requerimiento de información, responde por medio de correo electrónico, lo siguiente: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1C1C1D"/>
        </w:rPr>
      </w:pPr>
      <w:r>
        <w:rPr>
          <w:rFonts w:ascii="*Calibri-7390-Identity-H" w:hAnsi="*Calibri-7390-Identity-H" w:cs="*Calibri-7390-Identity-H"/>
          <w:color w:val="1C1C1D"/>
        </w:rPr>
        <w:t>La respuesta a su solicitud de información MINEC-2</w:t>
      </w:r>
      <w:r>
        <w:rPr>
          <w:rFonts w:ascii="*Calibri-7390-Identity-H" w:hAnsi="*Calibri-7390-Identity-H" w:cs="*Calibri-7390-Identity-H"/>
          <w:color w:val="1C1C1D"/>
        </w:rPr>
        <w:t xml:space="preserve">021-0113 MINEC, por medio de la </w:t>
      </w:r>
      <w:r>
        <w:rPr>
          <w:rFonts w:ascii="*Calibri-7390-Identity-H" w:hAnsi="*Calibri-7390-Identity-H" w:cs="*Calibri-7390-Identity-H"/>
          <w:color w:val="1C1C1D"/>
        </w:rPr>
        <w:t>cual solicita: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1D1D1D"/>
        </w:rPr>
      </w:pPr>
      <w:r>
        <w:rPr>
          <w:rFonts w:ascii="*Calibri-7390-Identity-H" w:hAnsi="*Calibri-7390-Identity-H" w:cs="*Calibri-7390-Identity-H"/>
          <w:color w:val="1D1D1D"/>
        </w:rPr>
        <w:t>"Según acuerdo ministerial del 24 de noviembre de 20</w:t>
      </w:r>
      <w:r>
        <w:rPr>
          <w:rFonts w:ascii="*Calibri-7390-Identity-H" w:hAnsi="*Calibri-7390-Identity-H" w:cs="*Calibri-7390-Identity-H"/>
          <w:color w:val="1D1D1D"/>
        </w:rPr>
        <w:t xml:space="preserve">17 el cual cita literalmente lo </w:t>
      </w:r>
      <w:r>
        <w:rPr>
          <w:rFonts w:ascii="*Calibri-7390-Identity-H" w:hAnsi="*Calibri-7390-Identity-H" w:cs="*Calibri-7390-Identity-H"/>
          <w:color w:val="1D1D1D"/>
        </w:rPr>
        <w:t>siguiente: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1D1D1D"/>
        </w:rPr>
      </w:pP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1D1C1D"/>
        </w:rPr>
      </w:pPr>
      <w:r>
        <w:rPr>
          <w:rFonts w:ascii="*Calibri-7390-Identity-H" w:hAnsi="*Calibri-7390-Identity-H" w:cs="*Calibri-7390-Identity-H"/>
          <w:color w:val="1D1C1D"/>
        </w:rPr>
        <w:t>Se establecerán valores unitarios por galón para cada gasolina y dié</w:t>
      </w:r>
      <w:r>
        <w:rPr>
          <w:rFonts w:ascii="*Calibri-7390-Identity-H" w:hAnsi="*Calibri-7390-Identity-H" w:cs="*Calibri-7390-Identity-H"/>
          <w:color w:val="1D1C1D"/>
        </w:rPr>
        <w:t xml:space="preserve">sel, tanto para el </w:t>
      </w:r>
      <w:r>
        <w:rPr>
          <w:rFonts w:ascii="*Calibri-7390-Identity-H" w:hAnsi="*Calibri-7390-Identity-H" w:cs="*Calibri-7390-Identity-H"/>
          <w:color w:val="1D1C1D"/>
        </w:rPr>
        <w:t>mayorista como para el minorista de manera separada. Los valores unitarios en Dó</w:t>
      </w:r>
      <w:r>
        <w:rPr>
          <w:rFonts w:ascii="*Calibri-7390-Identity-H" w:hAnsi="*Calibri-7390-Identity-H" w:cs="*Calibri-7390-Identity-H"/>
          <w:color w:val="1D1C1D"/>
        </w:rPr>
        <w:t xml:space="preserve">lares </w:t>
      </w:r>
      <w:r>
        <w:rPr>
          <w:rFonts w:ascii="*Calibri-7390-Identity-H" w:hAnsi="*Calibri-7390-Identity-H" w:cs="*Calibri-7390-Identity-H"/>
          <w:color w:val="1D1C1D"/>
        </w:rPr>
        <w:t>de los Estados Unidos de América por galón para cada producto, se calculará</w:t>
      </w:r>
      <w:r>
        <w:rPr>
          <w:rFonts w:ascii="*Calibri-7390-Identity-H" w:hAnsi="*Calibri-7390-Identity-H" w:cs="*Calibri-7390-Identity-H"/>
          <w:color w:val="1D1C1D"/>
        </w:rPr>
        <w:t xml:space="preserve">n como </w:t>
      </w:r>
      <w:r>
        <w:rPr>
          <w:rFonts w:ascii="*Calibri-7390-Identity-H" w:hAnsi="*Calibri-7390-Identity-H" w:cs="*Calibri-7390-Identity-H"/>
          <w:color w:val="1D1C1D"/>
        </w:rPr>
        <w:t>promedio de los márgenes obtenidos en el mercado local, durante las ú</w:t>
      </w:r>
      <w:r>
        <w:rPr>
          <w:rFonts w:ascii="*Calibri-7390-Identity-H" w:hAnsi="*Calibri-7390-Identity-H" w:cs="*Calibri-7390-Identity-H"/>
          <w:color w:val="1D1C1D"/>
        </w:rPr>
        <w:t xml:space="preserve">ltimas cuatro (4) </w:t>
      </w:r>
      <w:r>
        <w:rPr>
          <w:rFonts w:ascii="*Calibri-7390-Identity-H" w:hAnsi="*Calibri-7390-Identity-H" w:cs="*Calibri-7390-Identity-H"/>
          <w:color w:val="1D1C1D"/>
        </w:rPr>
        <w:t>semanas previas a la fecha de realización del cálculo de los precios de ref</w:t>
      </w:r>
      <w:r>
        <w:rPr>
          <w:rFonts w:ascii="*Calibri-7390-Identity-H" w:hAnsi="*Calibri-7390-Identity-H" w:cs="*Calibri-7390-Identity-H"/>
          <w:color w:val="1D1C1D"/>
        </w:rPr>
        <w:t xml:space="preserve">erencia, de las </w:t>
      </w:r>
      <w:r>
        <w:rPr>
          <w:rFonts w:ascii="*Calibri-7390-Identity-H" w:hAnsi="*Calibri-7390-Identity-H" w:cs="*Calibri-7390-Identity-H"/>
          <w:color w:val="1D1C1D"/>
        </w:rPr>
        <w:t>cuales se posea información en la Dirección Regul</w:t>
      </w:r>
      <w:r>
        <w:rPr>
          <w:rFonts w:ascii="*Calibri-7390-Identity-H" w:hAnsi="*Calibri-7390-Identity-H" w:cs="*Calibri-7390-Identity-H"/>
          <w:color w:val="1D1C1D"/>
        </w:rPr>
        <w:t xml:space="preserve">adora de Hidrocarburos y Minas, </w:t>
      </w:r>
      <w:r>
        <w:rPr>
          <w:rFonts w:ascii="*Calibri-7390-Identity-H" w:hAnsi="*Calibri-7390-Identity-H" w:cs="*Calibri-7390-Identity-H"/>
          <w:color w:val="1D1C1D"/>
        </w:rPr>
        <w:t>ponderados por los volúmenes de venta de las empre</w:t>
      </w:r>
      <w:r>
        <w:rPr>
          <w:rFonts w:ascii="*Calibri-7390-Identity-H" w:hAnsi="*Calibri-7390-Identity-H" w:cs="*Calibri-7390-Identity-H"/>
          <w:color w:val="1D1C1D"/>
        </w:rPr>
        <w:t xml:space="preserve">sas mayoristas y minoristas del </w:t>
      </w:r>
      <w:r>
        <w:rPr>
          <w:rFonts w:ascii="*Calibri-7390-Identity-H" w:hAnsi="*Calibri-7390-Identity-H" w:cs="*Calibri-7390-Identity-H"/>
          <w:color w:val="1D1C1D"/>
        </w:rPr>
        <w:t>mismo período. Los márgenes del mayorista y del minorista obtenidos de la man</w:t>
      </w:r>
      <w:r>
        <w:rPr>
          <w:rFonts w:ascii="*Calibri-7390-Identity-H" w:hAnsi="*Calibri-7390-Identity-H" w:cs="*Calibri-7390-Identity-H"/>
          <w:color w:val="1D1C1D"/>
        </w:rPr>
        <w:t xml:space="preserve">era </w:t>
      </w:r>
      <w:r>
        <w:rPr>
          <w:rFonts w:ascii="*Calibri-7390-Identity-H" w:hAnsi="*Calibri-7390-Identity-H" w:cs="*Calibri-7390-Identity-H"/>
          <w:color w:val="1D1C1D"/>
        </w:rPr>
        <w:t>indicada anteriormente, serán analizados por la Direcció</w:t>
      </w:r>
      <w:r>
        <w:rPr>
          <w:rFonts w:ascii="*Calibri-7390-Identity-H" w:hAnsi="*Calibri-7390-Identity-H" w:cs="*Calibri-7390-Identity-H"/>
          <w:color w:val="1D1C1D"/>
        </w:rPr>
        <w:t xml:space="preserve">n Reguladora de Hidrocarburos </w:t>
      </w:r>
      <w:r>
        <w:rPr>
          <w:rFonts w:ascii="*Calibri-7390-Identity-H" w:hAnsi="*Calibri-7390-Identity-H" w:cs="*Calibri-7390-Identity-H"/>
          <w:color w:val="1D1C1D"/>
        </w:rPr>
        <w:t>y Minas, para verificar que se encuentren dent</w:t>
      </w:r>
      <w:r>
        <w:rPr>
          <w:rFonts w:ascii="*Calibri-7390-Identity-H" w:hAnsi="*Calibri-7390-Identity-H" w:cs="*Calibri-7390-Identity-H"/>
          <w:color w:val="1D1C1D"/>
        </w:rPr>
        <w:t xml:space="preserve">ro de una banda de rendimientos </w:t>
      </w:r>
      <w:r>
        <w:rPr>
          <w:rFonts w:ascii="*Calibri-7390-Identity-H" w:hAnsi="*Calibri-7390-Identity-H" w:cs="*Calibri-7390-Identity-H"/>
          <w:color w:val="1D1C1D"/>
        </w:rPr>
        <w:t xml:space="preserve">financieros aceptables en el mercado nacional, con </w:t>
      </w:r>
      <w:r>
        <w:rPr>
          <w:rFonts w:ascii="*Calibri-7390-Identity-H" w:hAnsi="*Calibri-7390-Identity-H" w:cs="*Calibri-7390-Identity-H"/>
          <w:color w:val="1D1C1D"/>
        </w:rPr>
        <w:t xml:space="preserve">un 16.00% de la tasa interna de </w:t>
      </w:r>
      <w:r>
        <w:rPr>
          <w:rFonts w:ascii="*Calibri-7390-Identity-H" w:hAnsi="*Calibri-7390-Identity-H" w:cs="*Calibri-7390-Identity-H"/>
          <w:color w:val="1D1C1D"/>
        </w:rPr>
        <w:t xml:space="preserve">retorno, dicha tasa será </w:t>
      </w:r>
      <w:proofErr w:type="spellStart"/>
      <w:r>
        <w:rPr>
          <w:rFonts w:ascii="*Calibri-7390-Identity-H" w:hAnsi="*Calibri-7390-Identity-H" w:cs="*Calibri-7390-Identity-H"/>
          <w:color w:val="1D1C1D"/>
        </w:rPr>
        <w:t>revisadó</w:t>
      </w:r>
      <w:proofErr w:type="spellEnd"/>
      <w:r>
        <w:rPr>
          <w:rFonts w:ascii="*Calibri-7390-Identity-H" w:hAnsi="*Calibri-7390-Identity-H" w:cs="*Calibri-7390-Identity-H"/>
          <w:color w:val="1D1C1D"/>
        </w:rPr>
        <w:t xml:space="preserve"> en función de las condiciones de mercado."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232121"/>
        </w:rPr>
      </w:pPr>
      <w:r>
        <w:rPr>
          <w:rFonts w:ascii="*Calibri-7390-Identity-H" w:hAnsi="*Calibri-7390-Identity-H" w:cs="*Calibri-7390-Identity-H"/>
          <w:color w:val="232121"/>
        </w:rPr>
        <w:t xml:space="preserve">Por lo anterior por este medio le solicito me informe </w:t>
      </w:r>
      <w:r>
        <w:rPr>
          <w:rFonts w:ascii="*Calibri-7390-Identity-H" w:hAnsi="*Calibri-7390-Identity-H" w:cs="*Calibri-7390-Identity-H"/>
          <w:color w:val="232121"/>
        </w:rPr>
        <w:t xml:space="preserve">el monto del margen de utilidad </w:t>
      </w:r>
      <w:r>
        <w:rPr>
          <w:rFonts w:ascii="*Calibri-7390-Identity-H" w:hAnsi="*Calibri-7390-Identity-H" w:cs="*Calibri-7390-Identity-H"/>
          <w:color w:val="232121"/>
        </w:rPr>
        <w:t>asignado de manera separada al distribuidor mayorista y a</w:t>
      </w:r>
      <w:r>
        <w:rPr>
          <w:rFonts w:ascii="*Calibri-7390-Identity-H" w:hAnsi="*Calibri-7390-Identity-H" w:cs="*Calibri-7390-Identity-H"/>
          <w:color w:val="232121"/>
        </w:rPr>
        <w:t xml:space="preserve">l distribuidor minorista de los </w:t>
      </w:r>
      <w:r>
        <w:rPr>
          <w:rFonts w:ascii="*Calibri-7390-Identity-H" w:hAnsi="*Calibri-7390-Identity-H" w:cs="*Calibri-7390-Identity-H"/>
          <w:color w:val="232121"/>
        </w:rPr>
        <w:t>combustibles: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262424"/>
        </w:rPr>
      </w:pPr>
      <w:r>
        <w:rPr>
          <w:rFonts w:ascii="*Calibri-7390-Identity-H" w:hAnsi="*Calibri-7390-Identity-H" w:cs="*Calibri-7390-Identity-H"/>
          <w:color w:val="262424"/>
        </w:rPr>
        <w:t>1-gasolina súper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252425"/>
        </w:rPr>
      </w:pPr>
      <w:r>
        <w:rPr>
          <w:rFonts w:ascii="*Calibri-7390-Identity-H" w:hAnsi="*Calibri-7390-Identity-H" w:cs="*Calibri-7390-Identity-H"/>
          <w:color w:val="252425"/>
        </w:rPr>
        <w:t>2-gasolina regular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7390-Identity-H" w:hAnsi="*Calibri-7390-Identity-H" w:cs="*Calibri-7390-Identity-H"/>
          <w:color w:val="242323"/>
        </w:rPr>
      </w:pPr>
      <w:r>
        <w:rPr>
          <w:rFonts w:ascii="*Calibri-7390-Identity-H" w:hAnsi="*Calibri-7390-Identity-H" w:cs="*Calibri-7390-Identity-H"/>
          <w:color w:val="242323"/>
        </w:rPr>
        <w:t>3-diésel</w:t>
      </w:r>
    </w:p>
    <w:p w:rsidR="005112BC" w:rsidRDefault="005112BC" w:rsidP="005112BC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7390-Identity-H" w:hAnsi="*Calibri-7390-Identity-H" w:cs="*Calibri-7390-Identity-H"/>
          <w:color w:val="272525"/>
        </w:rPr>
        <w:t>Para el periodo que estuvo vigente en la fecha del 23 de marzo al 5 de abril de 2021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22222"/>
        </w:rPr>
      </w:pPr>
      <w:r>
        <w:rPr>
          <w:rFonts w:ascii="*Calibri-Italic-9609-Identity-H" w:hAnsi="*Calibri-Italic-9609-Identity-H" w:cs="*Calibri-Italic-9609-Identity-H"/>
          <w:i/>
          <w:iCs/>
          <w:color w:val="222222"/>
        </w:rPr>
        <w:t>El Salvador tiene un sistema de precios de refe</w:t>
      </w:r>
      <w:r>
        <w:rPr>
          <w:rFonts w:ascii="*Calibri-Italic-9609-Identity-H" w:hAnsi="*Calibri-Italic-9609-Identity-H" w:cs="*Calibri-Italic-9609-Identity-H"/>
          <w:i/>
          <w:iCs/>
          <w:color w:val="222222"/>
        </w:rPr>
        <w:t xml:space="preserve">rencia en el mercado nacional y </w:t>
      </w:r>
      <w:r>
        <w:rPr>
          <w:rFonts w:ascii="*Calibri-Italic-9609-Identity-H" w:hAnsi="*Calibri-Italic-9609-Identity-H" w:cs="*Calibri-Italic-9609-Identity-H"/>
          <w:i/>
          <w:iCs/>
          <w:color w:val="222222"/>
        </w:rPr>
        <w:t>monitoreo de la importación, distribución y comercializació</w:t>
      </w:r>
      <w:r>
        <w:rPr>
          <w:rFonts w:ascii="*Calibri-Italic-9609-Identity-H" w:hAnsi="*Calibri-Italic-9609-Identity-H" w:cs="*Calibri-Italic-9609-Identity-H"/>
          <w:i/>
          <w:iCs/>
          <w:color w:val="222222"/>
        </w:rPr>
        <w:t xml:space="preserve">n de hidrocarburos para dotar </w:t>
      </w:r>
      <w:r>
        <w:rPr>
          <w:rFonts w:ascii="*Calibri-Italic-9609-Identity-H" w:hAnsi="*Calibri-Italic-9609-Identity-H" w:cs="*Calibri-Italic-9609-Identity-H"/>
          <w:i/>
          <w:iCs/>
          <w:color w:val="222222"/>
        </w:rPr>
        <w:t>de mayor transparencia al mercado, difundiendo informació</w:t>
      </w:r>
      <w:r>
        <w:rPr>
          <w:rFonts w:ascii="*Calibri-Italic-9609-Identity-H" w:hAnsi="*Calibri-Italic-9609-Identity-H" w:cs="*Calibri-Italic-9609-Identity-H"/>
          <w:i/>
          <w:iCs/>
          <w:color w:val="222222"/>
        </w:rPr>
        <w:t xml:space="preserve">n confiable y permanente a </w:t>
      </w:r>
      <w:r>
        <w:rPr>
          <w:rFonts w:ascii="*Calibri-Italic-9609-Identity-H" w:hAnsi="*Calibri-Italic-9609-Identity-H" w:cs="*Calibri-Italic-9609-Identity-H"/>
          <w:i/>
          <w:iCs/>
          <w:color w:val="222222"/>
        </w:rPr>
        <w:t>todos los agentes del mercado, es decir a los consumi</w:t>
      </w:r>
      <w:r>
        <w:rPr>
          <w:rFonts w:ascii="*Calibri-Italic-9609-Identity-H" w:hAnsi="*Calibri-Italic-9609-Identity-H" w:cs="*Calibri-Italic-9609-Identity-H"/>
          <w:i/>
          <w:iCs/>
          <w:color w:val="222222"/>
        </w:rPr>
        <w:t xml:space="preserve">dores, empresas distribuidoras, </w:t>
      </w:r>
      <w:r>
        <w:rPr>
          <w:rFonts w:ascii="*Calibri-Italic-9609-Identity-H" w:hAnsi="*Calibri-Italic-9609-Identity-H" w:cs="*Calibri-Italic-9609-Identity-H"/>
          <w:i/>
          <w:iCs/>
          <w:color w:val="222222"/>
        </w:rPr>
        <w:t>mayoristas y minoristas.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32323"/>
        </w:rPr>
      </w:pP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32323"/>
        </w:rPr>
      </w:pPr>
      <w:r>
        <w:rPr>
          <w:rFonts w:ascii="*Calibri-Italic-9609-Identity-H" w:hAnsi="*Calibri-Italic-9609-Identity-H" w:cs="*Calibri-Italic-9609-Identity-H"/>
          <w:i/>
          <w:iCs/>
          <w:color w:val="232323"/>
        </w:rPr>
        <w:t>El Ministerio de Economía (MINEC} a través de la Dirección de Hidrocarburos y Minas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32323"/>
        </w:rPr>
      </w:pPr>
      <w:r>
        <w:rPr>
          <w:rFonts w:ascii="*Calibri-Italic-9609-Identity-H" w:hAnsi="*Calibri-Italic-9609-Identity-H" w:cs="*Calibri-Italic-9609-Identity-H"/>
          <w:i/>
          <w:iCs/>
          <w:color w:val="232323"/>
        </w:rPr>
        <w:t>{OHM}, tiene un sistema de precios de referenci</w:t>
      </w:r>
      <w:r>
        <w:rPr>
          <w:rFonts w:ascii="*Calibri-Italic-9609-Identity-H" w:hAnsi="*Calibri-Italic-9609-Identity-H" w:cs="*Calibri-Italic-9609-Identity-H"/>
          <w:i/>
          <w:iCs/>
          <w:color w:val="232323"/>
        </w:rPr>
        <w:t xml:space="preserve">a con diferentes documentos que </w:t>
      </w:r>
      <w:r>
        <w:rPr>
          <w:rFonts w:ascii="*Calibri-Italic-9609-Identity-H" w:hAnsi="*Calibri-Italic-9609-Identity-H" w:cs="*Calibri-Italic-9609-Identity-H"/>
          <w:i/>
          <w:iCs/>
          <w:color w:val="232323"/>
        </w:rPr>
        <w:t>respaldan el cálculo generado cada 15 días, que se detallan a continuación: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42325"/>
        </w:rPr>
      </w:pPr>
      <w:r>
        <w:rPr>
          <w:rFonts w:ascii="*Calibri-Italic-9609-Identity-H" w:hAnsi="*Calibri-Italic-9609-Identity-H" w:cs="*Calibri-Italic-9609-Identity-H"/>
          <w:i/>
          <w:iCs/>
          <w:color w:val="242325"/>
        </w:rPr>
        <w:lastRenderedPageBreak/>
        <w:t xml:space="preserve">Acuerdo Ministerial N </w:t>
      </w:r>
      <w:r>
        <w:rPr>
          <w:rFonts w:ascii="*Calibri-Italic-9610-Identity-H" w:hAnsi="*Calibri-Italic-9610-Identity-H" w:cs="*Calibri-Italic-9610-Identity-H"/>
          <w:i/>
          <w:iCs/>
          <w:color w:val="242325"/>
          <w:sz w:val="14"/>
          <w:szCs w:val="14"/>
        </w:rPr>
        <w:t xml:space="preserve">° 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 xml:space="preserve">1639, con fecha 14 de diciembre 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 xml:space="preserve">de 2017, en el que se establece 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>la fórmula para determinar el precio de referencia al público de las gasolinas y dié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 xml:space="preserve">sel en 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>estaciones de servicio del mercado local y en el cual se detalla minuciosamente toda la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 xml:space="preserve"> 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>estructura que contiene valores, factores y variables que forman parte de la fó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 xml:space="preserve">rmula y su 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>respectiva explicación de cómo calcular cada variable, la información contenida en dicho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42325"/>
        </w:rPr>
      </w:pPr>
      <w:r>
        <w:rPr>
          <w:rFonts w:ascii="*Calibri-Italic-9609-Identity-H" w:hAnsi="*Calibri-Italic-9609-Identity-H" w:cs="*Calibri-Italic-9609-Identity-H"/>
          <w:i/>
          <w:iCs/>
          <w:color w:val="242325"/>
        </w:rPr>
        <w:t>Acuerdo es de acceso público para que los consumid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 xml:space="preserve">ores, empresas o cualquier ente </w:t>
      </w:r>
      <w:r>
        <w:rPr>
          <w:rFonts w:ascii="*Calibri-Italic-9609-Identity-H" w:hAnsi="*Calibri-Italic-9609-Identity-H" w:cs="*Calibri-Italic-9609-Identity-H"/>
          <w:i/>
          <w:iCs/>
          <w:color w:val="242325"/>
        </w:rPr>
        <w:t>puedan verificar/o y tener una guía de la estructura de los precios.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62526"/>
        </w:rPr>
      </w:pP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62526"/>
        </w:rPr>
      </w:pPr>
      <w:r>
        <w:rPr>
          <w:rFonts w:ascii="*Calibri-Italic-9609-Identity-H" w:hAnsi="*Calibri-Italic-9609-Identity-H" w:cs="*Calibri-Italic-9609-Identity-H"/>
          <w:i/>
          <w:iCs/>
          <w:color w:val="262526"/>
        </w:rPr>
        <w:t>Sin embargo, la fórmula de precios de referencia en varios de sus í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 xml:space="preserve">tems se encuentra 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clasificada como confidencial, pues de acuerdo a los sig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 xml:space="preserve">uientes documentos y contratos, 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estos han sido declarados como confidencia/es por terceros, tal y como lo determina el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62526"/>
        </w:rPr>
      </w:pPr>
      <w:r>
        <w:rPr>
          <w:rFonts w:ascii="*Calibri-Italic-9609-Identity-H" w:hAnsi="*Calibri-Italic-9609-Identity-H" w:cs="*Calibri-Italic-9609-Identity-H"/>
          <w:i/>
          <w:iCs/>
          <w:color w:val="262526"/>
        </w:rPr>
        <w:t>Art. 6 letra F de la Ley de Acceso a la información Pública, referente a la informació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 xml:space="preserve">n 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confidencial: "Es aquella información privada en poder del Estado, cuyo acceso pú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 xml:space="preserve">blico 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se prohíbe por mandato Constitucional o Legal en razón de un interé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 xml:space="preserve">s personal 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jurídicamente protegido". Y en relación al Copita 111, A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rt. 24, letra O de la misma L</w:t>
      </w:r>
      <w:bookmarkStart w:id="0" w:name="_GoBack"/>
      <w:bookmarkEnd w:id="0"/>
      <w:r>
        <w:rPr>
          <w:rFonts w:ascii="*Calibri-Italic-9609-Identity-H" w:hAnsi="*Calibri-Italic-9609-Identity-H" w:cs="*Calibri-Italic-9609-Identity-H"/>
          <w:i/>
          <w:iCs/>
          <w:color w:val="262526"/>
        </w:rPr>
        <w:t xml:space="preserve">ey 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referente a: "Los secretos profesional, comercial, industrial,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 xml:space="preserve"> fiscal, bancario, fiduciario u 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otro considerado como tal por una disposición l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 xml:space="preserve">egal", los cuales se detallan a </w:t>
      </w:r>
      <w:r>
        <w:rPr>
          <w:rFonts w:ascii="*Calibri-Italic-9609-Identity-H" w:hAnsi="*Calibri-Italic-9609-Identity-H" w:cs="*Calibri-Italic-9609-Identity-H"/>
          <w:i/>
          <w:iCs/>
          <w:color w:val="262526"/>
        </w:rPr>
        <w:t>continuación:</w:t>
      </w: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72527"/>
        </w:rPr>
      </w:pPr>
    </w:p>
    <w:p w:rsid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72527"/>
        </w:rPr>
      </w:pPr>
      <w:r>
        <w:rPr>
          <w:rFonts w:ascii="*Calibri-Italic-9609-Identity-H" w:hAnsi="*Calibri-Italic-9609-Identity-H" w:cs="*Calibri-Italic-9609-Identity-H"/>
          <w:i/>
          <w:iCs/>
          <w:color w:val="272527"/>
        </w:rPr>
        <w:t>El estudio de "Revisión y actualización de la fórmula de precios de referencia del dié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 xml:space="preserve">sel y 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>otros combustibles utilizados en El Salvador", elaborado por la Comisión Económica para</w:t>
      </w:r>
    </w:p>
    <w:p w:rsidR="005112BC" w:rsidRP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Italic-9609-Identity-H" w:hAnsi="*Calibri-Italic-9609-Identity-H" w:cs="*Calibri-Italic-9609-Identity-H"/>
          <w:i/>
          <w:iCs/>
          <w:color w:val="272527"/>
        </w:rPr>
      </w:pPr>
      <w:r>
        <w:rPr>
          <w:rFonts w:ascii="*Calibri-Italic-9609-Identity-H" w:hAnsi="*Calibri-Italic-9609-Identity-H" w:cs="*Calibri-Italic-9609-Identity-H"/>
          <w:i/>
          <w:iCs/>
          <w:color w:val="272527"/>
        </w:rPr>
        <w:t>América Latina y el Caribe (CEPAL}, se realiza cada cierto tiempo a travé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 xml:space="preserve">s del MINEC, 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>donde solicita a CEPAL consultorías que sir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 xml:space="preserve">ven a la OHM para modificar y/o 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>actualizar modelos financieros, ajustándolos a los model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 xml:space="preserve">os originales, lo cual permiten 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 xml:space="preserve">mayor consistencia y fortaleza al cálculo de los precios, </w:t>
      </w:r>
      <w:r>
        <w:rPr>
          <w:rFonts w:ascii="*Calibri-BoldItalic-9607-Identi" w:hAnsi="*Calibri-BoldItalic-9607-Identi" w:cs="*Calibri-BoldItalic-9607-Identi"/>
          <w:b/>
          <w:bCs/>
          <w:i/>
          <w:iCs/>
          <w:color w:val="272527"/>
        </w:rPr>
        <w:t xml:space="preserve">el consultor señala </w:t>
      </w:r>
      <w:r>
        <w:rPr>
          <w:rFonts w:ascii="*Calibri-Bold-9608-Identity-H" w:hAnsi="*Calibri-Bold-9608-Identity-H" w:cs="*Calibri-Bold-9608-Identity-H"/>
          <w:b/>
          <w:bCs/>
          <w:color w:val="272527"/>
        </w:rPr>
        <w:t>como</w:t>
      </w:r>
      <w:r>
        <w:rPr>
          <w:rFonts w:ascii="*Calibri-Italic-9609-Identity-H" w:hAnsi="*Calibri-Italic-9609-Identity-H" w:cs="*Calibri-Italic-9609-Identity-H"/>
          <w:i/>
          <w:iCs/>
          <w:color w:val="272527"/>
        </w:rPr>
        <w:t xml:space="preserve"> </w:t>
      </w:r>
      <w:r>
        <w:rPr>
          <w:rFonts w:ascii="*Calibri-BoldItalic-9607-Identi" w:hAnsi="*Calibri-BoldItalic-9607-Identi" w:cs="*Calibri-BoldItalic-9607-Identi"/>
          <w:b/>
          <w:bCs/>
          <w:i/>
          <w:iCs/>
          <w:color w:val="272527"/>
        </w:rPr>
        <w:t>confidencial el archivo, pues en cada una de las hojas de dicho estudio reza el lema</w:t>
      </w:r>
    </w:p>
    <w:p w:rsidR="005112BC" w:rsidRPr="005112BC" w:rsidRDefault="005112BC" w:rsidP="005112BC">
      <w:pPr>
        <w:autoSpaceDE w:val="0"/>
        <w:autoSpaceDN w:val="0"/>
        <w:adjustRightInd w:val="0"/>
        <w:spacing w:after="0" w:line="240" w:lineRule="auto"/>
        <w:jc w:val="both"/>
        <w:rPr>
          <w:rFonts w:ascii="*Calibri-BoldItalic-9607-Identi" w:hAnsi="*Calibri-BoldItalic-9607-Identi" w:cs="*Calibri-BoldItalic-9607-Identi"/>
          <w:b/>
          <w:bCs/>
          <w:i/>
          <w:iCs/>
          <w:color w:val="272527"/>
        </w:rPr>
      </w:pPr>
      <w:r>
        <w:rPr>
          <w:rFonts w:ascii="*Calibri-BoldItalic-9607-Identi" w:hAnsi="*Calibri-BoldItalic-9607-Identi" w:cs="*Calibri-BoldItalic-9607-Identi"/>
          <w:b/>
          <w:bCs/>
          <w:i/>
          <w:iCs/>
          <w:color w:val="272527"/>
        </w:rPr>
        <w:t>CONFIDENCIAL (como marca de agua), el cual fue ent</w:t>
      </w:r>
      <w:r>
        <w:rPr>
          <w:rFonts w:ascii="*Calibri-BoldItalic-9607-Identi" w:hAnsi="*Calibri-BoldItalic-9607-Identi" w:cs="*Calibri-BoldItalic-9607-Identi"/>
          <w:b/>
          <w:bCs/>
          <w:i/>
          <w:iCs/>
          <w:color w:val="272527"/>
        </w:rPr>
        <w:t xml:space="preserve">regado para uso exclusivo de la </w:t>
      </w:r>
      <w:r>
        <w:rPr>
          <w:rFonts w:ascii="*Calibri-BoldItalic-9607-Identi" w:hAnsi="*Calibri-BoldItalic-9607-Identi" w:cs="*Calibri-BoldItalic-9607-Identi"/>
          <w:b/>
          <w:bCs/>
          <w:i/>
          <w:iCs/>
          <w:color w:val="272527"/>
        </w:rPr>
        <w:t>DHM, en el cual se encuentran los márgenes mayoristas y minoristas solicitados.</w:t>
      </w: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4436" w:rsidRDefault="004B4436">
      <w:pPr>
        <w:spacing w:after="0" w:line="240" w:lineRule="auto"/>
      </w:pPr>
      <w:r>
        <w:separator/>
      </w:r>
    </w:p>
  </w:endnote>
  <w:endnote w:type="continuationSeparator" w:id="0">
    <w:p w:rsidR="004B4436" w:rsidRDefault="004B44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39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7392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Tahoma-BoldItalic-7395-Identi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39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60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Italic-9610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607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60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4436" w:rsidRDefault="004B4436">
      <w:pPr>
        <w:spacing w:after="0" w:line="240" w:lineRule="auto"/>
      </w:pPr>
      <w:r>
        <w:separator/>
      </w:r>
    </w:p>
  </w:footnote>
  <w:footnote w:type="continuationSeparator" w:id="0">
    <w:p w:rsidR="004B4436" w:rsidRDefault="004B44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A54"/>
    <w:rsid w:val="0005649A"/>
    <w:rsid w:val="000B1817"/>
    <w:rsid w:val="000E4A60"/>
    <w:rsid w:val="0010219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B4436"/>
    <w:rsid w:val="004F42BA"/>
    <w:rsid w:val="005112BC"/>
    <w:rsid w:val="00565A54"/>
    <w:rsid w:val="005964F8"/>
    <w:rsid w:val="00605D98"/>
    <w:rsid w:val="006100E0"/>
    <w:rsid w:val="00622705"/>
    <w:rsid w:val="00636CFA"/>
    <w:rsid w:val="00684358"/>
    <w:rsid w:val="006A1B11"/>
    <w:rsid w:val="006C5020"/>
    <w:rsid w:val="00772187"/>
    <w:rsid w:val="00782D85"/>
    <w:rsid w:val="007E3351"/>
    <w:rsid w:val="008271FD"/>
    <w:rsid w:val="00893003"/>
    <w:rsid w:val="009922C5"/>
    <w:rsid w:val="00A12BA2"/>
    <w:rsid w:val="00A15EAE"/>
    <w:rsid w:val="00B0018C"/>
    <w:rsid w:val="00B02920"/>
    <w:rsid w:val="00B22BA4"/>
    <w:rsid w:val="00C9375C"/>
    <w:rsid w:val="00CC05DC"/>
    <w:rsid w:val="00D23055"/>
    <w:rsid w:val="00D55035"/>
    <w:rsid w:val="00E1140A"/>
    <w:rsid w:val="00E46298"/>
    <w:rsid w:val="00EC743F"/>
    <w:rsid w:val="00F00277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E2C4BA-BC7B-47FE-8726-9B4E104FC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2021-05-19T20:47:00Z</dcterms:created>
  <dcterms:modified xsi:type="dcterms:W3CDTF">2021-05-19T20:47:00Z</dcterms:modified>
</cp:coreProperties>
</file>