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31" w:rsidRDefault="00D90231" w:rsidP="00D90231">
      <w:r>
        <w:rPr>
          <w:noProof/>
        </w:rPr>
        <w:drawing>
          <wp:anchor distT="0" distB="0" distL="114300" distR="114300" simplePos="0" relativeHeight="251659264" behindDoc="0" locked="0" layoutInCell="1" allowOverlap="1" wp14:anchorId="3C942D84" wp14:editId="1BA2E3CB">
            <wp:simplePos x="0" y="0"/>
            <wp:positionH relativeFrom="column">
              <wp:posOffset>1804670</wp:posOffset>
            </wp:positionH>
            <wp:positionV relativeFrom="paragraph">
              <wp:posOffset>-565785</wp:posOffset>
            </wp:positionV>
            <wp:extent cx="2142490" cy="118110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EC-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2490" cy="1181100"/>
                    </a:xfrm>
                    <a:prstGeom prst="rect">
                      <a:avLst/>
                    </a:prstGeom>
                  </pic:spPr>
                </pic:pic>
              </a:graphicData>
            </a:graphic>
            <wp14:sizeRelH relativeFrom="page">
              <wp14:pctWidth>0</wp14:pctWidth>
            </wp14:sizeRelH>
            <wp14:sizeRelV relativeFrom="page">
              <wp14:pctHeight>0</wp14:pctHeight>
            </wp14:sizeRelV>
          </wp:anchor>
        </w:drawing>
      </w:r>
    </w:p>
    <w:p w:rsidR="00D90231" w:rsidRPr="00193E58" w:rsidRDefault="00D90231" w:rsidP="00D90231">
      <w:pPr>
        <w:rPr>
          <w:sz w:val="26"/>
          <w:szCs w:val="26"/>
        </w:rPr>
      </w:pPr>
    </w:p>
    <w:p w:rsidR="00D90231" w:rsidRPr="00193E58" w:rsidRDefault="00D90231" w:rsidP="00193E58">
      <w:pPr>
        <w:spacing w:after="0" w:line="360" w:lineRule="auto"/>
        <w:jc w:val="center"/>
        <w:rPr>
          <w:rFonts w:cstheme="minorHAnsi"/>
          <w:b/>
          <w:sz w:val="26"/>
          <w:szCs w:val="26"/>
        </w:rPr>
      </w:pPr>
      <w:r w:rsidRPr="00193E58">
        <w:rPr>
          <w:rFonts w:cstheme="minorHAnsi"/>
          <w:b/>
          <w:sz w:val="26"/>
          <w:szCs w:val="26"/>
        </w:rPr>
        <w:t>UNIDAD DE ACCESO A LA INFORMACIÓN PÚBLICA</w:t>
      </w:r>
    </w:p>
    <w:p w:rsidR="00D90231" w:rsidRDefault="00D90231" w:rsidP="00D90231">
      <w:pPr>
        <w:autoSpaceDE w:val="0"/>
        <w:autoSpaceDN w:val="0"/>
        <w:adjustRightInd w:val="0"/>
        <w:spacing w:after="0"/>
        <w:jc w:val="both"/>
        <w:rPr>
          <w:rFonts w:cstheme="minorHAnsi"/>
          <w:color w:val="272928"/>
          <w:sz w:val="24"/>
          <w:szCs w:val="24"/>
        </w:rPr>
      </w:pPr>
    </w:p>
    <w:p w:rsidR="00193E58" w:rsidRDefault="00193E58" w:rsidP="00193E58">
      <w:pPr>
        <w:autoSpaceDE w:val="0"/>
        <w:autoSpaceDN w:val="0"/>
        <w:adjustRightInd w:val="0"/>
        <w:spacing w:after="0" w:line="360" w:lineRule="auto"/>
        <w:jc w:val="both"/>
        <w:rPr>
          <w:rFonts w:cstheme="minorHAnsi"/>
          <w:color w:val="272928"/>
          <w:sz w:val="24"/>
          <w:szCs w:val="24"/>
        </w:rPr>
      </w:pPr>
      <w:r w:rsidRPr="00193E58">
        <w:rPr>
          <w:rFonts w:cstheme="minorHAnsi"/>
          <w:color w:val="272928"/>
          <w:sz w:val="24"/>
          <w:szCs w:val="24"/>
        </w:rPr>
        <w:t xml:space="preserve">la </w:t>
      </w:r>
      <w:r w:rsidRPr="00193E58">
        <w:rPr>
          <w:rFonts w:cstheme="minorHAnsi"/>
          <w:b/>
          <w:color w:val="272928"/>
          <w:sz w:val="24"/>
          <w:szCs w:val="24"/>
        </w:rPr>
        <w:t>Unidad Asesora del MINEC</w:t>
      </w:r>
      <w:r w:rsidRPr="00193E58">
        <w:rPr>
          <w:rFonts w:cstheme="minorHAnsi"/>
          <w:color w:val="272928"/>
          <w:sz w:val="24"/>
          <w:szCs w:val="24"/>
        </w:rPr>
        <w:t>, en atención y respuesta al requerimiento de</w:t>
      </w:r>
      <w:r>
        <w:rPr>
          <w:rFonts w:cstheme="minorHAnsi"/>
          <w:color w:val="272928"/>
          <w:sz w:val="24"/>
          <w:szCs w:val="24"/>
        </w:rPr>
        <w:t xml:space="preserve"> </w:t>
      </w:r>
      <w:r w:rsidRPr="00193E58">
        <w:rPr>
          <w:rFonts w:cstheme="minorHAnsi"/>
          <w:color w:val="272928"/>
          <w:sz w:val="24"/>
          <w:szCs w:val="24"/>
        </w:rPr>
        <w:t>información, hace de su conocimiento lo siguiente: “Con relación a la solicitud de</w:t>
      </w:r>
      <w:r>
        <w:rPr>
          <w:rFonts w:cstheme="minorHAnsi"/>
          <w:color w:val="272928"/>
          <w:sz w:val="24"/>
          <w:szCs w:val="24"/>
        </w:rPr>
        <w:t xml:space="preserve"> </w:t>
      </w:r>
      <w:r w:rsidRPr="00193E58">
        <w:rPr>
          <w:rFonts w:cstheme="minorHAnsi"/>
          <w:color w:val="272928"/>
          <w:sz w:val="24"/>
          <w:szCs w:val="24"/>
        </w:rPr>
        <w:t>acceso a la información, le informo que los listados y selección de los beneficiarios no</w:t>
      </w:r>
      <w:r>
        <w:rPr>
          <w:rFonts w:cstheme="minorHAnsi"/>
          <w:color w:val="272928"/>
          <w:sz w:val="24"/>
          <w:szCs w:val="24"/>
        </w:rPr>
        <w:t xml:space="preserve"> </w:t>
      </w:r>
      <w:r w:rsidRPr="00193E58">
        <w:rPr>
          <w:rFonts w:cstheme="minorHAnsi"/>
          <w:color w:val="272928"/>
          <w:sz w:val="24"/>
          <w:szCs w:val="24"/>
        </w:rPr>
        <w:t>fue realizado por este Ministerio, sino, que de conformidad con el Convenio de</w:t>
      </w:r>
      <w:r>
        <w:rPr>
          <w:rFonts w:cstheme="minorHAnsi"/>
          <w:color w:val="272928"/>
          <w:sz w:val="24"/>
          <w:szCs w:val="24"/>
        </w:rPr>
        <w:t xml:space="preserve"> </w:t>
      </w:r>
      <w:r w:rsidRPr="00193E58">
        <w:rPr>
          <w:rFonts w:cstheme="minorHAnsi"/>
          <w:color w:val="272928"/>
          <w:sz w:val="24"/>
          <w:szCs w:val="24"/>
        </w:rPr>
        <w:t>Cooperación suscrito por Secretaría de Innovación de la Presidencia de la República,</w:t>
      </w:r>
      <w:r>
        <w:rPr>
          <w:rFonts w:cstheme="minorHAnsi"/>
          <w:color w:val="272928"/>
          <w:sz w:val="24"/>
          <w:szCs w:val="24"/>
        </w:rPr>
        <w:t xml:space="preserve"> </w:t>
      </w:r>
      <w:r w:rsidRPr="00193E58">
        <w:rPr>
          <w:rFonts w:cstheme="minorHAnsi"/>
          <w:color w:val="272928"/>
          <w:sz w:val="24"/>
          <w:szCs w:val="24"/>
        </w:rPr>
        <w:t>Ministerio de Salud y Ministerio de Economía, “La Secretaría de Innovación será la</w:t>
      </w:r>
      <w:r>
        <w:rPr>
          <w:rFonts w:cstheme="minorHAnsi"/>
          <w:color w:val="272928"/>
          <w:sz w:val="24"/>
          <w:szCs w:val="24"/>
        </w:rPr>
        <w:t xml:space="preserve"> </w:t>
      </w:r>
      <w:r w:rsidRPr="00193E58">
        <w:rPr>
          <w:rFonts w:cstheme="minorHAnsi"/>
          <w:color w:val="272928"/>
          <w:sz w:val="24"/>
          <w:szCs w:val="24"/>
        </w:rPr>
        <w:t>encargada por designación de la Presidencia de la República de la depuración y</w:t>
      </w:r>
      <w:r>
        <w:rPr>
          <w:rFonts w:cstheme="minorHAnsi"/>
          <w:color w:val="272928"/>
          <w:sz w:val="24"/>
          <w:szCs w:val="24"/>
        </w:rPr>
        <w:t xml:space="preserve"> </w:t>
      </w:r>
      <w:r w:rsidRPr="00193E58">
        <w:rPr>
          <w:rFonts w:cstheme="minorHAnsi"/>
          <w:color w:val="272928"/>
          <w:sz w:val="24"/>
          <w:szCs w:val="24"/>
        </w:rPr>
        <w:t>actualización de la base de datos […] para la identificación y selección de los</w:t>
      </w:r>
      <w:r>
        <w:rPr>
          <w:rFonts w:cstheme="minorHAnsi"/>
          <w:color w:val="272928"/>
          <w:sz w:val="24"/>
          <w:szCs w:val="24"/>
        </w:rPr>
        <w:t xml:space="preserve"> </w:t>
      </w:r>
      <w:r w:rsidRPr="00193E58">
        <w:rPr>
          <w:rFonts w:cstheme="minorHAnsi"/>
          <w:color w:val="272928"/>
          <w:sz w:val="24"/>
          <w:szCs w:val="24"/>
        </w:rPr>
        <w:t>beneficiarios de la compensación económica emanada del […] Decreto Ejecutivo</w:t>
      </w:r>
      <w:r>
        <w:rPr>
          <w:rFonts w:cstheme="minorHAnsi"/>
          <w:color w:val="272928"/>
          <w:sz w:val="24"/>
          <w:szCs w:val="24"/>
        </w:rPr>
        <w:t xml:space="preserve"> </w:t>
      </w:r>
      <w:r w:rsidRPr="00193E58">
        <w:rPr>
          <w:rFonts w:cstheme="minorHAnsi"/>
          <w:color w:val="272928"/>
          <w:sz w:val="24"/>
          <w:szCs w:val="24"/>
        </w:rPr>
        <w:t>Número 12, en el Ramo de Salud”. (</w:t>
      </w:r>
      <w:r w:rsidRPr="00193E58">
        <w:rPr>
          <w:rFonts w:cstheme="minorHAnsi"/>
          <w:color w:val="272928"/>
          <w:sz w:val="24"/>
          <w:szCs w:val="24"/>
        </w:rPr>
        <w:t>Negritas</w:t>
      </w:r>
      <w:r w:rsidRPr="00193E58">
        <w:rPr>
          <w:rFonts w:cstheme="minorHAnsi"/>
          <w:color w:val="272928"/>
          <w:sz w:val="24"/>
          <w:szCs w:val="24"/>
        </w:rPr>
        <w:t xml:space="preserve"> y cursivas son propias)</w:t>
      </w:r>
    </w:p>
    <w:p w:rsidR="00D90231" w:rsidRDefault="00193E58" w:rsidP="00193E58">
      <w:pPr>
        <w:autoSpaceDE w:val="0"/>
        <w:autoSpaceDN w:val="0"/>
        <w:adjustRightInd w:val="0"/>
        <w:spacing w:after="0" w:line="360" w:lineRule="auto"/>
        <w:jc w:val="both"/>
        <w:rPr>
          <w:rFonts w:cstheme="minorHAnsi"/>
          <w:color w:val="272928"/>
          <w:sz w:val="24"/>
          <w:szCs w:val="24"/>
        </w:rPr>
      </w:pPr>
      <w:r w:rsidRPr="00193E58">
        <w:rPr>
          <w:rFonts w:cstheme="minorHAnsi"/>
          <w:color w:val="272928"/>
          <w:sz w:val="24"/>
          <w:szCs w:val="24"/>
        </w:rPr>
        <w:t>En ese sentido, la información requerida no está en poder de este Ministerio, pues en las obligaciones adquiridas en el referido Convenio de Cooperación suscrito el día 28 de marzo de 2020, el compromiso del MINEC se redujo a “la apertura de las respectivas cuentas en los distintos Bancos e instituciones que participen en el proceso de pago del Bono de Compensación, con los recursos que deberá gestionar el MINSAL del FONDO DE PROTECCIÓN CIVIL, PREVENCIÓN Y MITIGACIÓN DE DESASTRES (FOPROMID), ante el Ministerio de Gobernación y Desarrollo Territorial.”</w:t>
      </w:r>
    </w:p>
    <w:p w:rsidR="00193E58" w:rsidRPr="00193E58" w:rsidRDefault="00193E58" w:rsidP="00193E58">
      <w:pPr>
        <w:autoSpaceDE w:val="0"/>
        <w:autoSpaceDN w:val="0"/>
        <w:adjustRightInd w:val="0"/>
        <w:spacing w:after="0" w:line="360" w:lineRule="auto"/>
        <w:jc w:val="both"/>
        <w:rPr>
          <w:rFonts w:ascii="*Verdana-9982-Identity-H" w:hAnsi="*Verdana-9982-Identity-H" w:cs="*Verdana-9982-Identity-H"/>
          <w:color w:val="272928"/>
          <w:sz w:val="19"/>
          <w:szCs w:val="19"/>
        </w:rPr>
      </w:pPr>
    </w:p>
    <w:p w:rsidR="00D90231" w:rsidRDefault="00D90231" w:rsidP="00D90231">
      <w:pPr>
        <w:autoSpaceDE w:val="0"/>
        <w:autoSpaceDN w:val="0"/>
        <w:adjustRightInd w:val="0"/>
        <w:spacing w:after="0" w:line="240" w:lineRule="auto"/>
        <w:rPr>
          <w:rFonts w:ascii="*Verdana-9982-Identity-H" w:hAnsi="*Verdana-9982-Identity-H" w:cs="*Verdana-9982-Identity-H"/>
          <w:color w:val="272928"/>
          <w:sz w:val="19"/>
          <w:szCs w:val="19"/>
        </w:rPr>
      </w:pPr>
    </w:p>
    <w:p w:rsidR="00D90231" w:rsidRPr="00FF6D7F" w:rsidRDefault="00D90231" w:rsidP="00D90231">
      <w:pPr>
        <w:autoSpaceDE w:val="0"/>
        <w:autoSpaceDN w:val="0"/>
        <w:adjustRightInd w:val="0"/>
        <w:spacing w:after="0" w:line="240" w:lineRule="auto"/>
        <w:rPr>
          <w:rFonts w:ascii="*Verdana-9982-Identity-H" w:hAnsi="*Verdana-9982-Identity-H" w:cs="*Verdana-9982-Identity-H"/>
          <w:color w:val="272928"/>
          <w:sz w:val="19"/>
          <w:szCs w:val="19"/>
        </w:rPr>
      </w:pPr>
    </w:p>
    <w:p w:rsidR="00D90231" w:rsidRPr="00713CC9" w:rsidRDefault="00D90231" w:rsidP="00D90231">
      <w:pPr>
        <w:spacing w:after="0" w:line="240" w:lineRule="auto"/>
        <w:jc w:val="center"/>
        <w:rPr>
          <w:rFonts w:cstheme="minorHAnsi"/>
          <w:b/>
          <w:sz w:val="24"/>
          <w:szCs w:val="24"/>
        </w:rPr>
      </w:pPr>
      <w:r w:rsidRPr="00713CC9">
        <w:rPr>
          <w:rFonts w:cstheme="minorHAnsi"/>
          <w:b/>
          <w:sz w:val="24"/>
          <w:szCs w:val="24"/>
        </w:rPr>
        <w:t>Lic. Laura Quintanilla</w:t>
      </w:r>
    </w:p>
    <w:p w:rsidR="00D90231" w:rsidRPr="00713CC9" w:rsidRDefault="00D90231" w:rsidP="00D90231">
      <w:pPr>
        <w:spacing w:after="0" w:line="240" w:lineRule="auto"/>
        <w:jc w:val="center"/>
        <w:rPr>
          <w:rFonts w:cstheme="minorHAnsi"/>
          <w:b/>
          <w:sz w:val="24"/>
          <w:szCs w:val="24"/>
        </w:rPr>
      </w:pPr>
      <w:r w:rsidRPr="00713CC9">
        <w:rPr>
          <w:rFonts w:cstheme="minorHAnsi"/>
          <w:b/>
          <w:sz w:val="24"/>
          <w:szCs w:val="24"/>
        </w:rPr>
        <w:t>Oficial de Información</w:t>
      </w:r>
    </w:p>
    <w:p w:rsidR="00D90231" w:rsidRPr="00713CC9" w:rsidRDefault="00D90231" w:rsidP="00D90231">
      <w:pPr>
        <w:rPr>
          <w:rFonts w:cstheme="minorHAnsi"/>
          <w:sz w:val="24"/>
          <w:szCs w:val="24"/>
        </w:rPr>
      </w:pPr>
    </w:p>
    <w:p w:rsidR="00D90231" w:rsidRPr="00713CC9" w:rsidRDefault="00D90231" w:rsidP="00D90231">
      <w:pPr>
        <w:spacing w:after="0" w:line="240" w:lineRule="auto"/>
        <w:jc w:val="center"/>
        <w:rPr>
          <w:rFonts w:cstheme="minorHAnsi"/>
          <w:b/>
          <w:sz w:val="24"/>
          <w:szCs w:val="24"/>
        </w:rPr>
      </w:pPr>
      <w:r w:rsidRPr="00713CC9">
        <w:rPr>
          <w:rFonts w:cstheme="minorHAnsi"/>
          <w:b/>
          <w:sz w:val="24"/>
          <w:szCs w:val="24"/>
        </w:rPr>
        <w:t>MINISTERIO DE ECONOMÍA REPÚBLICA DE EL SALVADOR, C.A.</w:t>
      </w:r>
    </w:p>
    <w:p w:rsidR="00D90231" w:rsidRPr="00713CC9" w:rsidRDefault="00D90231" w:rsidP="00D90231">
      <w:pPr>
        <w:spacing w:after="0" w:line="240" w:lineRule="auto"/>
        <w:jc w:val="center"/>
        <w:rPr>
          <w:rFonts w:cstheme="minorHAnsi"/>
          <w:sz w:val="24"/>
          <w:szCs w:val="24"/>
        </w:rPr>
      </w:pPr>
      <w:r w:rsidRPr="00713CC9">
        <w:rPr>
          <w:rFonts w:cstheme="minorHAnsi"/>
          <w:sz w:val="24"/>
          <w:szCs w:val="24"/>
        </w:rPr>
        <w:t>Alameda Juan Pablo II y Calle Guadalupe Edificio Cl - C2, Centro de Gobierno. San Salvador</w:t>
      </w:r>
    </w:p>
    <w:p w:rsidR="00D90231" w:rsidRPr="00713CC9" w:rsidRDefault="00D90231" w:rsidP="00D90231">
      <w:pPr>
        <w:spacing w:after="0" w:line="240" w:lineRule="auto"/>
        <w:jc w:val="center"/>
        <w:rPr>
          <w:rFonts w:cstheme="minorHAnsi"/>
          <w:sz w:val="24"/>
          <w:szCs w:val="24"/>
        </w:rPr>
      </w:pPr>
      <w:r w:rsidRPr="00713CC9">
        <w:rPr>
          <w:rFonts w:cstheme="minorHAnsi"/>
          <w:sz w:val="24"/>
          <w:szCs w:val="24"/>
        </w:rPr>
        <w:t>Teléfonos (PBX): (503) 2590-5600</w:t>
      </w:r>
    </w:p>
    <w:p w:rsidR="00C164DA" w:rsidRPr="00193E58" w:rsidRDefault="00D90231" w:rsidP="00193E58">
      <w:pPr>
        <w:spacing w:after="0" w:line="240" w:lineRule="auto"/>
        <w:jc w:val="center"/>
        <w:rPr>
          <w:rFonts w:cstheme="minorHAnsi"/>
          <w:color w:val="0070C0"/>
        </w:rPr>
      </w:pPr>
      <w:r w:rsidRPr="00684805">
        <w:rPr>
          <w:rFonts w:cstheme="minorHAnsi"/>
          <w:color w:val="0070C0"/>
        </w:rPr>
        <w:t>www.minec.gob.sv</w:t>
      </w:r>
      <w:bookmarkStart w:id="0" w:name="_GoBack"/>
      <w:bookmarkEnd w:id="0"/>
    </w:p>
    <w:sectPr w:rsidR="00C164DA" w:rsidRPr="00193E58" w:rsidSect="004F57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9982-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31"/>
    <w:rsid w:val="00193E58"/>
    <w:rsid w:val="00C164DA"/>
    <w:rsid w:val="00D902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31"/>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31"/>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252</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gustavo garcia diaz</dc:creator>
  <cp:lastModifiedBy>luis gustavo garcia diaz</cp:lastModifiedBy>
  <cp:revision>1</cp:revision>
  <dcterms:created xsi:type="dcterms:W3CDTF">2020-08-12T17:00:00Z</dcterms:created>
  <dcterms:modified xsi:type="dcterms:W3CDTF">2020-08-12T20:26:00Z</dcterms:modified>
</cp:coreProperties>
</file>