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39" w:rsidRDefault="008F0A39" w:rsidP="008F0A39">
      <w:r>
        <w:rPr>
          <w:noProof/>
        </w:rPr>
        <w:drawing>
          <wp:anchor distT="0" distB="0" distL="114300" distR="114300" simplePos="0" relativeHeight="251659264" behindDoc="0" locked="0" layoutInCell="1" allowOverlap="1" wp14:anchorId="6FA15B08" wp14:editId="1C2E391F">
            <wp:simplePos x="0" y="0"/>
            <wp:positionH relativeFrom="column">
              <wp:posOffset>1804670</wp:posOffset>
            </wp:positionH>
            <wp:positionV relativeFrom="paragraph">
              <wp:posOffset>-366395</wp:posOffset>
            </wp:positionV>
            <wp:extent cx="2142490" cy="1181100"/>
            <wp:effectExtent l="0" t="0" r="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Pr="008F0A39" w:rsidRDefault="008F0A39" w:rsidP="00115EF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8F0A39">
        <w:rPr>
          <w:rFonts w:cstheme="minorHAnsi"/>
          <w:b/>
          <w:sz w:val="24"/>
          <w:szCs w:val="24"/>
        </w:rPr>
        <w:t>UNIDAD DE ACCESO A LA INFORMACIÓN PÚBLICA</w:t>
      </w:r>
    </w:p>
    <w:p w:rsidR="008F0A39" w:rsidRDefault="008F0A39" w:rsidP="00115EFB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115EFB" w:rsidRDefault="00115EFB" w:rsidP="00115EFB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115EFB" w:rsidRPr="00C015C9" w:rsidRDefault="00115EFB" w:rsidP="00C015C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F114F" w:rsidRPr="003F114F" w:rsidRDefault="003F114F" w:rsidP="003F114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272928"/>
          <w:sz w:val="24"/>
          <w:szCs w:val="24"/>
        </w:rPr>
      </w:pPr>
      <w:r w:rsidRPr="003F114F">
        <w:rPr>
          <w:rFonts w:cstheme="minorHAnsi"/>
          <w:color w:val="272928"/>
          <w:sz w:val="24"/>
          <w:szCs w:val="24"/>
        </w:rPr>
        <w:t>La</w:t>
      </w:r>
      <w:r w:rsidRPr="003F114F">
        <w:rPr>
          <w:rFonts w:cstheme="minorHAnsi"/>
          <w:color w:val="272928"/>
          <w:sz w:val="24"/>
          <w:szCs w:val="24"/>
        </w:rPr>
        <w:t xml:space="preserve"> Gerencia de Recursos Humanos, (GRR</w:t>
      </w:r>
      <w:r>
        <w:rPr>
          <w:rFonts w:cstheme="minorHAnsi"/>
          <w:color w:val="272928"/>
          <w:sz w:val="24"/>
          <w:szCs w:val="24"/>
        </w:rPr>
        <w:t xml:space="preserve">HH), en atención y respuesta al </w:t>
      </w:r>
      <w:r w:rsidRPr="003F114F">
        <w:rPr>
          <w:rFonts w:cstheme="minorHAnsi"/>
          <w:color w:val="272928"/>
          <w:sz w:val="24"/>
          <w:szCs w:val="24"/>
        </w:rPr>
        <w:t>requerimiento de información, remitió a través de memorando con Ref. GRRHH57/2020, el cual se adjunta, detalle de las contrataciones del periodo de agosto a</w:t>
      </w:r>
      <w:r>
        <w:rPr>
          <w:rFonts w:cstheme="minorHAnsi"/>
          <w:color w:val="272928"/>
          <w:sz w:val="24"/>
          <w:szCs w:val="24"/>
        </w:rPr>
        <w:t xml:space="preserve"> </w:t>
      </w:r>
      <w:r w:rsidRPr="003F114F">
        <w:rPr>
          <w:rFonts w:cstheme="minorHAnsi"/>
          <w:color w:val="272928"/>
          <w:sz w:val="24"/>
          <w:szCs w:val="24"/>
        </w:rPr>
        <w:t xml:space="preserve">diciembre del año 2019 y desde el mes de enero </w:t>
      </w:r>
      <w:r>
        <w:rPr>
          <w:rFonts w:cstheme="minorHAnsi"/>
          <w:color w:val="272928"/>
          <w:sz w:val="24"/>
          <w:szCs w:val="24"/>
        </w:rPr>
        <w:t xml:space="preserve">al mes de febrero del año 2020, </w:t>
      </w:r>
      <w:r w:rsidRPr="003F114F">
        <w:rPr>
          <w:rFonts w:cstheme="minorHAnsi"/>
          <w:color w:val="272928"/>
          <w:sz w:val="24"/>
          <w:szCs w:val="24"/>
        </w:rPr>
        <w:t>información la cual contiene:</w:t>
      </w:r>
    </w:p>
    <w:p w:rsidR="003F114F" w:rsidRPr="003F114F" w:rsidRDefault="003F114F" w:rsidP="003F114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272928"/>
          <w:sz w:val="24"/>
          <w:szCs w:val="24"/>
        </w:rPr>
      </w:pPr>
      <w:r w:rsidRPr="003F114F">
        <w:rPr>
          <w:rFonts w:cstheme="minorHAnsi"/>
          <w:color w:val="272928"/>
          <w:sz w:val="24"/>
          <w:szCs w:val="24"/>
        </w:rPr>
        <w:t>Nombre de la plaza nominal</w:t>
      </w:r>
    </w:p>
    <w:p w:rsidR="003F114F" w:rsidRPr="003F114F" w:rsidRDefault="003F114F" w:rsidP="003F114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272928"/>
          <w:sz w:val="24"/>
          <w:szCs w:val="24"/>
        </w:rPr>
      </w:pPr>
      <w:r w:rsidRPr="003F114F">
        <w:rPr>
          <w:rFonts w:cstheme="minorHAnsi"/>
          <w:color w:val="272928"/>
          <w:sz w:val="24"/>
          <w:szCs w:val="24"/>
        </w:rPr>
        <w:t>Tipo de contratación</w:t>
      </w:r>
    </w:p>
    <w:p w:rsidR="003F114F" w:rsidRPr="003F114F" w:rsidRDefault="003F114F" w:rsidP="003F114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272928"/>
          <w:sz w:val="24"/>
          <w:szCs w:val="24"/>
        </w:rPr>
      </w:pPr>
      <w:r w:rsidRPr="003F114F">
        <w:rPr>
          <w:rFonts w:cstheme="minorHAnsi"/>
          <w:color w:val="272928"/>
          <w:sz w:val="24"/>
          <w:szCs w:val="24"/>
        </w:rPr>
        <w:t>Salario de la Plaza</w:t>
      </w:r>
    </w:p>
    <w:p w:rsidR="003F114F" w:rsidRDefault="003F114F" w:rsidP="003F114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272928"/>
          <w:sz w:val="24"/>
          <w:szCs w:val="24"/>
        </w:rPr>
      </w:pPr>
      <w:r w:rsidRPr="003F114F">
        <w:rPr>
          <w:rFonts w:cstheme="minorHAnsi"/>
          <w:color w:val="272928"/>
          <w:sz w:val="24"/>
          <w:szCs w:val="24"/>
        </w:rPr>
        <w:t>Unidad Organizativa</w:t>
      </w:r>
    </w:p>
    <w:p w:rsidR="003F114F" w:rsidRDefault="003F114F" w:rsidP="003F114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272928"/>
          <w:sz w:val="24"/>
          <w:szCs w:val="24"/>
        </w:rPr>
      </w:pPr>
    </w:p>
    <w:p w:rsidR="003F114F" w:rsidRPr="003F114F" w:rsidRDefault="003F114F" w:rsidP="003F114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272928"/>
          <w:sz w:val="24"/>
          <w:szCs w:val="24"/>
        </w:rPr>
      </w:pPr>
      <w:r w:rsidRPr="003F114F">
        <w:rPr>
          <w:rFonts w:cstheme="minorHAnsi"/>
          <w:color w:val="272928"/>
          <w:sz w:val="24"/>
          <w:szCs w:val="24"/>
        </w:rPr>
        <w:t>También hace de su conocimiento que no se han realizado aumentos de salarios.</w:t>
      </w:r>
    </w:p>
    <w:p w:rsidR="00115EFB" w:rsidRPr="00C4371B" w:rsidRDefault="00115EFB" w:rsidP="003F114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272928"/>
          <w:sz w:val="24"/>
          <w:szCs w:val="24"/>
        </w:rPr>
      </w:pPr>
    </w:p>
    <w:p w:rsidR="00115EFB" w:rsidRDefault="00115EFB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4371B" w:rsidRDefault="00C4371B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4371B" w:rsidRDefault="00C4371B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4371B" w:rsidRDefault="00C4371B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015C9" w:rsidRDefault="00C015C9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C015C9" w:rsidRDefault="00C015C9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F0A39" w:rsidRPr="00FF6D7F" w:rsidRDefault="008F0A39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Lic. Laura Quintanilla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Oficial de Información</w:t>
      </w:r>
    </w:p>
    <w:p w:rsidR="008F0A39" w:rsidRPr="00713CC9" w:rsidRDefault="008F0A39" w:rsidP="008F0A3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MINISTERIO DE ECONOMÍA REPÚBLICA DE EL SALVADOR, C.A.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Alameda Juan Pablo II y Calle Guadalupe Edificio Cl - C2, Centro de Gobierno. San Salvador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Teléfonos (PBX): (503) 2590-5600</w:t>
      </w:r>
    </w:p>
    <w:p w:rsidR="008F0A39" w:rsidRPr="003F114F" w:rsidRDefault="008F0A39" w:rsidP="003F114F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8B6D40" w:rsidRDefault="008B6D40"/>
    <w:sectPr w:rsidR="008B6D40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0E46"/>
    <w:multiLevelType w:val="hybridMultilevel"/>
    <w:tmpl w:val="F1EEBF1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74761"/>
    <w:multiLevelType w:val="hybridMultilevel"/>
    <w:tmpl w:val="55EE20F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39"/>
    <w:rsid w:val="00115EFB"/>
    <w:rsid w:val="003F114F"/>
    <w:rsid w:val="008B6D40"/>
    <w:rsid w:val="008F0A39"/>
    <w:rsid w:val="00C015C9"/>
    <w:rsid w:val="00C4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gustavo garcia diaz</dc:creator>
  <cp:lastModifiedBy>luis gustavo garcia diaz</cp:lastModifiedBy>
  <cp:revision>2</cp:revision>
  <dcterms:created xsi:type="dcterms:W3CDTF">2020-08-01T01:49:00Z</dcterms:created>
  <dcterms:modified xsi:type="dcterms:W3CDTF">2020-08-01T01:49:00Z</dcterms:modified>
</cp:coreProperties>
</file>