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Default="005B7F91" w:rsidP="005B7F91">
      <w:pPr>
        <w:rPr>
          <w:rFonts w:cstheme="minorHAnsi"/>
          <w:sz w:val="24"/>
          <w:szCs w:val="24"/>
        </w:rPr>
      </w:pPr>
    </w:p>
    <w:p w:rsidR="005B7F91" w:rsidRPr="00FF6D7F" w:rsidRDefault="005B7F91" w:rsidP="00FF6D7F">
      <w:pPr>
        <w:jc w:val="both"/>
        <w:rPr>
          <w:rFonts w:cstheme="minorHAnsi"/>
          <w:sz w:val="24"/>
          <w:szCs w:val="24"/>
        </w:rPr>
      </w:pPr>
    </w:p>
    <w:p w:rsidR="00C62AF7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524"/>
          <w:sz w:val="24"/>
          <w:szCs w:val="24"/>
        </w:rPr>
      </w:pPr>
      <w:r w:rsidRPr="00FF6D7F">
        <w:rPr>
          <w:rFonts w:cstheme="minorHAnsi"/>
          <w:color w:val="232524"/>
          <w:sz w:val="24"/>
          <w:szCs w:val="24"/>
        </w:rPr>
        <w:t>La</w:t>
      </w:r>
      <w:r w:rsidRPr="00FF6D7F">
        <w:rPr>
          <w:rFonts w:cstheme="minorHAnsi"/>
          <w:color w:val="232524"/>
          <w:sz w:val="24"/>
          <w:szCs w:val="24"/>
        </w:rPr>
        <w:t xml:space="preserve"> </w:t>
      </w:r>
      <w:r w:rsidRPr="00FF6D7F">
        <w:rPr>
          <w:rFonts w:cstheme="minorHAnsi"/>
          <w:b/>
          <w:bCs/>
          <w:color w:val="232524"/>
          <w:sz w:val="24"/>
          <w:szCs w:val="24"/>
        </w:rPr>
        <w:t xml:space="preserve">Dirección de Política Comercial (DICOP), </w:t>
      </w:r>
      <w:r w:rsidRPr="00FF6D7F">
        <w:rPr>
          <w:rFonts w:cstheme="minorHAnsi"/>
          <w:color w:val="232524"/>
          <w:sz w:val="24"/>
          <w:szCs w:val="24"/>
        </w:rPr>
        <w:t>en atenció</w:t>
      </w:r>
      <w:r w:rsidRPr="00FF6D7F">
        <w:rPr>
          <w:rFonts w:cstheme="minorHAnsi"/>
          <w:color w:val="232524"/>
          <w:sz w:val="24"/>
          <w:szCs w:val="24"/>
        </w:rPr>
        <w:t xml:space="preserve">n y respuesta al </w:t>
      </w:r>
      <w:r w:rsidRPr="00FF6D7F">
        <w:rPr>
          <w:rFonts w:cstheme="minorHAnsi"/>
          <w:color w:val="232524"/>
          <w:sz w:val="24"/>
          <w:szCs w:val="24"/>
        </w:rPr>
        <w:t xml:space="preserve">requerimiento de información adjunto documento </w:t>
      </w:r>
      <w:r w:rsidRPr="00FF6D7F">
        <w:rPr>
          <w:rFonts w:cstheme="minorHAnsi"/>
          <w:color w:val="232524"/>
          <w:sz w:val="24"/>
          <w:szCs w:val="24"/>
        </w:rPr>
        <w:t xml:space="preserve">en formato Word y que expone lo </w:t>
      </w:r>
      <w:r w:rsidRPr="00FF6D7F">
        <w:rPr>
          <w:rFonts w:cstheme="minorHAnsi"/>
          <w:color w:val="232524"/>
          <w:sz w:val="24"/>
          <w:szCs w:val="24"/>
        </w:rPr>
        <w:t>siguiente:</w:t>
      </w:r>
    </w:p>
    <w:p w:rsidR="00B75798" w:rsidRPr="00FF6D7F" w:rsidRDefault="00B75798" w:rsidP="00FF6D7F">
      <w:pPr>
        <w:jc w:val="both"/>
        <w:rPr>
          <w:rFonts w:cstheme="minorHAnsi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C0D0D"/>
          <w:sz w:val="24"/>
          <w:szCs w:val="24"/>
        </w:rPr>
      </w:pPr>
      <w:r w:rsidRPr="00FF6D7F">
        <w:rPr>
          <w:rFonts w:cstheme="minorHAnsi"/>
          <w:b/>
          <w:bCs/>
          <w:color w:val="0C0D0D"/>
          <w:sz w:val="24"/>
          <w:szCs w:val="24"/>
        </w:rPr>
        <w:t>PREGUNTA: ¿Cómo afectará el establecimiento de la Unió</w:t>
      </w:r>
      <w:r>
        <w:rPr>
          <w:rFonts w:cstheme="minorHAnsi"/>
          <w:b/>
          <w:bCs/>
          <w:color w:val="0C0D0D"/>
          <w:sz w:val="24"/>
          <w:szCs w:val="24"/>
        </w:rPr>
        <w:t xml:space="preserve">n Aduanera a la industria </w:t>
      </w:r>
      <w:r w:rsidRPr="00FF6D7F">
        <w:rPr>
          <w:rFonts w:cstheme="minorHAnsi"/>
          <w:b/>
          <w:bCs/>
          <w:color w:val="0C0D0D"/>
          <w:sz w:val="24"/>
          <w:szCs w:val="24"/>
        </w:rPr>
        <w:t>de agua envasada en el país?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C0D0D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1918"/>
          <w:sz w:val="24"/>
          <w:szCs w:val="24"/>
        </w:rPr>
      </w:pPr>
      <w:r w:rsidRPr="00FF6D7F">
        <w:rPr>
          <w:rFonts w:cstheme="minorHAnsi"/>
          <w:b/>
          <w:bCs/>
          <w:color w:val="171918"/>
          <w:sz w:val="24"/>
          <w:szCs w:val="24"/>
        </w:rPr>
        <w:t xml:space="preserve">RESPUESTA: </w:t>
      </w:r>
      <w:r w:rsidRPr="00FF6D7F">
        <w:rPr>
          <w:rFonts w:cstheme="minorHAnsi"/>
          <w:color w:val="171918"/>
          <w:sz w:val="24"/>
          <w:szCs w:val="24"/>
        </w:rPr>
        <w:t>Los países centroamericanos f</w:t>
      </w:r>
      <w:r w:rsidRPr="00FF6D7F">
        <w:rPr>
          <w:rFonts w:cstheme="minorHAnsi"/>
          <w:color w:val="171918"/>
          <w:sz w:val="24"/>
          <w:szCs w:val="24"/>
        </w:rPr>
        <w:t xml:space="preserve">irmantes del Tratado General de </w:t>
      </w:r>
      <w:r w:rsidRPr="00FF6D7F">
        <w:rPr>
          <w:rFonts w:cstheme="minorHAnsi"/>
          <w:color w:val="171918"/>
          <w:sz w:val="24"/>
          <w:szCs w:val="24"/>
        </w:rPr>
        <w:t xml:space="preserve">Integración Económica Centroamericana </w:t>
      </w:r>
      <w:r w:rsidRPr="00FF6D7F">
        <w:rPr>
          <w:rFonts w:cstheme="minorHAnsi"/>
          <w:color w:val="171918"/>
          <w:sz w:val="24"/>
          <w:szCs w:val="24"/>
        </w:rPr>
        <w:t xml:space="preserve">han establecido dentro de dicho </w:t>
      </w:r>
      <w:r w:rsidRPr="00FF6D7F">
        <w:rPr>
          <w:rFonts w:cstheme="minorHAnsi"/>
          <w:color w:val="171918"/>
          <w:sz w:val="24"/>
          <w:szCs w:val="24"/>
        </w:rPr>
        <w:t>instrumento jurídico (Art. 15) su compromiso para el establecimiento de una Unión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171918"/>
          <w:sz w:val="24"/>
          <w:szCs w:val="24"/>
        </w:rPr>
      </w:pPr>
      <w:r w:rsidRPr="00FF6D7F">
        <w:rPr>
          <w:rFonts w:cstheme="minorHAnsi"/>
          <w:color w:val="171918"/>
          <w:sz w:val="24"/>
          <w:szCs w:val="24"/>
        </w:rPr>
        <w:t xml:space="preserve">Aduanera entre sus territorios </w:t>
      </w:r>
      <w:r w:rsidRPr="00FF6D7F">
        <w:rPr>
          <w:rFonts w:cstheme="minorHAnsi"/>
          <w:i/>
          <w:iCs/>
          <w:color w:val="171918"/>
          <w:sz w:val="24"/>
          <w:szCs w:val="24"/>
        </w:rPr>
        <w:t>"con el propósito de dar libertad de trá</w:t>
      </w:r>
      <w:r w:rsidRPr="00FF6D7F">
        <w:rPr>
          <w:rFonts w:cstheme="minorHAnsi"/>
          <w:i/>
          <w:iCs/>
          <w:color w:val="171918"/>
          <w:sz w:val="24"/>
          <w:szCs w:val="24"/>
        </w:rPr>
        <w:t xml:space="preserve">nsito a las </w:t>
      </w:r>
      <w:r w:rsidRPr="00FF6D7F">
        <w:rPr>
          <w:rFonts w:cstheme="minorHAnsi"/>
          <w:i/>
          <w:iCs/>
          <w:color w:val="171918"/>
          <w:sz w:val="24"/>
          <w:szCs w:val="24"/>
        </w:rPr>
        <w:t>mercancías independientemente del origen de las mismas, previa nacionalizació</w:t>
      </w:r>
      <w:r w:rsidRPr="00FF6D7F">
        <w:rPr>
          <w:rFonts w:cstheme="minorHAnsi"/>
          <w:i/>
          <w:iCs/>
          <w:color w:val="171918"/>
          <w:sz w:val="24"/>
          <w:szCs w:val="24"/>
        </w:rPr>
        <w:t xml:space="preserve">n en </w:t>
      </w:r>
      <w:r w:rsidRPr="00FF6D7F">
        <w:rPr>
          <w:rFonts w:cstheme="minorHAnsi"/>
          <w:i/>
          <w:iCs/>
          <w:color w:val="171918"/>
          <w:sz w:val="24"/>
          <w:szCs w:val="24"/>
        </w:rPr>
        <w:t>alguno de los Estados Miembros, de los productos procedentes de terceros países.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171918"/>
          <w:sz w:val="24"/>
          <w:szCs w:val="24"/>
        </w:rPr>
      </w:pPr>
      <w:r w:rsidRPr="00FF6D7F">
        <w:rPr>
          <w:rFonts w:cstheme="minorHAnsi"/>
          <w:i/>
          <w:iCs/>
          <w:color w:val="171918"/>
          <w:sz w:val="24"/>
          <w:szCs w:val="24"/>
        </w:rPr>
        <w:t>Dicha Unión Aduanera se alcanzará de manera gradual</w:t>
      </w:r>
      <w:r w:rsidRPr="00FF6D7F">
        <w:rPr>
          <w:rFonts w:cstheme="minorHAnsi"/>
          <w:i/>
          <w:iCs/>
          <w:color w:val="171918"/>
          <w:sz w:val="24"/>
          <w:szCs w:val="24"/>
        </w:rPr>
        <w:t xml:space="preserve"> y progresiva, sobre la base de </w:t>
      </w:r>
      <w:r w:rsidRPr="00FF6D7F">
        <w:rPr>
          <w:rFonts w:cstheme="minorHAnsi"/>
          <w:i/>
          <w:iCs/>
          <w:color w:val="171918"/>
          <w:sz w:val="24"/>
          <w:szCs w:val="24"/>
        </w:rPr>
        <w:t>programas que se establecerán al efecto, aprobados por consenso".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B1A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B1A"/>
          <w:sz w:val="24"/>
          <w:szCs w:val="24"/>
        </w:rPr>
      </w:pPr>
      <w:r w:rsidRPr="00FF6D7F">
        <w:rPr>
          <w:rFonts w:cstheme="minorHAnsi"/>
          <w:color w:val="191B1A"/>
          <w:sz w:val="24"/>
          <w:szCs w:val="24"/>
        </w:rPr>
        <w:t>En virtud de lo anterior, si bien es cierto, el fin último de la Unió</w:t>
      </w:r>
      <w:r w:rsidRPr="00FF6D7F">
        <w:rPr>
          <w:rFonts w:cstheme="minorHAnsi"/>
          <w:color w:val="191B1A"/>
          <w:sz w:val="24"/>
          <w:szCs w:val="24"/>
        </w:rPr>
        <w:t xml:space="preserve">n Aduanera es la </w:t>
      </w:r>
      <w:r w:rsidRPr="00FF6D7F">
        <w:rPr>
          <w:rFonts w:cstheme="minorHAnsi"/>
          <w:color w:val="191B1A"/>
          <w:sz w:val="24"/>
          <w:szCs w:val="24"/>
        </w:rPr>
        <w:t>libertad de tránsito de las mercancías - incluyendo aquellas de terceros paí</w:t>
      </w:r>
      <w:r w:rsidRPr="00FF6D7F">
        <w:rPr>
          <w:rFonts w:cstheme="minorHAnsi"/>
          <w:color w:val="191B1A"/>
          <w:sz w:val="24"/>
          <w:szCs w:val="24"/>
        </w:rPr>
        <w:t xml:space="preserve">ses-, </w:t>
      </w:r>
      <w:r w:rsidRPr="00FF6D7F">
        <w:rPr>
          <w:rFonts w:cstheme="minorHAnsi"/>
          <w:color w:val="191B1A"/>
          <w:sz w:val="24"/>
          <w:szCs w:val="24"/>
        </w:rPr>
        <w:t>siguiendo lo dispuesto por el artículo citado anteriormente, los paí</w:t>
      </w:r>
      <w:r w:rsidRPr="00FF6D7F">
        <w:rPr>
          <w:rFonts w:cstheme="minorHAnsi"/>
          <w:color w:val="191B1A"/>
          <w:sz w:val="24"/>
          <w:szCs w:val="24"/>
        </w:rPr>
        <w:t xml:space="preserve">ses han decidido </w:t>
      </w:r>
      <w:r w:rsidRPr="00FF6D7F">
        <w:rPr>
          <w:rFonts w:cstheme="minorHAnsi"/>
          <w:color w:val="191B1A"/>
          <w:sz w:val="24"/>
          <w:szCs w:val="24"/>
        </w:rPr>
        <w:t>alcanzarla de manera gradual y progresiva; es por ell</w:t>
      </w:r>
      <w:r w:rsidRPr="00FF6D7F">
        <w:rPr>
          <w:rFonts w:cstheme="minorHAnsi"/>
          <w:color w:val="191B1A"/>
          <w:sz w:val="24"/>
          <w:szCs w:val="24"/>
        </w:rPr>
        <w:t xml:space="preserve">o que en el Convenio Marco para </w:t>
      </w:r>
      <w:r w:rsidRPr="00FF6D7F">
        <w:rPr>
          <w:rFonts w:cstheme="minorHAnsi"/>
          <w:color w:val="191B1A"/>
          <w:sz w:val="24"/>
          <w:szCs w:val="24"/>
        </w:rPr>
        <w:t>el Establecimiento de la Unión Aduanera Centroamericana en su artí</w:t>
      </w:r>
      <w:r w:rsidRPr="00FF6D7F">
        <w:rPr>
          <w:rFonts w:cstheme="minorHAnsi"/>
          <w:color w:val="191B1A"/>
          <w:sz w:val="24"/>
          <w:szCs w:val="24"/>
        </w:rPr>
        <w:t xml:space="preserve">culo 2, se </w:t>
      </w:r>
      <w:r w:rsidRPr="00FF6D7F">
        <w:rPr>
          <w:rFonts w:cstheme="minorHAnsi"/>
          <w:color w:val="191B1A"/>
          <w:sz w:val="24"/>
          <w:szCs w:val="24"/>
        </w:rPr>
        <w:t>describen las etapas de la Unión Aduanera en: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C1E1D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C1E1D"/>
          <w:sz w:val="24"/>
          <w:szCs w:val="24"/>
        </w:rPr>
      </w:pPr>
      <w:r w:rsidRPr="00FF6D7F">
        <w:rPr>
          <w:rFonts w:cstheme="minorHAnsi"/>
          <w:color w:val="1C1E1D"/>
          <w:sz w:val="24"/>
          <w:szCs w:val="24"/>
        </w:rPr>
        <w:t>l. Promoción de la libre circulación de bienes y facilitación del comercio;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B1B"/>
          <w:sz w:val="24"/>
          <w:szCs w:val="24"/>
        </w:rPr>
      </w:pPr>
      <w:r w:rsidRPr="00FF6D7F">
        <w:rPr>
          <w:rFonts w:cstheme="minorHAnsi"/>
          <w:color w:val="191B1B"/>
          <w:sz w:val="24"/>
          <w:szCs w:val="24"/>
        </w:rPr>
        <w:t>2. Modernización y convergencia normativa; y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  <w:r w:rsidRPr="00FF6D7F">
        <w:rPr>
          <w:rFonts w:cstheme="minorHAnsi"/>
          <w:color w:val="181A19"/>
          <w:sz w:val="24"/>
          <w:szCs w:val="24"/>
        </w:rPr>
        <w:t>3. Desarrollo institucional.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A1C1B"/>
          <w:sz w:val="24"/>
          <w:szCs w:val="24"/>
        </w:rPr>
      </w:pPr>
      <w:r w:rsidRPr="00FF6D7F">
        <w:rPr>
          <w:rFonts w:cstheme="minorHAnsi"/>
          <w:color w:val="1A1C1B"/>
          <w:sz w:val="24"/>
          <w:szCs w:val="24"/>
        </w:rPr>
        <w:t>Actualmente, en el marco del Subsistema de Integración Econó</w:t>
      </w:r>
      <w:r w:rsidRPr="00FF6D7F">
        <w:rPr>
          <w:rFonts w:cstheme="minorHAnsi"/>
          <w:color w:val="1A1C1B"/>
          <w:sz w:val="24"/>
          <w:szCs w:val="24"/>
        </w:rPr>
        <w:t xml:space="preserve">mica </w:t>
      </w:r>
      <w:r w:rsidRPr="00FF6D7F">
        <w:rPr>
          <w:rFonts w:cstheme="minorHAnsi"/>
          <w:color w:val="1A1C1B"/>
          <w:sz w:val="24"/>
          <w:szCs w:val="24"/>
        </w:rPr>
        <w:t xml:space="preserve">Centroamericana, los trabajos se enfocan en </w:t>
      </w:r>
      <w:proofErr w:type="gramStart"/>
      <w:r w:rsidRPr="00FF6D7F">
        <w:rPr>
          <w:rFonts w:cstheme="minorHAnsi"/>
          <w:color w:val="1A1C1B"/>
          <w:sz w:val="24"/>
          <w:szCs w:val="24"/>
        </w:rPr>
        <w:t>la</w:t>
      </w:r>
      <w:proofErr w:type="gramEnd"/>
      <w:r w:rsidRPr="00FF6D7F">
        <w:rPr>
          <w:rFonts w:cstheme="minorHAnsi"/>
          <w:color w:val="1A1C1B"/>
          <w:sz w:val="24"/>
          <w:szCs w:val="24"/>
        </w:rPr>
        <w:t xml:space="preserve"> dos primeras etapas de la Unió</w:t>
      </w:r>
      <w:r w:rsidRPr="00FF6D7F">
        <w:rPr>
          <w:rFonts w:cstheme="minorHAnsi"/>
          <w:color w:val="1A1C1B"/>
          <w:sz w:val="24"/>
          <w:szCs w:val="24"/>
        </w:rPr>
        <w:t xml:space="preserve">n </w:t>
      </w:r>
      <w:r w:rsidRPr="00FF6D7F">
        <w:rPr>
          <w:rFonts w:cstheme="minorHAnsi"/>
          <w:color w:val="1A1C1B"/>
          <w:sz w:val="24"/>
          <w:szCs w:val="24"/>
        </w:rPr>
        <w:t>Aduanera, es decir, en la promoción de la facilitació</w:t>
      </w:r>
      <w:r w:rsidRPr="00FF6D7F">
        <w:rPr>
          <w:rFonts w:cstheme="minorHAnsi"/>
          <w:color w:val="1A1C1B"/>
          <w:sz w:val="24"/>
          <w:szCs w:val="24"/>
        </w:rPr>
        <w:t xml:space="preserve">n comercial y la convergencia </w:t>
      </w:r>
      <w:r w:rsidRPr="00FF6D7F">
        <w:rPr>
          <w:rFonts w:cstheme="minorHAnsi"/>
          <w:color w:val="1A1C1B"/>
          <w:sz w:val="24"/>
          <w:szCs w:val="24"/>
        </w:rPr>
        <w:t>normativa.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A1D1C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A1D1C"/>
          <w:sz w:val="24"/>
          <w:szCs w:val="24"/>
        </w:rPr>
      </w:pPr>
      <w:r w:rsidRPr="00FF6D7F">
        <w:rPr>
          <w:rFonts w:cstheme="minorHAnsi"/>
          <w:color w:val="1A1D1C"/>
          <w:sz w:val="24"/>
          <w:szCs w:val="24"/>
        </w:rPr>
        <w:lastRenderedPageBreak/>
        <w:t>En el caso del sector de alimentos y bebidas centroam</w:t>
      </w:r>
      <w:r w:rsidRPr="00FF6D7F">
        <w:rPr>
          <w:rFonts w:cstheme="minorHAnsi"/>
          <w:color w:val="1A1D1C"/>
          <w:sz w:val="24"/>
          <w:szCs w:val="24"/>
        </w:rPr>
        <w:t xml:space="preserve">ericano, su relevancia para e l </w:t>
      </w:r>
      <w:r w:rsidRPr="00FF6D7F">
        <w:rPr>
          <w:rFonts w:cstheme="minorHAnsi"/>
          <w:color w:val="1A1D1C"/>
          <w:sz w:val="24"/>
          <w:szCs w:val="24"/>
        </w:rPr>
        <w:t>comercio regional e s de gran importancia, e s por</w:t>
      </w:r>
      <w:r w:rsidRPr="00FF6D7F">
        <w:rPr>
          <w:rFonts w:cstheme="minorHAnsi"/>
          <w:color w:val="1A1D1C"/>
          <w:sz w:val="24"/>
          <w:szCs w:val="24"/>
        </w:rPr>
        <w:t xml:space="preserve"> ello que cuenta con una de las </w:t>
      </w:r>
      <w:r w:rsidRPr="00FF6D7F">
        <w:rPr>
          <w:rFonts w:cstheme="minorHAnsi"/>
          <w:color w:val="1A1D1C"/>
          <w:sz w:val="24"/>
          <w:szCs w:val="24"/>
        </w:rPr>
        <w:t>regulaciones más armonizadas y homologadas entre Centroamé</w:t>
      </w:r>
      <w:r w:rsidRPr="00FF6D7F">
        <w:rPr>
          <w:rFonts w:cstheme="minorHAnsi"/>
          <w:color w:val="1A1D1C"/>
          <w:sz w:val="24"/>
          <w:szCs w:val="24"/>
        </w:rPr>
        <w:t xml:space="preserve">rica, si se compara </w:t>
      </w:r>
      <w:r w:rsidRPr="00FF6D7F">
        <w:rPr>
          <w:rFonts w:cstheme="minorHAnsi"/>
          <w:color w:val="1A1D1C"/>
          <w:sz w:val="24"/>
          <w:szCs w:val="24"/>
        </w:rPr>
        <w:t>con otros sectores de manufactura.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A2A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A2A"/>
          <w:sz w:val="24"/>
          <w:szCs w:val="24"/>
        </w:rPr>
      </w:pPr>
      <w:r w:rsidRPr="00FF6D7F">
        <w:rPr>
          <w:rFonts w:cstheme="minorHAnsi"/>
          <w:color w:val="282A2A"/>
          <w:sz w:val="24"/>
          <w:szCs w:val="24"/>
        </w:rPr>
        <w:t>Teniendo en mente que la meta es la libre circulación o libertad de trá</w:t>
      </w:r>
      <w:r w:rsidRPr="00FF6D7F">
        <w:rPr>
          <w:rFonts w:cstheme="minorHAnsi"/>
          <w:color w:val="282A2A"/>
          <w:sz w:val="24"/>
          <w:szCs w:val="24"/>
        </w:rPr>
        <w:t xml:space="preserve">nsito de las </w:t>
      </w:r>
      <w:r w:rsidRPr="00FF6D7F">
        <w:rPr>
          <w:rFonts w:cstheme="minorHAnsi"/>
          <w:color w:val="282A2A"/>
          <w:sz w:val="24"/>
          <w:szCs w:val="24"/>
        </w:rPr>
        <w:t>mercancías, el lograr una normativa totalmente armonizada es una condició</w:t>
      </w:r>
      <w:r w:rsidRPr="00FF6D7F">
        <w:rPr>
          <w:rFonts w:cstheme="minorHAnsi"/>
          <w:color w:val="282A2A"/>
          <w:sz w:val="24"/>
          <w:szCs w:val="24"/>
        </w:rPr>
        <w:t xml:space="preserve">n que </w:t>
      </w:r>
      <w:r w:rsidRPr="00FF6D7F">
        <w:rPr>
          <w:rFonts w:cstheme="minorHAnsi"/>
          <w:color w:val="282A2A"/>
          <w:sz w:val="24"/>
          <w:szCs w:val="24"/>
        </w:rPr>
        <w:t>permitirá la eliminación de barreras no arancelarias a los productos, incluyendo al</w:t>
      </w:r>
      <w:r w:rsidRPr="00FF6D7F">
        <w:rPr>
          <w:rFonts w:cstheme="minorHAnsi"/>
          <w:color w:val="282A2A"/>
          <w:sz w:val="24"/>
          <w:szCs w:val="24"/>
        </w:rPr>
        <w:t xml:space="preserve"> </w:t>
      </w:r>
      <w:r w:rsidRPr="00FF6D7F">
        <w:rPr>
          <w:rFonts w:cstheme="minorHAnsi"/>
          <w:color w:val="282A2A"/>
          <w:sz w:val="24"/>
          <w:szCs w:val="24"/>
        </w:rPr>
        <w:t>agua envasada y en consecuencia, se efectúe un flujo co</w:t>
      </w:r>
      <w:r w:rsidRPr="00FF6D7F">
        <w:rPr>
          <w:rFonts w:cstheme="minorHAnsi"/>
          <w:color w:val="282A2A"/>
          <w:sz w:val="24"/>
          <w:szCs w:val="24"/>
        </w:rPr>
        <w:t xml:space="preserve">mercial sin restricciones entre </w:t>
      </w:r>
      <w:r w:rsidRPr="00FF6D7F">
        <w:rPr>
          <w:rFonts w:cstheme="minorHAnsi"/>
          <w:color w:val="282A2A"/>
          <w:sz w:val="24"/>
          <w:szCs w:val="24"/>
        </w:rPr>
        <w:t>los países.</w:t>
      </w: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F6D7F">
        <w:rPr>
          <w:rFonts w:cstheme="minorHAnsi"/>
          <w:color w:val="272928"/>
          <w:sz w:val="24"/>
          <w:szCs w:val="24"/>
        </w:rPr>
        <w:t>No obstante, es importante aclarar que el trabajo de armonizació</w:t>
      </w:r>
      <w:r>
        <w:rPr>
          <w:rFonts w:cstheme="minorHAnsi"/>
          <w:color w:val="272928"/>
          <w:sz w:val="24"/>
          <w:szCs w:val="24"/>
        </w:rPr>
        <w:t>n regulatoria en</w:t>
      </w:r>
      <w:r w:rsidRPr="00FF6D7F">
        <w:rPr>
          <w:rFonts w:cstheme="minorHAnsi"/>
          <w:color w:val="272928"/>
          <w:sz w:val="24"/>
          <w:szCs w:val="24"/>
        </w:rPr>
        <w:t xml:space="preserve"> </w:t>
      </w:r>
      <w:r w:rsidRPr="00FF6D7F">
        <w:rPr>
          <w:rFonts w:cstheme="minorHAnsi"/>
          <w:color w:val="272928"/>
          <w:sz w:val="24"/>
          <w:szCs w:val="24"/>
        </w:rPr>
        <w:t>materia de alimentos y bebidas continúa y se espera que una vez alcanzado e</w:t>
      </w:r>
      <w:r w:rsidRPr="00FF6D7F">
        <w:rPr>
          <w:rFonts w:cstheme="minorHAnsi"/>
          <w:color w:val="272928"/>
          <w:sz w:val="24"/>
          <w:szCs w:val="24"/>
        </w:rPr>
        <w:t xml:space="preserve">n su </w:t>
      </w:r>
      <w:r w:rsidRPr="00FF6D7F">
        <w:rPr>
          <w:rFonts w:cstheme="minorHAnsi"/>
          <w:color w:val="272928"/>
          <w:sz w:val="24"/>
          <w:szCs w:val="24"/>
        </w:rPr>
        <w:t>totalidad facilite la implementación efectiva de la libre circulació</w:t>
      </w:r>
      <w:r w:rsidRPr="00FF6D7F">
        <w:rPr>
          <w:rFonts w:cstheme="minorHAnsi"/>
          <w:color w:val="272928"/>
          <w:sz w:val="24"/>
          <w:szCs w:val="24"/>
        </w:rPr>
        <w:t xml:space="preserve">n. Hasta el momento, </w:t>
      </w:r>
      <w:r w:rsidRPr="00FF6D7F">
        <w:rPr>
          <w:rFonts w:cstheme="minorHAnsi"/>
          <w:color w:val="272928"/>
          <w:sz w:val="24"/>
          <w:szCs w:val="24"/>
        </w:rPr>
        <w:t>no se cuenta con un Reglamento Técnico Centr</w:t>
      </w:r>
      <w:r w:rsidRPr="00FF6D7F">
        <w:rPr>
          <w:rFonts w:cstheme="minorHAnsi"/>
          <w:color w:val="272928"/>
          <w:sz w:val="24"/>
          <w:szCs w:val="24"/>
        </w:rPr>
        <w:t xml:space="preserve">oamericano que regule de manera </w:t>
      </w:r>
      <w:r w:rsidRPr="00FF6D7F">
        <w:rPr>
          <w:rFonts w:cstheme="minorHAnsi"/>
          <w:color w:val="272928"/>
          <w:sz w:val="24"/>
          <w:szCs w:val="24"/>
        </w:rPr>
        <w:t>específica el tema del agua envasada.</w:t>
      </w: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5626E"/>
    <w:rsid w:val="00374D3A"/>
    <w:rsid w:val="004502DB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E7C6D"/>
    <w:rsid w:val="00E40D9C"/>
    <w:rsid w:val="00F2442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5665-D897-46A7-92B3-885651B6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2019-10-15T15:55:00Z</dcterms:created>
  <dcterms:modified xsi:type="dcterms:W3CDTF">2019-10-15T15:55:00Z</dcterms:modified>
</cp:coreProperties>
</file>