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  <w:r>
        <w:rPr>
          <w:rFonts w:ascii="*Cambria-10355-Identity-H" w:hAnsi="*Cambria-10355-Identity-H" w:cs="*Cambria-10355-Identity-H"/>
          <w:noProof/>
          <w:color w:val="171919"/>
          <w:lang w:eastAsia="es-SV"/>
        </w:rPr>
        <w:drawing>
          <wp:anchor distT="0" distB="0" distL="114300" distR="114300" simplePos="0" relativeHeight="251658240" behindDoc="0" locked="0" layoutInCell="1" allowOverlap="1" wp14:anchorId="52E7BEA3" wp14:editId="1F896688">
            <wp:simplePos x="0" y="0"/>
            <wp:positionH relativeFrom="column">
              <wp:posOffset>1811655</wp:posOffset>
            </wp:positionH>
            <wp:positionV relativeFrom="paragraph">
              <wp:posOffset>45720</wp:posOffset>
            </wp:positionV>
            <wp:extent cx="2305050" cy="1270000"/>
            <wp:effectExtent l="0" t="0" r="0" b="635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Default="00C4033A" w:rsidP="00C4033A">
      <w:pPr>
        <w:autoSpaceDE w:val="0"/>
        <w:autoSpaceDN w:val="0"/>
        <w:adjustRightInd w:val="0"/>
        <w:spacing w:after="0" w:line="24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Default="00C4033A" w:rsidP="00C4033A">
      <w:pPr>
        <w:autoSpaceDE w:val="0"/>
        <w:autoSpaceDN w:val="0"/>
        <w:adjustRightInd w:val="0"/>
        <w:spacing w:after="0" w:line="360" w:lineRule="auto"/>
        <w:rPr>
          <w:rFonts w:ascii="*Cambria-10355-Identity-H" w:hAnsi="*Cambria-10355-Identity-H" w:cs="*Cambria-10355-Identity-H"/>
          <w:color w:val="171919"/>
        </w:rPr>
      </w:pPr>
    </w:p>
    <w:p w:rsidR="00C4033A" w:rsidRPr="00C4033A" w:rsidRDefault="00C4033A" w:rsidP="00C4033A">
      <w:pPr>
        <w:autoSpaceDE w:val="0"/>
        <w:autoSpaceDN w:val="0"/>
        <w:adjustRightInd w:val="0"/>
        <w:spacing w:after="0" w:line="360" w:lineRule="auto"/>
        <w:rPr>
          <w:rFonts w:cstheme="minorHAnsi"/>
          <w:color w:val="171919"/>
          <w:sz w:val="24"/>
          <w:szCs w:val="24"/>
        </w:rPr>
      </w:pPr>
      <w:r w:rsidRPr="00C4033A">
        <w:rPr>
          <w:rFonts w:cstheme="minorHAnsi"/>
          <w:color w:val="171919"/>
          <w:sz w:val="24"/>
          <w:szCs w:val="24"/>
        </w:rPr>
        <w:t>La</w:t>
      </w:r>
      <w:r w:rsidRPr="00C4033A">
        <w:rPr>
          <w:rFonts w:cstheme="minorHAnsi"/>
          <w:color w:val="171919"/>
          <w:sz w:val="24"/>
          <w:szCs w:val="24"/>
        </w:rPr>
        <w:t xml:space="preserve"> </w:t>
      </w:r>
      <w:r w:rsidRPr="00C4033A">
        <w:rPr>
          <w:rFonts w:cstheme="minorHAnsi"/>
          <w:b/>
          <w:bCs/>
          <w:color w:val="171919"/>
          <w:sz w:val="24"/>
          <w:szCs w:val="24"/>
        </w:rPr>
        <w:t xml:space="preserve">Dirección General de Estadísticas </w:t>
      </w:r>
      <w:r w:rsidRPr="00C4033A">
        <w:rPr>
          <w:rFonts w:cstheme="minorHAnsi"/>
          <w:color w:val="171919"/>
          <w:sz w:val="24"/>
          <w:szCs w:val="24"/>
        </w:rPr>
        <w:t xml:space="preserve">y </w:t>
      </w:r>
      <w:r w:rsidRPr="00C4033A">
        <w:rPr>
          <w:rFonts w:cstheme="minorHAnsi"/>
          <w:b/>
          <w:bCs/>
          <w:color w:val="171919"/>
          <w:sz w:val="24"/>
          <w:szCs w:val="24"/>
        </w:rPr>
        <w:t xml:space="preserve">Censos, (DIGESTYC), </w:t>
      </w:r>
      <w:r w:rsidRPr="00C4033A">
        <w:rPr>
          <w:rFonts w:cstheme="minorHAnsi"/>
          <w:color w:val="171919"/>
          <w:sz w:val="24"/>
          <w:szCs w:val="24"/>
        </w:rPr>
        <w:t>en atenció</w:t>
      </w:r>
      <w:r w:rsidRPr="00C4033A">
        <w:rPr>
          <w:rFonts w:cstheme="minorHAnsi"/>
          <w:color w:val="171919"/>
          <w:sz w:val="24"/>
          <w:szCs w:val="24"/>
        </w:rPr>
        <w:t xml:space="preserve">n y </w:t>
      </w:r>
      <w:r>
        <w:rPr>
          <w:rFonts w:cstheme="minorHAnsi"/>
          <w:color w:val="171919"/>
          <w:sz w:val="24"/>
          <w:szCs w:val="24"/>
        </w:rPr>
        <w:t xml:space="preserve">respuesta al </w:t>
      </w:r>
      <w:r w:rsidRPr="00C4033A">
        <w:rPr>
          <w:rFonts w:cstheme="minorHAnsi"/>
          <w:color w:val="171919"/>
          <w:sz w:val="24"/>
          <w:szCs w:val="24"/>
        </w:rPr>
        <w:t>requerimiento de información, se el</w:t>
      </w:r>
      <w:r>
        <w:rPr>
          <w:rFonts w:cstheme="minorHAnsi"/>
          <w:color w:val="171919"/>
          <w:sz w:val="24"/>
          <w:szCs w:val="24"/>
        </w:rPr>
        <w:t xml:space="preserve">aboró la información en base al </w:t>
      </w:r>
      <w:r w:rsidRPr="00C4033A">
        <w:rPr>
          <w:rFonts w:cstheme="minorHAnsi"/>
          <w:color w:val="171919"/>
          <w:sz w:val="24"/>
          <w:szCs w:val="24"/>
        </w:rPr>
        <w:t>Registro Administrativo de Empresas formales año 2</w:t>
      </w:r>
      <w:r w:rsidRPr="00C4033A">
        <w:rPr>
          <w:rFonts w:cstheme="minorHAnsi"/>
          <w:color w:val="171919"/>
          <w:sz w:val="24"/>
          <w:szCs w:val="24"/>
        </w:rPr>
        <w:t xml:space="preserve">018, se enviaron las siguientes </w:t>
      </w:r>
      <w:r w:rsidRPr="00C4033A">
        <w:rPr>
          <w:rFonts w:cstheme="minorHAnsi"/>
          <w:color w:val="171919"/>
          <w:sz w:val="24"/>
          <w:szCs w:val="24"/>
        </w:rPr>
        <w:t>variables:</w:t>
      </w:r>
    </w:p>
    <w:p w:rsidR="00C4033A" w:rsidRPr="00C4033A" w:rsidRDefault="00C4033A" w:rsidP="00C4033A">
      <w:pPr>
        <w:autoSpaceDE w:val="0"/>
        <w:autoSpaceDN w:val="0"/>
        <w:adjustRightInd w:val="0"/>
        <w:spacing w:after="0" w:line="360" w:lineRule="auto"/>
        <w:rPr>
          <w:rFonts w:cstheme="minorHAnsi"/>
          <w:color w:val="1A1C1B"/>
          <w:sz w:val="24"/>
          <w:szCs w:val="24"/>
        </w:rPr>
      </w:pPr>
      <w:r w:rsidRPr="00C4033A">
        <w:rPr>
          <w:rFonts w:cstheme="minorHAnsi"/>
          <w:color w:val="1A1C1B"/>
          <w:sz w:val="24"/>
          <w:szCs w:val="24"/>
        </w:rPr>
        <w:t>l. Ubicación geográfica</w:t>
      </w:r>
    </w:p>
    <w:p w:rsidR="00C4033A" w:rsidRPr="00C4033A" w:rsidRDefault="00C4033A" w:rsidP="00C4033A">
      <w:pPr>
        <w:autoSpaceDE w:val="0"/>
        <w:autoSpaceDN w:val="0"/>
        <w:adjustRightInd w:val="0"/>
        <w:spacing w:after="0" w:line="360" w:lineRule="auto"/>
        <w:rPr>
          <w:rFonts w:cstheme="minorHAnsi"/>
          <w:color w:val="171A19"/>
          <w:sz w:val="24"/>
          <w:szCs w:val="24"/>
        </w:rPr>
      </w:pPr>
      <w:r w:rsidRPr="00C4033A">
        <w:rPr>
          <w:rFonts w:cstheme="minorHAnsi"/>
          <w:color w:val="171A19"/>
          <w:sz w:val="24"/>
          <w:szCs w:val="24"/>
        </w:rPr>
        <w:t xml:space="preserve">2. CIIU </w:t>
      </w:r>
      <w:proofErr w:type="spellStart"/>
      <w:r w:rsidRPr="00C4033A">
        <w:rPr>
          <w:rFonts w:cstheme="minorHAnsi"/>
          <w:color w:val="171A19"/>
          <w:sz w:val="24"/>
          <w:szCs w:val="24"/>
        </w:rPr>
        <w:t>rev.</w:t>
      </w:r>
      <w:proofErr w:type="spellEnd"/>
      <w:r w:rsidRPr="00C4033A">
        <w:rPr>
          <w:rFonts w:cstheme="minorHAnsi"/>
          <w:color w:val="171A19"/>
          <w:sz w:val="24"/>
          <w:szCs w:val="24"/>
        </w:rPr>
        <w:t xml:space="preserve"> 4, Actividad Económica</w:t>
      </w:r>
    </w:p>
    <w:p w:rsidR="00C4033A" w:rsidRPr="00C4033A" w:rsidRDefault="00C4033A" w:rsidP="00C4033A">
      <w:pPr>
        <w:autoSpaceDE w:val="0"/>
        <w:autoSpaceDN w:val="0"/>
        <w:adjustRightInd w:val="0"/>
        <w:spacing w:after="0" w:line="360" w:lineRule="auto"/>
        <w:rPr>
          <w:rFonts w:cstheme="minorHAnsi"/>
          <w:color w:val="1A1D1C"/>
          <w:sz w:val="24"/>
          <w:szCs w:val="24"/>
        </w:rPr>
      </w:pPr>
      <w:r w:rsidRPr="00C4033A">
        <w:rPr>
          <w:rFonts w:cstheme="minorHAnsi"/>
          <w:color w:val="1A1D1C"/>
          <w:sz w:val="24"/>
          <w:szCs w:val="24"/>
        </w:rPr>
        <w:t>3. Nombre Comercial</w:t>
      </w:r>
      <w:bookmarkStart w:id="0" w:name="_GoBack"/>
      <w:bookmarkEnd w:id="0"/>
    </w:p>
    <w:p w:rsidR="00C4033A" w:rsidRPr="00C4033A" w:rsidRDefault="00C4033A" w:rsidP="00C4033A">
      <w:pPr>
        <w:autoSpaceDE w:val="0"/>
        <w:autoSpaceDN w:val="0"/>
        <w:adjustRightInd w:val="0"/>
        <w:spacing w:after="0" w:line="360" w:lineRule="auto"/>
        <w:rPr>
          <w:rFonts w:cstheme="minorHAnsi"/>
          <w:color w:val="181A19"/>
          <w:sz w:val="24"/>
          <w:szCs w:val="24"/>
        </w:rPr>
      </w:pPr>
      <w:r w:rsidRPr="00C4033A">
        <w:rPr>
          <w:rFonts w:cstheme="minorHAnsi"/>
          <w:color w:val="181A19"/>
          <w:sz w:val="24"/>
          <w:szCs w:val="24"/>
        </w:rPr>
        <w:t>4. Número de hombres y mujeres</w:t>
      </w:r>
    </w:p>
    <w:p w:rsidR="00410D62" w:rsidRPr="00C4033A" w:rsidRDefault="00C4033A" w:rsidP="00C4033A">
      <w:pPr>
        <w:spacing w:line="360" w:lineRule="auto"/>
        <w:rPr>
          <w:rFonts w:cstheme="minorHAnsi"/>
          <w:sz w:val="24"/>
          <w:szCs w:val="24"/>
        </w:rPr>
      </w:pPr>
      <w:r w:rsidRPr="00C4033A">
        <w:rPr>
          <w:rFonts w:cstheme="minorHAnsi"/>
          <w:color w:val="1C1D1D"/>
          <w:sz w:val="24"/>
          <w:szCs w:val="24"/>
        </w:rPr>
        <w:t>5. Generación de empleo. Se entregó en formato EXCEL.</w:t>
      </w:r>
    </w:p>
    <w:p w:rsidR="00C4033A" w:rsidRPr="00C4033A" w:rsidRDefault="00C4033A">
      <w:pPr>
        <w:rPr>
          <w:rFonts w:cstheme="minorHAnsi"/>
          <w:sz w:val="24"/>
          <w:szCs w:val="24"/>
        </w:rPr>
      </w:pPr>
    </w:p>
    <w:sectPr w:rsidR="00C4033A" w:rsidRPr="00C403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mbria-1035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3A"/>
    <w:rsid w:val="00410D62"/>
    <w:rsid w:val="00C4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2019-09-04T17:10:00Z</dcterms:created>
  <dcterms:modified xsi:type="dcterms:W3CDTF">2019-09-04T17:13:00Z</dcterms:modified>
</cp:coreProperties>
</file>