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78744F" w:rsidRDefault="0078744F" w:rsidP="0078744F"/>
    <w:p w:rsidR="008C5789" w:rsidRPr="008C5789" w:rsidRDefault="008C5789" w:rsidP="008C5789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L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a </w:t>
      </w:r>
      <w:r w:rsidRPr="008C5789">
        <w:rPr>
          <w:rFonts w:asciiTheme="minorHAnsi" w:eastAsiaTheme="minorHAnsi" w:hAnsiTheme="minorHAnsi" w:cstheme="minorHAnsi"/>
          <w:b/>
          <w:bCs/>
          <w:color w:val="191B1A"/>
          <w:sz w:val="24"/>
          <w:szCs w:val="24"/>
          <w:lang w:eastAsia="en-US"/>
        </w:rPr>
        <w:t xml:space="preserve">Dirección General de Estadísticas 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y </w:t>
      </w:r>
      <w:r w:rsidRPr="008C5789">
        <w:rPr>
          <w:rFonts w:asciiTheme="minorHAnsi" w:eastAsiaTheme="minorHAnsi" w:hAnsiTheme="minorHAnsi" w:cstheme="minorHAnsi"/>
          <w:b/>
          <w:bCs/>
          <w:color w:val="191B1A"/>
          <w:sz w:val="24"/>
          <w:szCs w:val="24"/>
          <w:lang w:eastAsia="en-US"/>
        </w:rPr>
        <w:t xml:space="preserve">Censos (DIGESTYC), 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en atención a su</w:t>
      </w:r>
      <w:r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 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requerimiento relacionado a la documentación de Inscripción de Empresa y Solvencia</w:t>
      </w:r>
      <w:r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 DIGESTYC, al 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respecto Se le grabó en una USB el documento "Guía para legalizar una</w:t>
      </w:r>
      <w:r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 </w:t>
      </w: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empresa formal", elaborado en la DIGESTYC. Se le entregó en formato PDF.</w:t>
      </w:r>
    </w:p>
    <w:p w:rsidR="00FB5FD3" w:rsidRPr="008C5789" w:rsidRDefault="008C5789" w:rsidP="008C5789">
      <w:pPr>
        <w:spacing w:after="0" w:line="360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8C5789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INFORMACION COMPLETA.</w:t>
      </w: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F76" w:rsidRDefault="00CC4F76" w:rsidP="00F425A5">
      <w:pPr>
        <w:spacing w:after="0" w:line="240" w:lineRule="auto"/>
      </w:pPr>
      <w:r>
        <w:separator/>
      </w:r>
    </w:p>
  </w:endnote>
  <w:endnote w:type="continuationSeparator" w:id="0">
    <w:p w:rsidR="00CC4F76" w:rsidRDefault="00CC4F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A77D0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F76" w:rsidRDefault="00CC4F76" w:rsidP="00F425A5">
      <w:pPr>
        <w:spacing w:after="0" w:line="240" w:lineRule="auto"/>
      </w:pPr>
      <w:r>
        <w:separator/>
      </w:r>
    </w:p>
  </w:footnote>
  <w:footnote w:type="continuationSeparator" w:id="0">
    <w:p w:rsidR="00CC4F76" w:rsidRDefault="00CC4F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C5789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77D08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C4F76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2C876C4-9C8D-4D4C-9219-E1857FB1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2019-07-18T19:31:00Z</dcterms:created>
  <dcterms:modified xsi:type="dcterms:W3CDTF">2019-07-18T19:31:00Z</dcterms:modified>
</cp:coreProperties>
</file>