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B85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858E1" w:rsidRPr="00B858E1" w:rsidRDefault="00B858E1" w:rsidP="00B858E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B5FD3" w:rsidRPr="00B858E1" w:rsidRDefault="00B858E1" w:rsidP="00B858E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61717"/>
          <w:sz w:val="24"/>
          <w:szCs w:val="24"/>
          <w:lang w:eastAsia="en-US"/>
        </w:rPr>
      </w:pPr>
      <w:r w:rsidRPr="00B858E1">
        <w:rPr>
          <w:rFonts w:asciiTheme="minorHAnsi" w:eastAsiaTheme="minorHAnsi" w:hAnsiTheme="minorHAnsi" w:cstheme="minorHAnsi"/>
          <w:color w:val="161717"/>
          <w:sz w:val="24"/>
          <w:szCs w:val="24"/>
          <w:lang w:eastAsia="en-US"/>
        </w:rPr>
        <w:t xml:space="preserve">La </w:t>
      </w:r>
      <w:r w:rsidRPr="00B858E1">
        <w:rPr>
          <w:rFonts w:asciiTheme="minorHAnsi" w:eastAsiaTheme="minorHAnsi" w:hAnsiTheme="minorHAnsi" w:cstheme="minorHAnsi"/>
          <w:b/>
          <w:bCs/>
          <w:color w:val="161717"/>
          <w:sz w:val="24"/>
          <w:szCs w:val="24"/>
          <w:lang w:eastAsia="en-US"/>
        </w:rPr>
        <w:t xml:space="preserve">Dirección General de Estadísticas y Censos (DIGESTYC), </w:t>
      </w:r>
      <w:r w:rsidRPr="00B858E1">
        <w:rPr>
          <w:rFonts w:asciiTheme="minorHAnsi" w:eastAsiaTheme="minorHAnsi" w:hAnsiTheme="minorHAnsi" w:cstheme="minorHAnsi"/>
          <w:color w:val="161717"/>
          <w:sz w:val="24"/>
          <w:szCs w:val="24"/>
          <w:lang w:eastAsia="en-US"/>
        </w:rPr>
        <w:t>en atención a su requerimiento relacionado a la Base de datos en formato SPSS de la EHPM 2018, al respecto se le informa que se ha enviado la base de datos EHPM año 2018, formato</w:t>
      </w:r>
      <w:r>
        <w:rPr>
          <w:rFonts w:asciiTheme="minorHAnsi" w:eastAsiaTheme="minorHAnsi" w:hAnsiTheme="minorHAnsi" w:cstheme="minorHAnsi"/>
          <w:color w:val="161717"/>
          <w:sz w:val="24"/>
          <w:szCs w:val="24"/>
          <w:lang w:eastAsia="en-US"/>
        </w:rPr>
        <w:t xml:space="preserve"> </w:t>
      </w:r>
      <w:r w:rsidRPr="00B858E1">
        <w:rPr>
          <w:rFonts w:asciiTheme="minorHAnsi" w:eastAsiaTheme="minorHAnsi" w:hAnsiTheme="minorHAnsi" w:cstheme="minorHAnsi"/>
          <w:color w:val="161717"/>
          <w:sz w:val="24"/>
          <w:szCs w:val="24"/>
          <w:lang w:eastAsia="en-US"/>
        </w:rPr>
        <w:t>SPSS, por medio de un link especial por ser muy pesado el archivo.</w:t>
      </w:r>
    </w:p>
    <w:p w:rsidR="00FB5FD3" w:rsidRPr="00B858E1" w:rsidRDefault="00FB5FD3" w:rsidP="00FB5FD3">
      <w:pPr>
        <w:spacing w:after="160" w:line="259" w:lineRule="auto"/>
        <w:rPr>
          <w:rFonts w:eastAsia="Calibri"/>
          <w:b/>
          <w:lang w:eastAsia="en-US"/>
        </w:rPr>
      </w:pPr>
    </w:p>
    <w:sectPr w:rsidR="00FB5FD3" w:rsidRPr="00B858E1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8F" w:rsidRDefault="00E10E8F" w:rsidP="00F425A5">
      <w:pPr>
        <w:spacing w:after="0" w:line="240" w:lineRule="auto"/>
      </w:pPr>
      <w:r>
        <w:separator/>
      </w:r>
    </w:p>
  </w:endnote>
  <w:endnote w:type="continuationSeparator" w:id="0">
    <w:p w:rsidR="00E10E8F" w:rsidRDefault="00E10E8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C9736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8F" w:rsidRDefault="00E10E8F" w:rsidP="00F425A5">
      <w:pPr>
        <w:spacing w:after="0" w:line="240" w:lineRule="auto"/>
      </w:pPr>
      <w:r>
        <w:separator/>
      </w:r>
    </w:p>
  </w:footnote>
  <w:footnote w:type="continuationSeparator" w:id="0">
    <w:p w:rsidR="00E10E8F" w:rsidRDefault="00E10E8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858E1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97366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0E8F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FCF6F38-4DD3-4EE0-AEB1-EBAEAC64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2019-07-15T20:34:00Z</dcterms:created>
  <dcterms:modified xsi:type="dcterms:W3CDTF">2019-07-15T20:34:00Z</dcterms:modified>
</cp:coreProperties>
</file>