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795140" w:rsidRDefault="00795140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795140" w:rsidRDefault="00795140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795140" w:rsidRPr="00795140" w:rsidRDefault="00795140" w:rsidP="00795140">
      <w:pPr>
        <w:jc w:val="both"/>
        <w:rPr>
          <w:rFonts w:eastAsia="Calibri"/>
        </w:rPr>
      </w:pPr>
      <w:r w:rsidRPr="00795140">
        <w:rPr>
          <w:rFonts w:eastAsia="Calibri"/>
        </w:rPr>
        <w:t xml:space="preserve">La </w:t>
      </w:r>
      <w:r w:rsidRPr="00795140">
        <w:rPr>
          <w:rFonts w:eastAsia="Calibri"/>
          <w:b/>
        </w:rPr>
        <w:t>Dirección General de Estadísticas y Censos (DIGESTYC)</w:t>
      </w:r>
      <w:r w:rsidRPr="00795140">
        <w:rPr>
          <w:rFonts w:eastAsia="Calibri"/>
        </w:rPr>
        <w:t>, en atención  a sus requerimientos, dio respuesta en documento que fue elaborado y enviado, que contenía  la información de las Droguerías y Farmacias años 2017 y 2018. Se entregó en formato EXCEL.</w:t>
      </w:r>
    </w:p>
    <w:p w:rsidR="00795140" w:rsidRPr="00FB5FD3" w:rsidRDefault="00795140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E75" w:rsidRDefault="00096E75" w:rsidP="00F425A5">
      <w:pPr>
        <w:spacing w:after="0" w:line="240" w:lineRule="auto"/>
      </w:pPr>
      <w:r>
        <w:separator/>
      </w:r>
    </w:p>
  </w:endnote>
  <w:endnote w:type="continuationSeparator" w:id="0">
    <w:p w:rsidR="00096E75" w:rsidRDefault="00096E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F2479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E75" w:rsidRDefault="00096E75" w:rsidP="00F425A5">
      <w:pPr>
        <w:spacing w:after="0" w:line="240" w:lineRule="auto"/>
      </w:pPr>
      <w:r>
        <w:separator/>
      </w:r>
    </w:p>
  </w:footnote>
  <w:footnote w:type="continuationSeparator" w:id="0">
    <w:p w:rsidR="00096E75" w:rsidRDefault="00096E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0E5AA2"/>
    <w:multiLevelType w:val="hybridMultilevel"/>
    <w:tmpl w:val="683C3C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96E75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5140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479A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22325E-F553-415F-920B-5AC3AF62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2019-06-20T15:37:00Z</dcterms:created>
  <dcterms:modified xsi:type="dcterms:W3CDTF">2019-06-20T15:37:00Z</dcterms:modified>
</cp:coreProperties>
</file>