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4FDF" w:rsidRPr="00ED4380" w:rsidRDefault="006A4FDF" w:rsidP="006A4FDF">
      <w:pPr>
        <w:rPr>
          <w:rFonts w:ascii="Times New Roman" w:hAnsi="Times New Roman" w:cs="Times New Roman"/>
          <w:color w:val="1F497D"/>
          <w:sz w:val="21"/>
          <w:szCs w:val="21"/>
          <w:lang w:val="es-ES"/>
        </w:rPr>
      </w:pPr>
      <w:bookmarkStart w:id="0" w:name="_GoBack"/>
      <w:bookmarkEnd w:id="0"/>
      <w:r w:rsidRPr="00ED4380">
        <w:rPr>
          <w:rFonts w:ascii="Times New Roman" w:hAnsi="Times New Roman" w:cs="Times New Roman"/>
          <w:b/>
          <w:bCs/>
          <w:i/>
          <w:iCs/>
          <w:color w:val="1F497D"/>
          <w:sz w:val="21"/>
          <w:szCs w:val="21"/>
          <w:lang w:val="es-ES"/>
        </w:rPr>
        <w:t>- ¿Sí todavía existe el procedimiento de refinamiento? si no se realiza cual fue el motivo por el que no se dan el refinamiento</w:t>
      </w:r>
      <w:r w:rsidRPr="00ED4380">
        <w:rPr>
          <w:rFonts w:ascii="Times New Roman" w:hAnsi="Times New Roman" w:cs="Times New Roman"/>
          <w:color w:val="1F497D"/>
          <w:sz w:val="21"/>
          <w:szCs w:val="21"/>
          <w:lang w:val="es-ES"/>
        </w:rPr>
        <w:t>”.</w:t>
      </w:r>
    </w:p>
    <w:p w:rsidR="006A4FDF" w:rsidRPr="00ED4380" w:rsidRDefault="006A4FDF" w:rsidP="006A4FDF">
      <w:pPr>
        <w:rPr>
          <w:rFonts w:ascii="Times New Roman" w:hAnsi="Times New Roman" w:cs="Times New Roman"/>
          <w:color w:val="1F497D"/>
          <w:sz w:val="21"/>
          <w:szCs w:val="21"/>
          <w:lang w:val="es-ES"/>
        </w:rPr>
      </w:pPr>
    </w:p>
    <w:p w:rsidR="006A4FDF" w:rsidRPr="00ED4380" w:rsidRDefault="006A4FDF" w:rsidP="006A4FDF">
      <w:pPr>
        <w:rPr>
          <w:rFonts w:ascii="Times New Roman" w:hAnsi="Times New Roman" w:cs="Times New Roman"/>
          <w:sz w:val="21"/>
          <w:szCs w:val="21"/>
          <w:lang w:val="es-ES"/>
        </w:rPr>
      </w:pPr>
      <w:r w:rsidRPr="00ED4380">
        <w:rPr>
          <w:rFonts w:ascii="Times New Roman" w:hAnsi="Times New Roman" w:cs="Times New Roman"/>
          <w:sz w:val="21"/>
          <w:szCs w:val="21"/>
          <w:lang w:val="es-ES"/>
        </w:rPr>
        <w:t xml:space="preserve">R/ En El Salvador desde el mes de setiembre de 2012, la “Refinería Petrolera </w:t>
      </w:r>
      <w:proofErr w:type="spellStart"/>
      <w:r w:rsidRPr="00ED4380">
        <w:rPr>
          <w:rFonts w:ascii="Times New Roman" w:hAnsi="Times New Roman" w:cs="Times New Roman"/>
          <w:sz w:val="21"/>
          <w:szCs w:val="21"/>
          <w:lang w:val="es-ES"/>
        </w:rPr>
        <w:t>Acajutla</w:t>
      </w:r>
      <w:proofErr w:type="spellEnd"/>
      <w:r w:rsidRPr="00ED4380">
        <w:rPr>
          <w:rFonts w:ascii="Times New Roman" w:hAnsi="Times New Roman" w:cs="Times New Roman"/>
          <w:sz w:val="21"/>
          <w:szCs w:val="21"/>
          <w:lang w:val="es-ES"/>
        </w:rPr>
        <w:t xml:space="preserve">, limitada de C.V.” dejó de realizar los procedimientos de refinación de petróleo crudo, se tiene entendido que la nueva propietaria de las instalaciones, “Puma de El Salvador, S.A. de C.V.”, realizó las evaluaciones económicas necesarias y durante un paro de mantenimiento preventivo decidió dejar de refinar petróleo crudo y utilizar las instalaciones para importar y almacenar solo producto terminado. </w:t>
      </w:r>
    </w:p>
    <w:p w:rsidR="006A4FDF" w:rsidRPr="00ED4380" w:rsidRDefault="006A4FDF" w:rsidP="006A4FDF">
      <w:pPr>
        <w:rPr>
          <w:rFonts w:ascii="Times New Roman" w:hAnsi="Times New Roman" w:cs="Times New Roman"/>
          <w:color w:val="1F497D"/>
          <w:sz w:val="21"/>
          <w:szCs w:val="21"/>
          <w:lang w:val="es-ES"/>
        </w:rPr>
      </w:pPr>
    </w:p>
    <w:p w:rsidR="006A4FDF" w:rsidRPr="00ED4380" w:rsidRDefault="006A4FDF" w:rsidP="006A4FDF">
      <w:pPr>
        <w:rPr>
          <w:rFonts w:ascii="Times New Roman" w:hAnsi="Times New Roman" w:cs="Times New Roman"/>
          <w:color w:val="1F497D" w:themeColor="text2"/>
          <w:sz w:val="21"/>
          <w:szCs w:val="21"/>
        </w:rPr>
      </w:pPr>
      <w:r w:rsidRPr="00ED4380">
        <w:rPr>
          <w:rFonts w:ascii="Times New Roman" w:hAnsi="Times New Roman" w:cs="Times New Roman"/>
          <w:color w:val="1F497D" w:themeColor="text2"/>
          <w:sz w:val="21"/>
          <w:szCs w:val="21"/>
        </w:rPr>
        <w:t>Cómo funciona la Minería en El Salvador con su respectiva Ley</w:t>
      </w:r>
      <w:proofErr w:type="gramStart"/>
      <w:r w:rsidRPr="00ED4380">
        <w:rPr>
          <w:rFonts w:ascii="Times New Roman" w:hAnsi="Times New Roman" w:cs="Times New Roman"/>
          <w:color w:val="1F497D" w:themeColor="text2"/>
          <w:sz w:val="21"/>
          <w:szCs w:val="21"/>
        </w:rPr>
        <w:t>?</w:t>
      </w:r>
      <w:proofErr w:type="gramEnd"/>
    </w:p>
    <w:p w:rsidR="006A4FDF" w:rsidRPr="00ED4380" w:rsidRDefault="006A4FDF" w:rsidP="006A4FDF">
      <w:pPr>
        <w:rPr>
          <w:rFonts w:ascii="Times New Roman" w:hAnsi="Times New Roman" w:cs="Times New Roman"/>
          <w:color w:val="1F497D" w:themeColor="text2"/>
          <w:sz w:val="21"/>
          <w:szCs w:val="21"/>
        </w:rPr>
      </w:pPr>
    </w:p>
    <w:p w:rsidR="006A4FDF" w:rsidRPr="00ED4380" w:rsidRDefault="006A4FDF" w:rsidP="006A4FDF">
      <w:pPr>
        <w:jc w:val="both"/>
        <w:rPr>
          <w:rFonts w:ascii="Times New Roman" w:hAnsi="Times New Roman" w:cs="Times New Roman"/>
          <w:sz w:val="21"/>
          <w:szCs w:val="21"/>
          <w:shd w:val="clear" w:color="auto" w:fill="FFFFFF"/>
          <w:lang w:val="es-ES"/>
        </w:rPr>
      </w:pPr>
      <w:r w:rsidRPr="00ED4380">
        <w:rPr>
          <w:rStyle w:val="Textoennegrita"/>
          <w:rFonts w:ascii="Times New Roman" w:hAnsi="Times New Roman" w:cs="Times New Roman"/>
          <w:color w:val="343E47"/>
          <w:sz w:val="21"/>
          <w:szCs w:val="21"/>
          <w:shd w:val="clear" w:color="auto" w:fill="FFFFFF"/>
          <w:lang w:val="es-ES"/>
        </w:rPr>
        <w:t>La Ley de Minería como todas las leyes, es un tipo de norma jurídica</w:t>
      </w:r>
      <w:r w:rsidRPr="00ED4380">
        <w:rPr>
          <w:rFonts w:ascii="Times New Roman" w:hAnsi="Times New Roman" w:cs="Times New Roman"/>
          <w:color w:val="343E47"/>
          <w:sz w:val="21"/>
          <w:szCs w:val="21"/>
          <w:shd w:val="clear" w:color="auto" w:fill="FFFFFF"/>
          <w:lang w:val="es-ES"/>
        </w:rPr>
        <w:t>. El  cumplimiento de las leyes es obligatorio y en caso contrario se suelen establecer  sanciones. Estas pueden ser de tipo administrativo, económico o penal. Las leyes p</w:t>
      </w:r>
      <w:r w:rsidRPr="00ED4380">
        <w:rPr>
          <w:rFonts w:ascii="Times New Roman" w:hAnsi="Times New Roman" w:cs="Times New Roman"/>
          <w:sz w:val="21"/>
          <w:szCs w:val="21"/>
          <w:shd w:val="clear" w:color="auto" w:fill="FFFFFF"/>
          <w:lang w:val="es-ES"/>
        </w:rPr>
        <w:t>or un lado</w:t>
      </w:r>
      <w:r w:rsidRPr="00ED4380">
        <w:rPr>
          <w:rStyle w:val="apple-converted-space"/>
          <w:rFonts w:ascii="Times New Roman" w:hAnsi="Times New Roman" w:cs="Times New Roman"/>
          <w:sz w:val="21"/>
          <w:szCs w:val="21"/>
          <w:shd w:val="clear" w:color="auto" w:fill="FFFFFF"/>
          <w:lang w:val="es-ES"/>
        </w:rPr>
        <w:t> </w:t>
      </w:r>
      <w:r w:rsidRPr="00ED4380">
        <w:rPr>
          <w:rStyle w:val="Textoennegrita"/>
          <w:rFonts w:ascii="Times New Roman" w:hAnsi="Times New Roman" w:cs="Times New Roman"/>
          <w:sz w:val="21"/>
          <w:szCs w:val="21"/>
          <w:shd w:val="clear" w:color="auto" w:fill="FFFFFF"/>
          <w:lang w:val="es-ES"/>
        </w:rPr>
        <w:t>imponen obligaciones y por otro garantizan derechos</w:t>
      </w:r>
      <w:r w:rsidRPr="00ED4380">
        <w:rPr>
          <w:rFonts w:ascii="Times New Roman" w:hAnsi="Times New Roman" w:cs="Times New Roman"/>
          <w:b/>
          <w:bCs/>
          <w:sz w:val="21"/>
          <w:szCs w:val="21"/>
          <w:shd w:val="clear" w:color="auto" w:fill="FFFFFF"/>
          <w:lang w:val="es-ES"/>
        </w:rPr>
        <w:t>.</w:t>
      </w:r>
      <w:r w:rsidRPr="00ED4380">
        <w:rPr>
          <w:rFonts w:ascii="Times New Roman" w:hAnsi="Times New Roman" w:cs="Times New Roman"/>
          <w:sz w:val="21"/>
          <w:szCs w:val="21"/>
          <w:shd w:val="clear" w:color="auto" w:fill="FFFFFF"/>
          <w:lang w:val="es-ES"/>
        </w:rPr>
        <w:t xml:space="preserve"> De tal manera las leyes se utilizan en la sociedad moderna para limitar los actos de las personas de acuerdo a la legislación. Garantizar los derechos básicos de las personas y establecer las</w:t>
      </w:r>
      <w:r w:rsidRPr="00ED4380">
        <w:rPr>
          <w:rStyle w:val="apple-converted-space"/>
          <w:rFonts w:ascii="Times New Roman" w:hAnsi="Times New Roman" w:cs="Times New Roman"/>
          <w:sz w:val="21"/>
          <w:szCs w:val="21"/>
          <w:shd w:val="clear" w:color="auto" w:fill="FFFFFF"/>
          <w:lang w:val="es-ES"/>
        </w:rPr>
        <w:t> </w:t>
      </w:r>
      <w:hyperlink r:id="rId4" w:history="1">
        <w:r w:rsidRPr="00ED4380">
          <w:rPr>
            <w:rStyle w:val="Hipervnculo"/>
            <w:rFonts w:ascii="Times New Roman" w:hAnsi="Times New Roman" w:cs="Times New Roman"/>
            <w:color w:val="auto"/>
            <w:sz w:val="21"/>
            <w:szCs w:val="21"/>
            <w:u w:val="none"/>
            <w:shd w:val="clear" w:color="auto" w:fill="FFFFFF"/>
            <w:lang w:val="es-ES"/>
          </w:rPr>
          <w:t>obligaciones</w:t>
        </w:r>
      </w:hyperlink>
      <w:r w:rsidRPr="00ED4380">
        <w:rPr>
          <w:rStyle w:val="apple-converted-space"/>
          <w:rFonts w:ascii="Times New Roman" w:hAnsi="Times New Roman" w:cs="Times New Roman"/>
          <w:sz w:val="21"/>
          <w:szCs w:val="21"/>
          <w:shd w:val="clear" w:color="auto" w:fill="FFFFFF"/>
          <w:lang w:val="es-ES"/>
        </w:rPr>
        <w:t> </w:t>
      </w:r>
      <w:r w:rsidRPr="00ED4380">
        <w:rPr>
          <w:rFonts w:ascii="Times New Roman" w:hAnsi="Times New Roman" w:cs="Times New Roman"/>
          <w:sz w:val="21"/>
          <w:szCs w:val="21"/>
          <w:shd w:val="clear" w:color="auto" w:fill="FFFFFF"/>
          <w:lang w:val="es-ES"/>
        </w:rPr>
        <w:t>y prohibiciones necesarias, para que estos se cumplan.</w:t>
      </w:r>
    </w:p>
    <w:p w:rsidR="006A4FDF" w:rsidRPr="00ED4380" w:rsidRDefault="006A4FDF" w:rsidP="006A4FDF">
      <w:pPr>
        <w:jc w:val="both"/>
        <w:rPr>
          <w:rFonts w:ascii="Times New Roman" w:hAnsi="Times New Roman" w:cs="Times New Roman"/>
          <w:sz w:val="21"/>
          <w:szCs w:val="21"/>
          <w:shd w:val="clear" w:color="auto" w:fill="FFFFFF"/>
          <w:lang w:val="es-ES"/>
        </w:rPr>
      </w:pPr>
    </w:p>
    <w:p w:rsidR="006A4FDF" w:rsidRPr="00ED4380" w:rsidRDefault="006A4FDF" w:rsidP="006A4FDF">
      <w:pPr>
        <w:jc w:val="both"/>
        <w:rPr>
          <w:rFonts w:ascii="Times New Roman" w:hAnsi="Times New Roman" w:cs="Times New Roman"/>
          <w:sz w:val="21"/>
          <w:szCs w:val="21"/>
          <w:shd w:val="clear" w:color="auto" w:fill="FFFFFF"/>
          <w:lang w:val="es-ES"/>
        </w:rPr>
      </w:pPr>
      <w:r w:rsidRPr="00ED4380">
        <w:rPr>
          <w:rFonts w:ascii="Times New Roman" w:hAnsi="Times New Roman" w:cs="Times New Roman"/>
          <w:sz w:val="21"/>
          <w:szCs w:val="21"/>
          <w:shd w:val="clear" w:color="auto" w:fill="FFFFFF"/>
          <w:lang w:val="es-ES"/>
        </w:rPr>
        <w:t>La Ley de Minería  regula los aspectos relacionados con la exploración, explotación, procesamiento y comercialización de los RRNN no renovables existentes en el suelo y subsuelo de El Salvador…</w:t>
      </w:r>
    </w:p>
    <w:p w:rsidR="006A4FDF" w:rsidRPr="00ED4380" w:rsidRDefault="006A4FDF" w:rsidP="006A4FDF">
      <w:pPr>
        <w:jc w:val="both"/>
        <w:rPr>
          <w:rFonts w:ascii="Times New Roman" w:hAnsi="Times New Roman" w:cs="Times New Roman"/>
          <w:sz w:val="21"/>
          <w:szCs w:val="21"/>
          <w:shd w:val="clear" w:color="auto" w:fill="FFFFFF"/>
          <w:lang w:val="es-ES"/>
        </w:rPr>
      </w:pPr>
    </w:p>
    <w:p w:rsidR="006A4FDF" w:rsidRPr="00ED4380" w:rsidRDefault="006A4FDF" w:rsidP="006A4FDF">
      <w:pPr>
        <w:jc w:val="both"/>
        <w:rPr>
          <w:rFonts w:ascii="Times New Roman" w:hAnsi="Times New Roman" w:cs="Times New Roman"/>
          <w:b/>
          <w:bCs/>
          <w:sz w:val="21"/>
          <w:szCs w:val="21"/>
          <w:u w:val="single"/>
          <w:shd w:val="clear" w:color="auto" w:fill="FFFFFF"/>
          <w:lang w:val="es-ES"/>
        </w:rPr>
      </w:pPr>
      <w:r w:rsidRPr="00ED4380">
        <w:rPr>
          <w:rFonts w:ascii="Times New Roman" w:hAnsi="Times New Roman" w:cs="Times New Roman"/>
          <w:b/>
          <w:bCs/>
          <w:sz w:val="21"/>
          <w:szCs w:val="21"/>
          <w:u w:val="single"/>
          <w:shd w:val="clear" w:color="auto" w:fill="FFFFFF"/>
          <w:lang w:val="es-ES"/>
        </w:rPr>
        <w:t>Ver la Ley de Minería completa en la página web del MINEC</w:t>
      </w:r>
    </w:p>
    <w:p w:rsidR="006A4FDF" w:rsidRPr="00ED4380" w:rsidRDefault="006A4FDF" w:rsidP="006A4FDF">
      <w:pPr>
        <w:jc w:val="both"/>
        <w:rPr>
          <w:rFonts w:ascii="Times New Roman" w:hAnsi="Times New Roman" w:cs="Times New Roman"/>
          <w:b/>
          <w:bCs/>
          <w:sz w:val="21"/>
          <w:szCs w:val="21"/>
          <w:u w:val="single"/>
          <w:shd w:val="clear" w:color="auto" w:fill="FFFFFF"/>
          <w:lang w:val="es-ES"/>
        </w:rPr>
      </w:pPr>
    </w:p>
    <w:p w:rsidR="006A4FDF" w:rsidRPr="00ED4380" w:rsidRDefault="00CE1A3D" w:rsidP="006A4FDF">
      <w:pPr>
        <w:jc w:val="both"/>
        <w:rPr>
          <w:rFonts w:ascii="Times New Roman" w:hAnsi="Times New Roman" w:cs="Times New Roman"/>
          <w:b/>
          <w:bCs/>
          <w:sz w:val="21"/>
          <w:szCs w:val="21"/>
          <w:u w:val="single"/>
          <w:shd w:val="clear" w:color="auto" w:fill="FFFFFF"/>
          <w:lang w:val="es-ES"/>
        </w:rPr>
      </w:pPr>
      <w:hyperlink r:id="rId5" w:history="1">
        <w:r w:rsidR="006A4FDF" w:rsidRPr="00ED4380">
          <w:rPr>
            <w:rStyle w:val="Hipervnculo"/>
            <w:rFonts w:ascii="Times New Roman" w:hAnsi="Times New Roman" w:cs="Times New Roman"/>
            <w:b/>
            <w:bCs/>
            <w:sz w:val="21"/>
            <w:szCs w:val="21"/>
            <w:shd w:val="clear" w:color="auto" w:fill="FFFFFF"/>
            <w:lang w:val="es-ES"/>
          </w:rPr>
          <w:t>https://www.edrhym.gob.sv/drhm/Documentos/Ley_de_Mineria_y_sus_reformas.pdf</w:t>
        </w:r>
      </w:hyperlink>
    </w:p>
    <w:p w:rsidR="006A4FDF" w:rsidRPr="00ED4380" w:rsidRDefault="006A4FDF" w:rsidP="006A4FDF">
      <w:pPr>
        <w:jc w:val="both"/>
        <w:rPr>
          <w:rFonts w:ascii="Times New Roman" w:hAnsi="Times New Roman" w:cs="Times New Roman"/>
          <w:b/>
          <w:bCs/>
          <w:sz w:val="21"/>
          <w:szCs w:val="21"/>
          <w:u w:val="single"/>
          <w:shd w:val="clear" w:color="auto" w:fill="FFFFFF"/>
          <w:lang w:val="es-ES"/>
        </w:rPr>
      </w:pPr>
    </w:p>
    <w:p w:rsidR="006A4FDF" w:rsidRPr="00ED4380" w:rsidRDefault="006A4FDF" w:rsidP="006A4FDF">
      <w:pPr>
        <w:rPr>
          <w:rFonts w:ascii="Times New Roman" w:hAnsi="Times New Roman" w:cs="Times New Roman"/>
          <w:color w:val="1F497D" w:themeColor="text2"/>
          <w:sz w:val="21"/>
          <w:szCs w:val="21"/>
        </w:rPr>
      </w:pPr>
      <w:r w:rsidRPr="00ED4380">
        <w:rPr>
          <w:rFonts w:ascii="Times New Roman" w:hAnsi="Times New Roman" w:cs="Times New Roman"/>
          <w:color w:val="1F497D" w:themeColor="text2"/>
          <w:sz w:val="21"/>
          <w:szCs w:val="21"/>
        </w:rPr>
        <w:t>- La diferencia y prohibición de la Minería metálica con otro tipo de minería orgánica. </w:t>
      </w:r>
    </w:p>
    <w:p w:rsidR="006A4FDF" w:rsidRPr="00ED4380" w:rsidRDefault="006A4FDF" w:rsidP="006A4FDF">
      <w:pPr>
        <w:rPr>
          <w:rFonts w:ascii="Times New Roman" w:hAnsi="Times New Roman" w:cs="Times New Roman"/>
          <w:color w:val="000000"/>
          <w:sz w:val="21"/>
          <w:szCs w:val="21"/>
        </w:rPr>
      </w:pPr>
    </w:p>
    <w:p w:rsidR="006A4FDF" w:rsidRPr="00ED4380" w:rsidRDefault="006A4FDF" w:rsidP="006A4FDF">
      <w:pPr>
        <w:rPr>
          <w:rFonts w:ascii="Times New Roman" w:hAnsi="Times New Roman" w:cs="Times New Roman"/>
          <w:color w:val="000000"/>
          <w:sz w:val="21"/>
          <w:szCs w:val="21"/>
        </w:rPr>
      </w:pPr>
      <w:r w:rsidRPr="00ED4380">
        <w:rPr>
          <w:rFonts w:ascii="Times New Roman" w:hAnsi="Times New Roman" w:cs="Times New Roman"/>
          <w:color w:val="000000"/>
          <w:sz w:val="21"/>
          <w:szCs w:val="21"/>
        </w:rPr>
        <w:t>La Ley de Prohibición de la Minería Metálica tal como su nombre lo indica prohibió la minería metálica en el suelo y el subsuelo del territorio de la República de El Salvador. Regulando la actual Ley de Minería solamente la minería no metálica o canteras.</w:t>
      </w:r>
    </w:p>
    <w:p w:rsidR="006A4FDF" w:rsidRPr="00ED4380" w:rsidRDefault="006A4FDF" w:rsidP="006A4FDF">
      <w:pPr>
        <w:rPr>
          <w:rFonts w:ascii="Times New Roman" w:hAnsi="Times New Roman" w:cs="Times New Roman"/>
          <w:sz w:val="21"/>
          <w:szCs w:val="21"/>
        </w:rPr>
      </w:pPr>
    </w:p>
    <w:p w:rsidR="006A4FDF" w:rsidRPr="00ED4380" w:rsidRDefault="006A4FDF" w:rsidP="006A4FDF">
      <w:pPr>
        <w:jc w:val="both"/>
        <w:rPr>
          <w:rFonts w:ascii="Times New Roman" w:hAnsi="Times New Roman" w:cs="Times New Roman"/>
          <w:b/>
          <w:bCs/>
          <w:sz w:val="21"/>
          <w:szCs w:val="21"/>
          <w:u w:val="single"/>
          <w:lang w:val="es-ES"/>
        </w:rPr>
      </w:pPr>
      <w:r w:rsidRPr="00ED4380">
        <w:rPr>
          <w:rFonts w:ascii="Times New Roman" w:hAnsi="Times New Roman" w:cs="Times New Roman"/>
          <w:b/>
          <w:bCs/>
          <w:sz w:val="21"/>
          <w:szCs w:val="21"/>
          <w:u w:val="single"/>
          <w:lang w:val="es-ES"/>
        </w:rPr>
        <w:t xml:space="preserve">Alcance de la prohibición Art. 2.- La prohibición a la minería metálica incluye las actividades de: exploración, extracción, explotación y procesamiento, ya sea, a cielo abierto o subterráneo. También, se prohíbe el uso de químicos tóxicos, como cianuro, mercurio y otros, en cualquier proceso de minería metálica. En  caso  de  la  minería  artesanal  de  pequeña  escala  para  subsistencia  familiar,  artesanal  y  </w:t>
      </w:r>
      <w:proofErr w:type="spellStart"/>
      <w:r w:rsidRPr="00ED4380">
        <w:rPr>
          <w:rFonts w:ascii="Times New Roman" w:hAnsi="Times New Roman" w:cs="Times New Roman"/>
          <w:b/>
          <w:bCs/>
          <w:sz w:val="21"/>
          <w:szCs w:val="21"/>
          <w:u w:val="single"/>
          <w:lang w:val="es-ES"/>
        </w:rPr>
        <w:t>güiriseros</w:t>
      </w:r>
      <w:proofErr w:type="spellEnd"/>
      <w:r w:rsidRPr="00ED4380">
        <w:rPr>
          <w:rFonts w:ascii="Times New Roman" w:hAnsi="Times New Roman" w:cs="Times New Roman"/>
          <w:b/>
          <w:bCs/>
          <w:sz w:val="21"/>
          <w:szCs w:val="21"/>
          <w:u w:val="single"/>
          <w:lang w:val="es-ES"/>
        </w:rPr>
        <w:t>, tendrá un plazo de dos años, contados a partir de la entrada en vigencia de esta ley, para reconvertirse a otra actividad productiva; para ello, contarán con el apoyo, el asesoramiento y la asistencia técnica y financiera del Estado salvadoreño.</w:t>
      </w:r>
    </w:p>
    <w:p w:rsidR="006A4FDF" w:rsidRPr="00ED4380" w:rsidRDefault="006A4FDF" w:rsidP="006A4FDF">
      <w:pPr>
        <w:jc w:val="both"/>
        <w:rPr>
          <w:rFonts w:ascii="Times New Roman" w:hAnsi="Times New Roman" w:cs="Times New Roman"/>
          <w:b/>
          <w:bCs/>
          <w:sz w:val="21"/>
          <w:szCs w:val="21"/>
          <w:u w:val="single"/>
          <w:lang w:val="es-ES"/>
        </w:rPr>
      </w:pPr>
    </w:p>
    <w:p w:rsidR="006A4FDF" w:rsidRPr="00ED4380" w:rsidRDefault="006A4FDF" w:rsidP="006A4FDF">
      <w:pPr>
        <w:jc w:val="both"/>
        <w:rPr>
          <w:rFonts w:ascii="Times New Roman" w:hAnsi="Times New Roman" w:cs="Times New Roman"/>
          <w:b/>
          <w:bCs/>
          <w:sz w:val="21"/>
          <w:szCs w:val="21"/>
          <w:u w:val="single"/>
          <w:shd w:val="clear" w:color="auto" w:fill="FFFFFF"/>
          <w:lang w:val="es-ES"/>
        </w:rPr>
      </w:pPr>
      <w:r w:rsidRPr="00ED4380">
        <w:rPr>
          <w:rFonts w:ascii="Times New Roman" w:hAnsi="Times New Roman" w:cs="Times New Roman"/>
          <w:b/>
          <w:bCs/>
          <w:sz w:val="21"/>
          <w:szCs w:val="21"/>
          <w:u w:val="single"/>
          <w:shd w:val="clear" w:color="auto" w:fill="FFFFFF"/>
          <w:lang w:val="es-ES"/>
        </w:rPr>
        <w:t>Ver la Ley de Prohibición de la Minería Metálica completa, en la página web del MINEC</w:t>
      </w:r>
    </w:p>
    <w:p w:rsidR="006A4FDF" w:rsidRPr="00ED4380" w:rsidRDefault="006A4FDF" w:rsidP="006A4FDF">
      <w:pPr>
        <w:jc w:val="both"/>
        <w:rPr>
          <w:rFonts w:ascii="Times New Roman" w:hAnsi="Times New Roman" w:cs="Times New Roman"/>
          <w:b/>
          <w:bCs/>
          <w:sz w:val="21"/>
          <w:szCs w:val="21"/>
          <w:u w:val="single"/>
          <w:shd w:val="clear" w:color="auto" w:fill="FFFFFF"/>
          <w:lang w:val="es-ES"/>
        </w:rPr>
      </w:pPr>
    </w:p>
    <w:p w:rsidR="006A4FDF" w:rsidRPr="00ED4380" w:rsidRDefault="006A4FDF" w:rsidP="006A4FDF">
      <w:pPr>
        <w:ind w:left="708"/>
        <w:jc w:val="both"/>
        <w:rPr>
          <w:rFonts w:ascii="Times New Roman" w:hAnsi="Times New Roman" w:cs="Times New Roman"/>
          <w:color w:val="FF0000"/>
          <w:sz w:val="21"/>
          <w:szCs w:val="21"/>
          <w:lang w:val="es-ES"/>
        </w:rPr>
      </w:pPr>
      <w:r w:rsidRPr="00ED4380">
        <w:rPr>
          <w:rFonts w:ascii="Times New Roman" w:hAnsi="Times New Roman" w:cs="Times New Roman"/>
          <w:color w:val="FF0000"/>
          <w:sz w:val="21"/>
          <w:szCs w:val="21"/>
          <w:lang w:val="es-ES"/>
        </w:rPr>
        <w:t>Las preguntas acerca de la minería no están bien planteadas</w:t>
      </w:r>
      <w:r w:rsidR="00ED4380">
        <w:rPr>
          <w:rFonts w:ascii="Times New Roman" w:hAnsi="Times New Roman" w:cs="Times New Roman"/>
          <w:color w:val="FF0000"/>
          <w:sz w:val="21"/>
          <w:szCs w:val="21"/>
          <w:lang w:val="es-ES"/>
        </w:rPr>
        <w:t xml:space="preserve">. </w:t>
      </w:r>
      <w:r w:rsidRPr="00ED4380">
        <w:rPr>
          <w:rFonts w:ascii="Times New Roman" w:hAnsi="Times New Roman" w:cs="Times New Roman"/>
          <w:color w:val="FF0000"/>
          <w:sz w:val="21"/>
          <w:szCs w:val="21"/>
          <w:lang w:val="es-ES"/>
        </w:rPr>
        <w:t>Se le puede sugerir que venga a la Dirección de Hidrocarburos y Minas, para que exponga sus preguntas y con gusto le podemos aclarar sus preguntas.  </w:t>
      </w:r>
    </w:p>
    <w:p w:rsidR="006A4FDF" w:rsidRPr="00ED4380" w:rsidRDefault="006A4FDF" w:rsidP="006A4FDF">
      <w:pPr>
        <w:jc w:val="both"/>
        <w:rPr>
          <w:rFonts w:ascii="Times New Roman" w:hAnsi="Times New Roman" w:cs="Times New Roman"/>
          <w:color w:val="FF0000"/>
          <w:sz w:val="21"/>
          <w:szCs w:val="21"/>
          <w:lang w:val="es-ES"/>
        </w:rPr>
      </w:pPr>
    </w:p>
    <w:p w:rsidR="00ED4380" w:rsidRDefault="00ED4380" w:rsidP="006A4FDF">
      <w:pPr>
        <w:rPr>
          <w:rFonts w:ascii="Times New Roman" w:hAnsi="Times New Roman" w:cs="Times New Roman"/>
          <w:color w:val="000000"/>
          <w:sz w:val="21"/>
          <w:szCs w:val="21"/>
        </w:rPr>
      </w:pPr>
    </w:p>
    <w:p w:rsidR="006A4FDF" w:rsidRPr="00ED4380" w:rsidRDefault="00ED4380" w:rsidP="006A4FDF">
      <w:pPr>
        <w:rPr>
          <w:rFonts w:ascii="Times New Roman" w:hAnsi="Times New Roman" w:cs="Times New Roman"/>
          <w:color w:val="1F497D" w:themeColor="text2"/>
          <w:sz w:val="21"/>
          <w:szCs w:val="21"/>
        </w:rPr>
      </w:pPr>
      <w:r w:rsidRPr="00ED4380">
        <w:rPr>
          <w:rFonts w:ascii="Times New Roman" w:hAnsi="Times New Roman" w:cs="Times New Roman"/>
          <w:color w:val="1F497D" w:themeColor="text2"/>
          <w:sz w:val="21"/>
          <w:szCs w:val="21"/>
        </w:rPr>
        <w:t>Información sobre la fórmula para establecer los precios de los hidrocarburos.</w:t>
      </w:r>
    </w:p>
    <w:p w:rsidR="00ED4380" w:rsidRPr="00ED4380" w:rsidRDefault="00ED4380" w:rsidP="006A4FDF">
      <w:pPr>
        <w:rPr>
          <w:rFonts w:ascii="Times New Roman" w:hAnsi="Times New Roman" w:cs="Times New Roman"/>
          <w:color w:val="1F497D" w:themeColor="text2"/>
          <w:sz w:val="21"/>
          <w:szCs w:val="21"/>
          <w:lang w:val="es-ES"/>
        </w:rPr>
      </w:pPr>
    </w:p>
    <w:tbl>
      <w:tblPr>
        <w:tblW w:w="0" w:type="auto"/>
        <w:tblInd w:w="70" w:type="dxa"/>
        <w:tblLayout w:type="fixed"/>
        <w:tblCellMar>
          <w:left w:w="70" w:type="dxa"/>
          <w:right w:w="70" w:type="dxa"/>
        </w:tblCellMar>
        <w:tblLook w:val="04A0"/>
      </w:tblPr>
      <w:tblGrid>
        <w:gridCol w:w="373"/>
        <w:gridCol w:w="1612"/>
        <w:gridCol w:w="1843"/>
        <w:gridCol w:w="1701"/>
        <w:gridCol w:w="1701"/>
        <w:gridCol w:w="113"/>
        <w:gridCol w:w="1565"/>
      </w:tblGrid>
      <w:tr w:rsidR="006A4FDF" w:rsidRPr="00ED4380" w:rsidTr="00D92726">
        <w:trPr>
          <w:trHeight w:val="750"/>
        </w:trPr>
        <w:tc>
          <w:tcPr>
            <w:tcW w:w="373" w:type="dxa"/>
            <w:tcBorders>
              <w:top w:val="nil"/>
              <w:left w:val="nil"/>
              <w:bottom w:val="nil"/>
              <w:right w:val="nil"/>
            </w:tcBorders>
            <w:shd w:val="clear" w:color="auto" w:fill="auto"/>
            <w:noWrap/>
            <w:vAlign w:val="bottom"/>
            <w:hideMark/>
          </w:tcPr>
          <w:p w:rsidR="006A4FDF" w:rsidRPr="00ED4380" w:rsidRDefault="006A4FDF" w:rsidP="00D92726">
            <w:pPr>
              <w:rPr>
                <w:rFonts w:ascii="Times New Roman" w:eastAsia="Times New Roman" w:hAnsi="Times New Roman" w:cs="Times New Roman"/>
                <w:color w:val="000000"/>
                <w:sz w:val="21"/>
                <w:szCs w:val="21"/>
              </w:rPr>
            </w:pPr>
          </w:p>
        </w:tc>
        <w:tc>
          <w:tcPr>
            <w:tcW w:w="8535"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6A4FDF" w:rsidRPr="00ED4380" w:rsidRDefault="006A4FDF" w:rsidP="00D92726">
            <w:pPr>
              <w:jc w:val="center"/>
              <w:rPr>
                <w:rFonts w:ascii="Times New Roman" w:eastAsia="Times New Roman" w:hAnsi="Times New Roman" w:cs="Times New Roman"/>
                <w:b/>
                <w:bCs/>
                <w:color w:val="000000"/>
                <w:sz w:val="21"/>
                <w:szCs w:val="21"/>
              </w:rPr>
            </w:pPr>
            <w:r w:rsidRPr="00ED4380">
              <w:rPr>
                <w:rFonts w:ascii="Times New Roman" w:eastAsia="Times New Roman" w:hAnsi="Times New Roman" w:cs="Times New Roman"/>
                <w:b/>
                <w:bCs/>
                <w:color w:val="000000"/>
                <w:sz w:val="21"/>
                <w:szCs w:val="21"/>
              </w:rPr>
              <w:t>Precios de referencia para los combustibles líquidos Zona Central</w:t>
            </w:r>
          </w:p>
        </w:tc>
      </w:tr>
      <w:tr w:rsidR="006A4FDF" w:rsidRPr="00ED4380" w:rsidTr="00D92726">
        <w:trPr>
          <w:trHeight w:val="915"/>
        </w:trPr>
        <w:tc>
          <w:tcPr>
            <w:tcW w:w="373" w:type="dxa"/>
            <w:tcBorders>
              <w:top w:val="nil"/>
              <w:left w:val="nil"/>
              <w:bottom w:val="nil"/>
              <w:right w:val="nil"/>
            </w:tcBorders>
            <w:shd w:val="clear" w:color="auto" w:fill="auto"/>
            <w:noWrap/>
            <w:vAlign w:val="bottom"/>
            <w:hideMark/>
          </w:tcPr>
          <w:p w:rsidR="006A4FDF" w:rsidRPr="00ED4380" w:rsidRDefault="006A4FDF" w:rsidP="00D92726">
            <w:pPr>
              <w:rPr>
                <w:rFonts w:ascii="Times New Roman" w:eastAsia="Times New Roman" w:hAnsi="Times New Roman" w:cs="Times New Roman"/>
                <w:color w:val="000000"/>
                <w:sz w:val="21"/>
                <w:szCs w:val="21"/>
              </w:rPr>
            </w:pPr>
          </w:p>
        </w:tc>
        <w:tc>
          <w:tcPr>
            <w:tcW w:w="1612" w:type="dxa"/>
            <w:tcBorders>
              <w:top w:val="single" w:sz="4" w:space="0" w:color="auto"/>
              <w:left w:val="single" w:sz="4" w:space="0" w:color="auto"/>
              <w:bottom w:val="single" w:sz="4" w:space="0" w:color="auto"/>
              <w:right w:val="single" w:sz="4" w:space="0" w:color="auto"/>
            </w:tcBorders>
            <w:shd w:val="clear" w:color="000000" w:fill="B8CCE4"/>
            <w:noWrap/>
            <w:vAlign w:val="center"/>
            <w:hideMark/>
          </w:tcPr>
          <w:p w:rsidR="006A4FDF" w:rsidRPr="00ED4380" w:rsidRDefault="006A4FDF" w:rsidP="00D92726">
            <w:pPr>
              <w:jc w:val="center"/>
              <w:rPr>
                <w:rFonts w:ascii="Times New Roman" w:eastAsia="Times New Roman" w:hAnsi="Times New Roman" w:cs="Times New Roman"/>
                <w:b/>
                <w:bCs/>
                <w:color w:val="000000"/>
                <w:sz w:val="21"/>
                <w:szCs w:val="21"/>
              </w:rPr>
            </w:pPr>
            <w:r w:rsidRPr="00ED4380">
              <w:rPr>
                <w:rFonts w:ascii="Times New Roman" w:eastAsia="Times New Roman" w:hAnsi="Times New Roman" w:cs="Times New Roman"/>
                <w:b/>
                <w:bCs/>
                <w:color w:val="000000"/>
                <w:sz w:val="21"/>
                <w:szCs w:val="21"/>
              </w:rPr>
              <w:t>Detalle</w:t>
            </w:r>
          </w:p>
        </w:tc>
        <w:tc>
          <w:tcPr>
            <w:tcW w:w="1843" w:type="dxa"/>
            <w:tcBorders>
              <w:top w:val="single" w:sz="4" w:space="0" w:color="auto"/>
              <w:left w:val="nil"/>
              <w:bottom w:val="single" w:sz="4" w:space="0" w:color="auto"/>
              <w:right w:val="single" w:sz="4" w:space="0" w:color="auto"/>
            </w:tcBorders>
            <w:shd w:val="clear" w:color="000000" w:fill="B8CCE4"/>
            <w:vAlign w:val="center"/>
            <w:hideMark/>
          </w:tcPr>
          <w:p w:rsidR="006A4FDF" w:rsidRPr="00ED4380" w:rsidRDefault="006A4FDF" w:rsidP="00D92726">
            <w:pPr>
              <w:jc w:val="center"/>
              <w:rPr>
                <w:rFonts w:ascii="Times New Roman" w:eastAsia="Times New Roman" w:hAnsi="Times New Roman" w:cs="Times New Roman"/>
                <w:b/>
                <w:bCs/>
                <w:color w:val="000000"/>
                <w:sz w:val="21"/>
                <w:szCs w:val="21"/>
              </w:rPr>
            </w:pPr>
            <w:r w:rsidRPr="00ED4380">
              <w:rPr>
                <w:rFonts w:ascii="Times New Roman" w:eastAsia="Times New Roman" w:hAnsi="Times New Roman" w:cs="Times New Roman"/>
                <w:b/>
                <w:bCs/>
                <w:color w:val="000000"/>
                <w:sz w:val="21"/>
                <w:szCs w:val="21"/>
              </w:rPr>
              <w:t>Diésel</w:t>
            </w:r>
          </w:p>
        </w:tc>
        <w:tc>
          <w:tcPr>
            <w:tcW w:w="1701" w:type="dxa"/>
            <w:tcBorders>
              <w:top w:val="single" w:sz="4" w:space="0" w:color="auto"/>
              <w:left w:val="nil"/>
              <w:bottom w:val="single" w:sz="4" w:space="0" w:color="auto"/>
              <w:right w:val="single" w:sz="4" w:space="0" w:color="auto"/>
            </w:tcBorders>
            <w:shd w:val="clear" w:color="000000" w:fill="B8CCE4"/>
            <w:vAlign w:val="center"/>
            <w:hideMark/>
          </w:tcPr>
          <w:p w:rsidR="006A4FDF" w:rsidRPr="00ED4380" w:rsidRDefault="006A4FDF" w:rsidP="00D92726">
            <w:pPr>
              <w:jc w:val="center"/>
              <w:rPr>
                <w:rFonts w:ascii="Times New Roman" w:eastAsia="Times New Roman" w:hAnsi="Times New Roman" w:cs="Times New Roman"/>
                <w:b/>
                <w:bCs/>
                <w:color w:val="000000"/>
                <w:sz w:val="21"/>
                <w:szCs w:val="21"/>
              </w:rPr>
            </w:pPr>
            <w:r w:rsidRPr="00ED4380">
              <w:rPr>
                <w:rFonts w:ascii="Times New Roman" w:eastAsia="Times New Roman" w:hAnsi="Times New Roman" w:cs="Times New Roman"/>
                <w:b/>
                <w:bCs/>
                <w:color w:val="000000"/>
                <w:sz w:val="21"/>
                <w:szCs w:val="21"/>
              </w:rPr>
              <w:t>Diésel bajo en azufre</w:t>
            </w:r>
          </w:p>
        </w:tc>
        <w:tc>
          <w:tcPr>
            <w:tcW w:w="1814" w:type="dxa"/>
            <w:gridSpan w:val="2"/>
            <w:tcBorders>
              <w:top w:val="single" w:sz="4" w:space="0" w:color="auto"/>
              <w:left w:val="nil"/>
              <w:bottom w:val="single" w:sz="4" w:space="0" w:color="auto"/>
              <w:right w:val="single" w:sz="4" w:space="0" w:color="auto"/>
            </w:tcBorders>
            <w:shd w:val="clear" w:color="000000" w:fill="B8CCE4"/>
            <w:vAlign w:val="center"/>
            <w:hideMark/>
          </w:tcPr>
          <w:p w:rsidR="006A4FDF" w:rsidRPr="00ED4380" w:rsidRDefault="006A4FDF" w:rsidP="00D92726">
            <w:pPr>
              <w:jc w:val="center"/>
              <w:rPr>
                <w:rFonts w:ascii="Times New Roman" w:eastAsia="Times New Roman" w:hAnsi="Times New Roman" w:cs="Times New Roman"/>
                <w:b/>
                <w:bCs/>
                <w:color w:val="000000"/>
                <w:sz w:val="21"/>
                <w:szCs w:val="21"/>
              </w:rPr>
            </w:pPr>
            <w:r w:rsidRPr="00ED4380">
              <w:rPr>
                <w:rFonts w:ascii="Times New Roman" w:eastAsia="Times New Roman" w:hAnsi="Times New Roman" w:cs="Times New Roman"/>
                <w:b/>
                <w:bCs/>
                <w:color w:val="000000"/>
                <w:sz w:val="21"/>
                <w:szCs w:val="21"/>
              </w:rPr>
              <w:t>Gasolina Regular</w:t>
            </w:r>
          </w:p>
        </w:tc>
        <w:tc>
          <w:tcPr>
            <w:tcW w:w="1565" w:type="dxa"/>
            <w:tcBorders>
              <w:top w:val="single" w:sz="4" w:space="0" w:color="auto"/>
              <w:left w:val="nil"/>
              <w:bottom w:val="single" w:sz="4" w:space="0" w:color="auto"/>
              <w:right w:val="single" w:sz="4" w:space="0" w:color="auto"/>
            </w:tcBorders>
            <w:shd w:val="clear" w:color="000000" w:fill="B8CCE4"/>
            <w:vAlign w:val="center"/>
            <w:hideMark/>
          </w:tcPr>
          <w:p w:rsidR="006A4FDF" w:rsidRPr="00ED4380" w:rsidRDefault="006A4FDF" w:rsidP="00D92726">
            <w:pPr>
              <w:jc w:val="center"/>
              <w:rPr>
                <w:rFonts w:ascii="Times New Roman" w:eastAsia="Times New Roman" w:hAnsi="Times New Roman" w:cs="Times New Roman"/>
                <w:b/>
                <w:bCs/>
                <w:color w:val="000000"/>
                <w:sz w:val="21"/>
                <w:szCs w:val="21"/>
              </w:rPr>
            </w:pPr>
            <w:r w:rsidRPr="00ED4380">
              <w:rPr>
                <w:rFonts w:ascii="Times New Roman" w:eastAsia="Times New Roman" w:hAnsi="Times New Roman" w:cs="Times New Roman"/>
                <w:b/>
                <w:bCs/>
                <w:color w:val="000000"/>
                <w:sz w:val="21"/>
                <w:szCs w:val="21"/>
              </w:rPr>
              <w:t>Gasolina Especial</w:t>
            </w:r>
          </w:p>
        </w:tc>
      </w:tr>
      <w:tr w:rsidR="006A4FDF" w:rsidRPr="00ED4380" w:rsidTr="00D92726">
        <w:trPr>
          <w:trHeight w:val="660"/>
        </w:trPr>
        <w:tc>
          <w:tcPr>
            <w:tcW w:w="373"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6A4FDF" w:rsidRPr="00ED4380" w:rsidRDefault="006A4FDF" w:rsidP="00D92726">
            <w:pPr>
              <w:jc w:val="center"/>
              <w:rPr>
                <w:rFonts w:ascii="Times New Roman" w:eastAsia="Times New Roman" w:hAnsi="Times New Roman" w:cs="Times New Roman"/>
                <w:b/>
                <w:bCs/>
                <w:color w:val="000000"/>
                <w:sz w:val="21"/>
                <w:szCs w:val="21"/>
              </w:rPr>
            </w:pPr>
            <w:r w:rsidRPr="00ED4380">
              <w:rPr>
                <w:rFonts w:ascii="Times New Roman" w:eastAsia="Times New Roman" w:hAnsi="Times New Roman" w:cs="Times New Roman"/>
                <w:b/>
                <w:bCs/>
                <w:color w:val="000000"/>
                <w:sz w:val="21"/>
                <w:szCs w:val="21"/>
              </w:rPr>
              <w:t>Precio CIF</w:t>
            </w:r>
          </w:p>
        </w:tc>
        <w:tc>
          <w:tcPr>
            <w:tcW w:w="1612" w:type="dxa"/>
            <w:tcBorders>
              <w:top w:val="nil"/>
              <w:left w:val="nil"/>
              <w:bottom w:val="single" w:sz="4" w:space="0" w:color="auto"/>
              <w:right w:val="single" w:sz="4" w:space="0" w:color="auto"/>
            </w:tcBorders>
            <w:shd w:val="clear" w:color="auto" w:fill="auto"/>
            <w:noWrap/>
            <w:vAlign w:val="center"/>
            <w:hideMark/>
          </w:tcPr>
          <w:p w:rsidR="006A4FDF" w:rsidRPr="00ED4380" w:rsidRDefault="006A4FDF" w:rsidP="00D92726">
            <w:pPr>
              <w:jc w:val="center"/>
              <w:rPr>
                <w:rFonts w:ascii="Times New Roman" w:eastAsia="Times New Roman" w:hAnsi="Times New Roman" w:cs="Times New Roman"/>
                <w:b/>
                <w:bCs/>
                <w:color w:val="000000"/>
                <w:sz w:val="21"/>
                <w:szCs w:val="21"/>
              </w:rPr>
            </w:pPr>
            <w:r w:rsidRPr="00ED4380">
              <w:rPr>
                <w:rFonts w:ascii="Times New Roman" w:eastAsia="Times New Roman" w:hAnsi="Times New Roman" w:cs="Times New Roman"/>
                <w:b/>
                <w:bCs/>
                <w:color w:val="000000"/>
                <w:sz w:val="21"/>
                <w:szCs w:val="21"/>
              </w:rPr>
              <w:t>Precio FOB</w:t>
            </w:r>
          </w:p>
        </w:tc>
        <w:tc>
          <w:tcPr>
            <w:tcW w:w="1843" w:type="dxa"/>
            <w:tcBorders>
              <w:top w:val="nil"/>
              <w:left w:val="nil"/>
              <w:bottom w:val="single" w:sz="4" w:space="0" w:color="auto"/>
              <w:right w:val="single" w:sz="4" w:space="0" w:color="auto"/>
            </w:tcBorders>
            <w:shd w:val="clear" w:color="auto" w:fill="auto"/>
            <w:vAlign w:val="center"/>
            <w:hideMark/>
          </w:tcPr>
          <w:p w:rsidR="006A4FDF" w:rsidRPr="00ED4380" w:rsidRDefault="006A4FDF" w:rsidP="00D92726">
            <w:pPr>
              <w:jc w:val="center"/>
              <w:rPr>
                <w:rFonts w:ascii="Times New Roman" w:eastAsia="Times New Roman" w:hAnsi="Times New Roman" w:cs="Times New Roman"/>
                <w:color w:val="000000"/>
                <w:sz w:val="21"/>
                <w:szCs w:val="21"/>
              </w:rPr>
            </w:pPr>
            <w:r w:rsidRPr="00ED4380">
              <w:rPr>
                <w:rFonts w:ascii="Times New Roman" w:eastAsia="Times New Roman" w:hAnsi="Times New Roman" w:cs="Times New Roman"/>
                <w:color w:val="000000"/>
                <w:sz w:val="21"/>
                <w:szCs w:val="21"/>
              </w:rPr>
              <w:t>CONFIDENCIAL</w:t>
            </w:r>
          </w:p>
        </w:tc>
        <w:tc>
          <w:tcPr>
            <w:tcW w:w="1701" w:type="dxa"/>
            <w:tcBorders>
              <w:top w:val="nil"/>
              <w:left w:val="nil"/>
              <w:bottom w:val="single" w:sz="4" w:space="0" w:color="auto"/>
              <w:right w:val="single" w:sz="4" w:space="0" w:color="auto"/>
            </w:tcBorders>
            <w:shd w:val="clear" w:color="auto" w:fill="auto"/>
            <w:vAlign w:val="center"/>
            <w:hideMark/>
          </w:tcPr>
          <w:p w:rsidR="006A4FDF" w:rsidRPr="00ED4380" w:rsidRDefault="006A4FDF" w:rsidP="00D92726">
            <w:pPr>
              <w:jc w:val="center"/>
              <w:rPr>
                <w:rFonts w:ascii="Times New Roman" w:eastAsia="Times New Roman" w:hAnsi="Times New Roman" w:cs="Times New Roman"/>
                <w:color w:val="000000"/>
                <w:sz w:val="21"/>
                <w:szCs w:val="21"/>
              </w:rPr>
            </w:pPr>
            <w:r w:rsidRPr="00ED4380">
              <w:rPr>
                <w:rFonts w:ascii="Times New Roman" w:eastAsia="Times New Roman" w:hAnsi="Times New Roman" w:cs="Times New Roman"/>
                <w:color w:val="000000"/>
                <w:sz w:val="21"/>
                <w:szCs w:val="21"/>
              </w:rPr>
              <w:t>CONFIDENCIAL</w:t>
            </w:r>
          </w:p>
        </w:tc>
        <w:tc>
          <w:tcPr>
            <w:tcW w:w="1814" w:type="dxa"/>
            <w:gridSpan w:val="2"/>
            <w:tcBorders>
              <w:top w:val="nil"/>
              <w:left w:val="nil"/>
              <w:bottom w:val="single" w:sz="4" w:space="0" w:color="auto"/>
              <w:right w:val="single" w:sz="4" w:space="0" w:color="auto"/>
            </w:tcBorders>
            <w:shd w:val="clear" w:color="auto" w:fill="auto"/>
            <w:vAlign w:val="center"/>
            <w:hideMark/>
          </w:tcPr>
          <w:p w:rsidR="006A4FDF" w:rsidRPr="00ED4380" w:rsidRDefault="006A4FDF" w:rsidP="00D92726">
            <w:pPr>
              <w:jc w:val="center"/>
              <w:rPr>
                <w:rFonts w:ascii="Times New Roman" w:eastAsia="Times New Roman" w:hAnsi="Times New Roman" w:cs="Times New Roman"/>
                <w:color w:val="000000"/>
                <w:sz w:val="21"/>
                <w:szCs w:val="21"/>
              </w:rPr>
            </w:pPr>
            <w:r w:rsidRPr="00ED4380">
              <w:rPr>
                <w:rFonts w:ascii="Times New Roman" w:eastAsia="Times New Roman" w:hAnsi="Times New Roman" w:cs="Times New Roman"/>
                <w:color w:val="000000"/>
                <w:sz w:val="21"/>
                <w:szCs w:val="21"/>
              </w:rPr>
              <w:t>CONFIDENCIAL</w:t>
            </w:r>
          </w:p>
        </w:tc>
        <w:tc>
          <w:tcPr>
            <w:tcW w:w="1565" w:type="dxa"/>
            <w:tcBorders>
              <w:top w:val="nil"/>
              <w:left w:val="nil"/>
              <w:bottom w:val="single" w:sz="4" w:space="0" w:color="auto"/>
              <w:right w:val="single" w:sz="4" w:space="0" w:color="auto"/>
            </w:tcBorders>
            <w:shd w:val="clear" w:color="auto" w:fill="auto"/>
            <w:vAlign w:val="center"/>
            <w:hideMark/>
          </w:tcPr>
          <w:p w:rsidR="006A4FDF" w:rsidRPr="00ED4380" w:rsidRDefault="006A4FDF" w:rsidP="00D92726">
            <w:pPr>
              <w:jc w:val="center"/>
              <w:rPr>
                <w:rFonts w:ascii="Times New Roman" w:eastAsia="Times New Roman" w:hAnsi="Times New Roman" w:cs="Times New Roman"/>
                <w:color w:val="000000"/>
                <w:sz w:val="21"/>
                <w:szCs w:val="21"/>
              </w:rPr>
            </w:pPr>
            <w:r w:rsidRPr="00ED4380">
              <w:rPr>
                <w:rFonts w:ascii="Times New Roman" w:eastAsia="Times New Roman" w:hAnsi="Times New Roman" w:cs="Times New Roman"/>
                <w:color w:val="000000"/>
                <w:sz w:val="21"/>
                <w:szCs w:val="21"/>
              </w:rPr>
              <w:t>CONFIDENCIAL</w:t>
            </w:r>
          </w:p>
        </w:tc>
      </w:tr>
      <w:tr w:rsidR="006A4FDF" w:rsidRPr="00ED4380" w:rsidTr="00D92726">
        <w:trPr>
          <w:trHeight w:val="2355"/>
        </w:trPr>
        <w:tc>
          <w:tcPr>
            <w:tcW w:w="373" w:type="dxa"/>
            <w:vMerge/>
            <w:tcBorders>
              <w:top w:val="single" w:sz="4" w:space="0" w:color="auto"/>
              <w:left w:val="single" w:sz="4" w:space="0" w:color="auto"/>
              <w:bottom w:val="single" w:sz="4" w:space="0" w:color="auto"/>
              <w:right w:val="single" w:sz="4" w:space="0" w:color="auto"/>
            </w:tcBorders>
            <w:vAlign w:val="center"/>
            <w:hideMark/>
          </w:tcPr>
          <w:p w:rsidR="006A4FDF" w:rsidRPr="00ED4380" w:rsidRDefault="006A4FDF" w:rsidP="00D92726">
            <w:pPr>
              <w:rPr>
                <w:rFonts w:ascii="Times New Roman" w:eastAsia="Times New Roman" w:hAnsi="Times New Roman" w:cs="Times New Roman"/>
                <w:b/>
                <w:bCs/>
                <w:color w:val="000000"/>
                <w:sz w:val="21"/>
                <w:szCs w:val="21"/>
              </w:rPr>
            </w:pPr>
          </w:p>
        </w:tc>
        <w:tc>
          <w:tcPr>
            <w:tcW w:w="1612" w:type="dxa"/>
            <w:tcBorders>
              <w:top w:val="nil"/>
              <w:left w:val="nil"/>
              <w:bottom w:val="single" w:sz="4" w:space="0" w:color="auto"/>
              <w:right w:val="single" w:sz="4" w:space="0" w:color="auto"/>
            </w:tcBorders>
            <w:shd w:val="clear" w:color="auto" w:fill="auto"/>
            <w:noWrap/>
            <w:vAlign w:val="center"/>
            <w:hideMark/>
          </w:tcPr>
          <w:p w:rsidR="006A4FDF" w:rsidRPr="00ED4380" w:rsidRDefault="006A4FDF" w:rsidP="00D92726">
            <w:pPr>
              <w:jc w:val="center"/>
              <w:rPr>
                <w:rFonts w:ascii="Times New Roman" w:eastAsia="Times New Roman" w:hAnsi="Times New Roman" w:cs="Times New Roman"/>
                <w:b/>
                <w:bCs/>
                <w:color w:val="000000"/>
                <w:sz w:val="21"/>
                <w:szCs w:val="21"/>
              </w:rPr>
            </w:pPr>
            <w:r w:rsidRPr="00ED4380">
              <w:rPr>
                <w:rFonts w:ascii="Times New Roman" w:eastAsia="Times New Roman" w:hAnsi="Times New Roman" w:cs="Times New Roman"/>
                <w:b/>
                <w:bCs/>
                <w:color w:val="000000"/>
                <w:sz w:val="21"/>
                <w:szCs w:val="21"/>
              </w:rPr>
              <w:t>Ajuste de calidad</w:t>
            </w:r>
          </w:p>
        </w:tc>
        <w:tc>
          <w:tcPr>
            <w:tcW w:w="1843" w:type="dxa"/>
            <w:tcBorders>
              <w:top w:val="nil"/>
              <w:left w:val="nil"/>
              <w:bottom w:val="single" w:sz="4" w:space="0" w:color="auto"/>
              <w:right w:val="single" w:sz="4" w:space="0" w:color="auto"/>
            </w:tcBorders>
            <w:shd w:val="clear" w:color="auto" w:fill="auto"/>
            <w:vAlign w:val="center"/>
            <w:hideMark/>
          </w:tcPr>
          <w:p w:rsidR="006A4FDF" w:rsidRPr="00ED4380" w:rsidRDefault="006A4FDF" w:rsidP="00D92726">
            <w:pPr>
              <w:jc w:val="center"/>
              <w:rPr>
                <w:rFonts w:ascii="Times New Roman" w:eastAsia="Times New Roman" w:hAnsi="Times New Roman" w:cs="Times New Roman"/>
                <w:color w:val="000000"/>
                <w:sz w:val="21"/>
                <w:szCs w:val="21"/>
              </w:rPr>
            </w:pPr>
            <w:r w:rsidRPr="00ED4380">
              <w:rPr>
                <w:rFonts w:ascii="Times New Roman" w:eastAsia="Times New Roman" w:hAnsi="Times New Roman" w:cs="Times New Roman"/>
                <w:color w:val="000000"/>
                <w:sz w:val="21"/>
                <w:szCs w:val="21"/>
              </w:rPr>
              <w:t xml:space="preserve">Costo del aditivo multiplicado por la cantidad porcentual para que un galón de diésel con índice de </w:t>
            </w:r>
            <w:proofErr w:type="spellStart"/>
            <w:r w:rsidRPr="00ED4380">
              <w:rPr>
                <w:rFonts w:ascii="Times New Roman" w:eastAsia="Times New Roman" w:hAnsi="Times New Roman" w:cs="Times New Roman"/>
                <w:color w:val="000000"/>
                <w:sz w:val="21"/>
                <w:szCs w:val="21"/>
              </w:rPr>
              <w:t>cetano</w:t>
            </w:r>
            <w:proofErr w:type="spellEnd"/>
            <w:r w:rsidRPr="00ED4380">
              <w:rPr>
                <w:rFonts w:ascii="Times New Roman" w:eastAsia="Times New Roman" w:hAnsi="Times New Roman" w:cs="Times New Roman"/>
                <w:color w:val="000000"/>
                <w:sz w:val="21"/>
                <w:szCs w:val="21"/>
              </w:rPr>
              <w:t xml:space="preserve"> 40 llegue al valor de 45</w:t>
            </w:r>
          </w:p>
        </w:tc>
        <w:tc>
          <w:tcPr>
            <w:tcW w:w="1701" w:type="dxa"/>
            <w:tcBorders>
              <w:top w:val="nil"/>
              <w:left w:val="nil"/>
              <w:bottom w:val="single" w:sz="4" w:space="0" w:color="auto"/>
              <w:right w:val="single" w:sz="4" w:space="0" w:color="auto"/>
            </w:tcBorders>
            <w:shd w:val="clear" w:color="auto" w:fill="auto"/>
            <w:vAlign w:val="center"/>
            <w:hideMark/>
          </w:tcPr>
          <w:p w:rsidR="006A4FDF" w:rsidRPr="00ED4380" w:rsidRDefault="006A4FDF" w:rsidP="00D92726">
            <w:pPr>
              <w:jc w:val="center"/>
              <w:rPr>
                <w:rFonts w:ascii="Times New Roman" w:eastAsia="Times New Roman" w:hAnsi="Times New Roman" w:cs="Times New Roman"/>
                <w:color w:val="000000"/>
                <w:sz w:val="21"/>
                <w:szCs w:val="21"/>
              </w:rPr>
            </w:pPr>
            <w:r w:rsidRPr="00ED4380">
              <w:rPr>
                <w:rFonts w:ascii="Times New Roman" w:eastAsia="Times New Roman" w:hAnsi="Times New Roman" w:cs="Times New Roman"/>
                <w:color w:val="000000"/>
                <w:sz w:val="21"/>
                <w:szCs w:val="21"/>
              </w:rPr>
              <w:t xml:space="preserve">Costo del aditivo multiplicado por la cantidad porcentual para que un galón de diésel con índice de </w:t>
            </w:r>
            <w:proofErr w:type="spellStart"/>
            <w:r w:rsidRPr="00ED4380">
              <w:rPr>
                <w:rFonts w:ascii="Times New Roman" w:eastAsia="Times New Roman" w:hAnsi="Times New Roman" w:cs="Times New Roman"/>
                <w:color w:val="000000"/>
                <w:sz w:val="21"/>
                <w:szCs w:val="21"/>
              </w:rPr>
              <w:t>cetano</w:t>
            </w:r>
            <w:proofErr w:type="spellEnd"/>
            <w:r w:rsidRPr="00ED4380">
              <w:rPr>
                <w:rFonts w:ascii="Times New Roman" w:eastAsia="Times New Roman" w:hAnsi="Times New Roman" w:cs="Times New Roman"/>
                <w:color w:val="000000"/>
                <w:sz w:val="21"/>
                <w:szCs w:val="21"/>
              </w:rPr>
              <w:t xml:space="preserve"> 40 llegue al valor de 45</w:t>
            </w:r>
          </w:p>
        </w:tc>
        <w:tc>
          <w:tcPr>
            <w:tcW w:w="1814" w:type="dxa"/>
            <w:gridSpan w:val="2"/>
            <w:tcBorders>
              <w:top w:val="nil"/>
              <w:left w:val="nil"/>
              <w:bottom w:val="single" w:sz="4" w:space="0" w:color="auto"/>
              <w:right w:val="single" w:sz="4" w:space="0" w:color="auto"/>
            </w:tcBorders>
            <w:shd w:val="clear" w:color="auto" w:fill="auto"/>
            <w:vAlign w:val="center"/>
            <w:hideMark/>
          </w:tcPr>
          <w:p w:rsidR="006A4FDF" w:rsidRPr="00ED4380" w:rsidRDefault="006A4FDF" w:rsidP="00D92726">
            <w:pPr>
              <w:jc w:val="center"/>
              <w:rPr>
                <w:rFonts w:ascii="Times New Roman" w:eastAsia="Times New Roman" w:hAnsi="Times New Roman" w:cs="Times New Roman"/>
                <w:color w:val="000000"/>
                <w:sz w:val="21"/>
                <w:szCs w:val="21"/>
              </w:rPr>
            </w:pPr>
            <w:r w:rsidRPr="00ED4380">
              <w:rPr>
                <w:rFonts w:ascii="Times New Roman" w:eastAsia="Times New Roman" w:hAnsi="Times New Roman" w:cs="Times New Roman"/>
                <w:color w:val="000000"/>
                <w:sz w:val="21"/>
                <w:szCs w:val="21"/>
              </w:rPr>
              <w:t xml:space="preserve">0.028*(Promedio 6 meses Precio </w:t>
            </w:r>
            <w:proofErr w:type="spellStart"/>
            <w:r w:rsidRPr="00ED4380">
              <w:rPr>
                <w:rFonts w:ascii="Times New Roman" w:eastAsia="Times New Roman" w:hAnsi="Times New Roman" w:cs="Times New Roman"/>
                <w:color w:val="000000"/>
                <w:sz w:val="21"/>
                <w:szCs w:val="21"/>
              </w:rPr>
              <w:t>Platt’s</w:t>
            </w:r>
            <w:proofErr w:type="spellEnd"/>
            <w:r w:rsidRPr="00ED4380">
              <w:rPr>
                <w:rFonts w:ascii="Times New Roman" w:eastAsia="Times New Roman" w:hAnsi="Times New Roman" w:cs="Times New Roman"/>
                <w:color w:val="000000"/>
                <w:sz w:val="21"/>
                <w:szCs w:val="21"/>
              </w:rPr>
              <w:t xml:space="preserve"> UNL-87 – Promedio 6 meses Precio </w:t>
            </w:r>
            <w:proofErr w:type="spellStart"/>
            <w:r w:rsidRPr="00ED4380">
              <w:rPr>
                <w:rFonts w:ascii="Times New Roman" w:eastAsia="Times New Roman" w:hAnsi="Times New Roman" w:cs="Times New Roman"/>
                <w:color w:val="000000"/>
                <w:sz w:val="21"/>
                <w:szCs w:val="21"/>
              </w:rPr>
              <w:t>Platt’s</w:t>
            </w:r>
            <w:proofErr w:type="spellEnd"/>
            <w:r w:rsidRPr="00ED4380">
              <w:rPr>
                <w:rFonts w:ascii="Times New Roman" w:eastAsia="Times New Roman" w:hAnsi="Times New Roman" w:cs="Times New Roman"/>
                <w:color w:val="000000"/>
                <w:sz w:val="21"/>
                <w:szCs w:val="21"/>
              </w:rPr>
              <w:t xml:space="preserve"> Butano normal </w:t>
            </w:r>
            <w:proofErr w:type="spellStart"/>
            <w:r w:rsidRPr="00ED4380">
              <w:rPr>
                <w:rFonts w:ascii="Times New Roman" w:eastAsia="Times New Roman" w:hAnsi="Times New Roman" w:cs="Times New Roman"/>
                <w:color w:val="000000"/>
                <w:sz w:val="21"/>
                <w:szCs w:val="21"/>
              </w:rPr>
              <w:t>Mt.</w:t>
            </w:r>
            <w:proofErr w:type="spellEnd"/>
            <w:r w:rsidRPr="00ED4380">
              <w:rPr>
                <w:rFonts w:ascii="Times New Roman" w:eastAsia="Times New Roman" w:hAnsi="Times New Roman" w:cs="Times New Roman"/>
                <w:color w:val="000000"/>
                <w:sz w:val="21"/>
                <w:szCs w:val="21"/>
              </w:rPr>
              <w:t xml:space="preserve"> </w:t>
            </w:r>
            <w:proofErr w:type="spellStart"/>
            <w:r w:rsidRPr="00ED4380">
              <w:rPr>
                <w:rFonts w:ascii="Times New Roman" w:eastAsia="Times New Roman" w:hAnsi="Times New Roman" w:cs="Times New Roman"/>
                <w:color w:val="000000"/>
                <w:sz w:val="21"/>
                <w:szCs w:val="21"/>
              </w:rPr>
              <w:t>Belvieu</w:t>
            </w:r>
            <w:proofErr w:type="spellEnd"/>
            <w:r w:rsidRPr="00ED4380">
              <w:rPr>
                <w:rFonts w:ascii="Times New Roman" w:eastAsia="Times New Roman" w:hAnsi="Times New Roman" w:cs="Times New Roman"/>
                <w:color w:val="000000"/>
                <w:sz w:val="21"/>
                <w:szCs w:val="21"/>
              </w:rPr>
              <w:t xml:space="preserve">) + ((Promedio 6 meses Precio </w:t>
            </w:r>
            <w:proofErr w:type="spellStart"/>
            <w:r w:rsidRPr="00ED4380">
              <w:rPr>
                <w:rFonts w:ascii="Times New Roman" w:eastAsia="Times New Roman" w:hAnsi="Times New Roman" w:cs="Times New Roman"/>
                <w:color w:val="000000"/>
                <w:sz w:val="21"/>
                <w:szCs w:val="21"/>
              </w:rPr>
              <w:t>Platt’s</w:t>
            </w:r>
            <w:proofErr w:type="spellEnd"/>
            <w:r w:rsidRPr="00ED4380">
              <w:rPr>
                <w:rFonts w:ascii="Times New Roman" w:eastAsia="Times New Roman" w:hAnsi="Times New Roman" w:cs="Times New Roman"/>
                <w:color w:val="000000"/>
                <w:sz w:val="21"/>
                <w:szCs w:val="21"/>
              </w:rPr>
              <w:t xml:space="preserve"> UNL-87  – Promedio 6 meses Precio </w:t>
            </w:r>
            <w:proofErr w:type="spellStart"/>
            <w:r w:rsidRPr="00ED4380">
              <w:rPr>
                <w:rFonts w:ascii="Times New Roman" w:eastAsia="Times New Roman" w:hAnsi="Times New Roman" w:cs="Times New Roman"/>
                <w:color w:val="000000"/>
                <w:sz w:val="21"/>
                <w:szCs w:val="21"/>
              </w:rPr>
              <w:t>Platt’s</w:t>
            </w:r>
            <w:proofErr w:type="spellEnd"/>
            <w:r w:rsidRPr="00ED4380">
              <w:rPr>
                <w:rFonts w:ascii="Times New Roman" w:eastAsia="Times New Roman" w:hAnsi="Times New Roman" w:cs="Times New Roman"/>
                <w:color w:val="000000"/>
                <w:sz w:val="21"/>
                <w:szCs w:val="21"/>
              </w:rPr>
              <w:t xml:space="preserve"> UNL-93)/6)*2</w:t>
            </w:r>
          </w:p>
        </w:tc>
        <w:tc>
          <w:tcPr>
            <w:tcW w:w="1565" w:type="dxa"/>
            <w:tcBorders>
              <w:top w:val="nil"/>
              <w:left w:val="nil"/>
              <w:bottom w:val="single" w:sz="4" w:space="0" w:color="auto"/>
              <w:right w:val="single" w:sz="4" w:space="0" w:color="auto"/>
            </w:tcBorders>
            <w:shd w:val="clear" w:color="auto" w:fill="auto"/>
            <w:vAlign w:val="center"/>
            <w:hideMark/>
          </w:tcPr>
          <w:p w:rsidR="006A4FDF" w:rsidRPr="00ED4380" w:rsidRDefault="006A4FDF" w:rsidP="00D92726">
            <w:pPr>
              <w:jc w:val="center"/>
              <w:rPr>
                <w:rFonts w:ascii="Times New Roman" w:eastAsia="Times New Roman" w:hAnsi="Times New Roman" w:cs="Times New Roman"/>
                <w:color w:val="000000"/>
                <w:sz w:val="21"/>
                <w:szCs w:val="21"/>
              </w:rPr>
            </w:pPr>
            <w:r w:rsidRPr="00ED4380">
              <w:rPr>
                <w:rFonts w:ascii="Times New Roman" w:eastAsia="Times New Roman" w:hAnsi="Times New Roman" w:cs="Times New Roman"/>
                <w:color w:val="000000"/>
                <w:sz w:val="21"/>
                <w:szCs w:val="21"/>
              </w:rPr>
              <w:t xml:space="preserve">0.028*(Promedio 6 meses Precio </w:t>
            </w:r>
            <w:proofErr w:type="spellStart"/>
            <w:r w:rsidRPr="00ED4380">
              <w:rPr>
                <w:rFonts w:ascii="Times New Roman" w:eastAsia="Times New Roman" w:hAnsi="Times New Roman" w:cs="Times New Roman"/>
                <w:color w:val="000000"/>
                <w:sz w:val="21"/>
                <w:szCs w:val="21"/>
              </w:rPr>
              <w:t>Platt’s</w:t>
            </w:r>
            <w:proofErr w:type="spellEnd"/>
            <w:r w:rsidRPr="00ED4380">
              <w:rPr>
                <w:rFonts w:ascii="Times New Roman" w:eastAsia="Times New Roman" w:hAnsi="Times New Roman" w:cs="Times New Roman"/>
                <w:color w:val="000000"/>
                <w:sz w:val="21"/>
                <w:szCs w:val="21"/>
              </w:rPr>
              <w:t xml:space="preserve"> UNL-87 – Promedio 6 meses Precio </w:t>
            </w:r>
            <w:proofErr w:type="spellStart"/>
            <w:r w:rsidRPr="00ED4380">
              <w:rPr>
                <w:rFonts w:ascii="Times New Roman" w:eastAsia="Times New Roman" w:hAnsi="Times New Roman" w:cs="Times New Roman"/>
                <w:color w:val="000000"/>
                <w:sz w:val="21"/>
                <w:szCs w:val="21"/>
              </w:rPr>
              <w:t>Platt’s</w:t>
            </w:r>
            <w:proofErr w:type="spellEnd"/>
            <w:r w:rsidRPr="00ED4380">
              <w:rPr>
                <w:rFonts w:ascii="Times New Roman" w:eastAsia="Times New Roman" w:hAnsi="Times New Roman" w:cs="Times New Roman"/>
                <w:color w:val="000000"/>
                <w:sz w:val="21"/>
                <w:szCs w:val="21"/>
              </w:rPr>
              <w:t xml:space="preserve"> Butano normal </w:t>
            </w:r>
            <w:proofErr w:type="spellStart"/>
            <w:r w:rsidRPr="00ED4380">
              <w:rPr>
                <w:rFonts w:ascii="Times New Roman" w:eastAsia="Times New Roman" w:hAnsi="Times New Roman" w:cs="Times New Roman"/>
                <w:color w:val="000000"/>
                <w:sz w:val="21"/>
                <w:szCs w:val="21"/>
              </w:rPr>
              <w:t>Mt.</w:t>
            </w:r>
            <w:proofErr w:type="spellEnd"/>
            <w:r w:rsidRPr="00ED4380">
              <w:rPr>
                <w:rFonts w:ascii="Times New Roman" w:eastAsia="Times New Roman" w:hAnsi="Times New Roman" w:cs="Times New Roman"/>
                <w:color w:val="000000"/>
                <w:sz w:val="21"/>
                <w:szCs w:val="21"/>
              </w:rPr>
              <w:t xml:space="preserve"> </w:t>
            </w:r>
            <w:proofErr w:type="spellStart"/>
            <w:r w:rsidRPr="00ED4380">
              <w:rPr>
                <w:rFonts w:ascii="Times New Roman" w:eastAsia="Times New Roman" w:hAnsi="Times New Roman" w:cs="Times New Roman"/>
                <w:color w:val="000000"/>
                <w:sz w:val="21"/>
                <w:szCs w:val="21"/>
              </w:rPr>
              <w:t>Belvieu</w:t>
            </w:r>
            <w:proofErr w:type="spellEnd"/>
            <w:r w:rsidRPr="00ED4380">
              <w:rPr>
                <w:rFonts w:ascii="Times New Roman" w:eastAsia="Times New Roman" w:hAnsi="Times New Roman" w:cs="Times New Roman"/>
                <w:color w:val="000000"/>
                <w:sz w:val="21"/>
                <w:szCs w:val="21"/>
              </w:rPr>
              <w:t xml:space="preserve">) + ((Promedio 6 meses Precio </w:t>
            </w:r>
            <w:proofErr w:type="spellStart"/>
            <w:r w:rsidRPr="00ED4380">
              <w:rPr>
                <w:rFonts w:ascii="Times New Roman" w:eastAsia="Times New Roman" w:hAnsi="Times New Roman" w:cs="Times New Roman"/>
                <w:color w:val="000000"/>
                <w:sz w:val="21"/>
                <w:szCs w:val="21"/>
              </w:rPr>
              <w:t>Platt’s</w:t>
            </w:r>
            <w:proofErr w:type="spellEnd"/>
            <w:r w:rsidRPr="00ED4380">
              <w:rPr>
                <w:rFonts w:ascii="Times New Roman" w:eastAsia="Times New Roman" w:hAnsi="Times New Roman" w:cs="Times New Roman"/>
                <w:color w:val="000000"/>
                <w:sz w:val="21"/>
                <w:szCs w:val="21"/>
              </w:rPr>
              <w:t xml:space="preserve"> UNL-87  – Promedio 6 meses Precio </w:t>
            </w:r>
            <w:proofErr w:type="spellStart"/>
            <w:r w:rsidRPr="00ED4380">
              <w:rPr>
                <w:rFonts w:ascii="Times New Roman" w:eastAsia="Times New Roman" w:hAnsi="Times New Roman" w:cs="Times New Roman"/>
                <w:color w:val="000000"/>
                <w:sz w:val="21"/>
                <w:szCs w:val="21"/>
              </w:rPr>
              <w:t>Platt’s</w:t>
            </w:r>
            <w:proofErr w:type="spellEnd"/>
            <w:r w:rsidRPr="00ED4380">
              <w:rPr>
                <w:rFonts w:ascii="Times New Roman" w:eastAsia="Times New Roman" w:hAnsi="Times New Roman" w:cs="Times New Roman"/>
                <w:color w:val="000000"/>
                <w:sz w:val="21"/>
                <w:szCs w:val="21"/>
              </w:rPr>
              <w:t xml:space="preserve"> UNL-93)/6)*4       </w:t>
            </w:r>
          </w:p>
        </w:tc>
      </w:tr>
      <w:tr w:rsidR="006A4FDF" w:rsidRPr="00ED4380" w:rsidTr="00D92726">
        <w:trPr>
          <w:trHeight w:val="1292"/>
        </w:trPr>
        <w:tc>
          <w:tcPr>
            <w:tcW w:w="373" w:type="dxa"/>
            <w:vMerge/>
            <w:tcBorders>
              <w:top w:val="single" w:sz="4" w:space="0" w:color="auto"/>
              <w:left w:val="single" w:sz="4" w:space="0" w:color="auto"/>
              <w:bottom w:val="single" w:sz="4" w:space="0" w:color="auto"/>
              <w:right w:val="single" w:sz="4" w:space="0" w:color="auto"/>
            </w:tcBorders>
            <w:vAlign w:val="center"/>
            <w:hideMark/>
          </w:tcPr>
          <w:p w:rsidR="006A4FDF" w:rsidRPr="00ED4380" w:rsidRDefault="006A4FDF" w:rsidP="00D92726">
            <w:pPr>
              <w:rPr>
                <w:rFonts w:ascii="Times New Roman" w:eastAsia="Times New Roman" w:hAnsi="Times New Roman" w:cs="Times New Roman"/>
                <w:b/>
                <w:bCs/>
                <w:color w:val="000000"/>
                <w:sz w:val="21"/>
                <w:szCs w:val="21"/>
              </w:rPr>
            </w:pPr>
          </w:p>
        </w:tc>
        <w:tc>
          <w:tcPr>
            <w:tcW w:w="1612" w:type="dxa"/>
            <w:tcBorders>
              <w:top w:val="nil"/>
              <w:left w:val="nil"/>
              <w:bottom w:val="single" w:sz="4" w:space="0" w:color="auto"/>
              <w:right w:val="single" w:sz="4" w:space="0" w:color="auto"/>
            </w:tcBorders>
            <w:shd w:val="clear" w:color="auto" w:fill="auto"/>
            <w:noWrap/>
            <w:vAlign w:val="center"/>
            <w:hideMark/>
          </w:tcPr>
          <w:p w:rsidR="006A4FDF" w:rsidRPr="00ED4380" w:rsidRDefault="006A4FDF" w:rsidP="00D92726">
            <w:pPr>
              <w:jc w:val="center"/>
              <w:rPr>
                <w:rFonts w:ascii="Times New Roman" w:eastAsia="Times New Roman" w:hAnsi="Times New Roman" w:cs="Times New Roman"/>
                <w:b/>
                <w:bCs/>
                <w:color w:val="000000"/>
                <w:sz w:val="21"/>
                <w:szCs w:val="21"/>
              </w:rPr>
            </w:pPr>
            <w:r w:rsidRPr="00ED4380">
              <w:rPr>
                <w:rFonts w:ascii="Times New Roman" w:eastAsia="Times New Roman" w:hAnsi="Times New Roman" w:cs="Times New Roman"/>
                <w:b/>
                <w:bCs/>
                <w:color w:val="000000"/>
                <w:sz w:val="21"/>
                <w:szCs w:val="21"/>
              </w:rPr>
              <w:t>Flete Marítimo</w:t>
            </w:r>
          </w:p>
        </w:tc>
        <w:tc>
          <w:tcPr>
            <w:tcW w:w="3544" w:type="dxa"/>
            <w:gridSpan w:val="2"/>
            <w:tcBorders>
              <w:top w:val="single" w:sz="4" w:space="0" w:color="auto"/>
              <w:left w:val="nil"/>
              <w:bottom w:val="single" w:sz="4" w:space="0" w:color="auto"/>
              <w:right w:val="single" w:sz="4" w:space="0" w:color="auto"/>
            </w:tcBorders>
            <w:shd w:val="clear" w:color="auto" w:fill="auto"/>
            <w:noWrap/>
            <w:vAlign w:val="center"/>
            <w:hideMark/>
          </w:tcPr>
          <w:p w:rsidR="006A4FDF" w:rsidRPr="00ED4380" w:rsidRDefault="006A4FDF" w:rsidP="00D92726">
            <w:pPr>
              <w:jc w:val="center"/>
              <w:rPr>
                <w:rFonts w:ascii="Times New Roman" w:eastAsia="Times New Roman" w:hAnsi="Times New Roman" w:cs="Times New Roman"/>
                <w:color w:val="000000"/>
                <w:sz w:val="21"/>
                <w:szCs w:val="21"/>
              </w:rPr>
            </w:pPr>
            <w:r w:rsidRPr="00ED4380">
              <w:rPr>
                <w:rFonts w:ascii="Times New Roman" w:hAnsi="Times New Roman" w:cs="Times New Roman"/>
                <w:noProof/>
                <w:sz w:val="21"/>
                <w:szCs w:val="21"/>
              </w:rPr>
              <w:drawing>
                <wp:anchor distT="0" distB="0" distL="114300" distR="114300" simplePos="0" relativeHeight="251662336" behindDoc="1" locked="0" layoutInCell="1" allowOverlap="1">
                  <wp:simplePos x="0" y="0"/>
                  <wp:positionH relativeFrom="column">
                    <wp:posOffset>43815</wp:posOffset>
                  </wp:positionH>
                  <wp:positionV relativeFrom="paragraph">
                    <wp:posOffset>161290</wp:posOffset>
                  </wp:positionV>
                  <wp:extent cx="2035175" cy="682625"/>
                  <wp:effectExtent l="0" t="0" r="3175" b="3175"/>
                  <wp:wrapThrough wrapText="bothSides">
                    <wp:wrapPolygon edited="0">
                      <wp:start x="0" y="0"/>
                      <wp:lineTo x="0" y="21098"/>
                      <wp:lineTo x="21432" y="21098"/>
                      <wp:lineTo x="21432" y="0"/>
                      <wp:lineTo x="0" y="0"/>
                    </wp:wrapPolygon>
                  </wp:wrapThrough>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8495" t="43769" r="15360" b="31694"/>
                          <a:stretch/>
                        </pic:blipFill>
                        <pic:spPr bwMode="auto">
                          <a:xfrm>
                            <a:off x="0" y="0"/>
                            <a:ext cx="2035175" cy="682625"/>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p>
        </w:tc>
        <w:tc>
          <w:tcPr>
            <w:tcW w:w="3379"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4FDF" w:rsidRPr="00ED4380" w:rsidRDefault="006A4FDF" w:rsidP="00D92726">
            <w:pPr>
              <w:jc w:val="center"/>
              <w:rPr>
                <w:rFonts w:ascii="Times New Roman" w:eastAsia="Times New Roman" w:hAnsi="Times New Roman" w:cs="Times New Roman"/>
                <w:color w:val="000000"/>
                <w:sz w:val="21"/>
                <w:szCs w:val="21"/>
              </w:rPr>
            </w:pPr>
            <w:r w:rsidRPr="00ED4380">
              <w:rPr>
                <w:rFonts w:ascii="Times New Roman" w:hAnsi="Times New Roman" w:cs="Times New Roman"/>
                <w:noProof/>
                <w:sz w:val="21"/>
                <w:szCs w:val="21"/>
              </w:rPr>
              <w:drawing>
                <wp:anchor distT="0" distB="0" distL="114300" distR="114300" simplePos="0" relativeHeight="251661312" behindDoc="1" locked="0" layoutInCell="1" allowOverlap="1">
                  <wp:simplePos x="0" y="0"/>
                  <wp:positionH relativeFrom="column">
                    <wp:posOffset>177165</wp:posOffset>
                  </wp:positionH>
                  <wp:positionV relativeFrom="paragraph">
                    <wp:posOffset>-481965</wp:posOffset>
                  </wp:positionV>
                  <wp:extent cx="1820545" cy="953770"/>
                  <wp:effectExtent l="0" t="0" r="8255" b="0"/>
                  <wp:wrapThrough wrapText="bothSides">
                    <wp:wrapPolygon edited="0">
                      <wp:start x="0" y="0"/>
                      <wp:lineTo x="0" y="21140"/>
                      <wp:lineTo x="21472" y="21140"/>
                      <wp:lineTo x="21472" y="0"/>
                      <wp:lineTo x="0" y="0"/>
                    </wp:wrapPolygon>
                  </wp:wrapThrough>
                  <wp:docPr id="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7383" t="51104" r="22847" b="21135"/>
                          <a:stretch/>
                        </pic:blipFill>
                        <pic:spPr bwMode="auto">
                          <a:xfrm>
                            <a:off x="0" y="0"/>
                            <a:ext cx="1820545" cy="95377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p>
        </w:tc>
      </w:tr>
      <w:tr w:rsidR="006A4FDF" w:rsidRPr="00ED4380" w:rsidTr="00D92726">
        <w:trPr>
          <w:trHeight w:val="1200"/>
        </w:trPr>
        <w:tc>
          <w:tcPr>
            <w:tcW w:w="373" w:type="dxa"/>
            <w:vMerge/>
            <w:tcBorders>
              <w:top w:val="single" w:sz="4" w:space="0" w:color="auto"/>
              <w:left w:val="single" w:sz="4" w:space="0" w:color="auto"/>
              <w:bottom w:val="single" w:sz="4" w:space="0" w:color="auto"/>
              <w:right w:val="single" w:sz="4" w:space="0" w:color="auto"/>
            </w:tcBorders>
            <w:vAlign w:val="center"/>
            <w:hideMark/>
          </w:tcPr>
          <w:p w:rsidR="006A4FDF" w:rsidRPr="00ED4380" w:rsidRDefault="006A4FDF" w:rsidP="00D92726">
            <w:pPr>
              <w:rPr>
                <w:rFonts w:ascii="Times New Roman" w:eastAsia="Times New Roman" w:hAnsi="Times New Roman" w:cs="Times New Roman"/>
                <w:b/>
                <w:bCs/>
                <w:color w:val="000000"/>
                <w:sz w:val="21"/>
                <w:szCs w:val="21"/>
              </w:rPr>
            </w:pPr>
          </w:p>
        </w:tc>
        <w:tc>
          <w:tcPr>
            <w:tcW w:w="1612" w:type="dxa"/>
            <w:tcBorders>
              <w:top w:val="nil"/>
              <w:left w:val="nil"/>
              <w:bottom w:val="single" w:sz="4" w:space="0" w:color="auto"/>
              <w:right w:val="single" w:sz="4" w:space="0" w:color="auto"/>
            </w:tcBorders>
            <w:shd w:val="clear" w:color="auto" w:fill="auto"/>
            <w:noWrap/>
            <w:vAlign w:val="center"/>
            <w:hideMark/>
          </w:tcPr>
          <w:p w:rsidR="006A4FDF" w:rsidRPr="00ED4380" w:rsidRDefault="006A4FDF" w:rsidP="00D92726">
            <w:pPr>
              <w:jc w:val="center"/>
              <w:rPr>
                <w:rFonts w:ascii="Times New Roman" w:eastAsia="Times New Roman" w:hAnsi="Times New Roman" w:cs="Times New Roman"/>
                <w:b/>
                <w:bCs/>
                <w:color w:val="000000"/>
                <w:sz w:val="21"/>
                <w:szCs w:val="21"/>
              </w:rPr>
            </w:pPr>
            <w:r w:rsidRPr="00ED4380">
              <w:rPr>
                <w:rFonts w:ascii="Times New Roman" w:eastAsia="Times New Roman" w:hAnsi="Times New Roman" w:cs="Times New Roman"/>
                <w:b/>
                <w:bCs/>
                <w:color w:val="000000"/>
                <w:sz w:val="21"/>
                <w:szCs w:val="21"/>
              </w:rPr>
              <w:t>Seguro Marítimo</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6A4FDF" w:rsidRPr="00ED4380" w:rsidRDefault="006A4FDF" w:rsidP="00D92726">
            <w:pPr>
              <w:jc w:val="center"/>
              <w:rPr>
                <w:rFonts w:ascii="Times New Roman" w:eastAsia="Times New Roman" w:hAnsi="Times New Roman" w:cs="Times New Roman"/>
                <w:color w:val="000000"/>
                <w:sz w:val="21"/>
                <w:szCs w:val="21"/>
              </w:rPr>
            </w:pPr>
            <w:r w:rsidRPr="00ED4380">
              <w:rPr>
                <w:rFonts w:ascii="Times New Roman" w:eastAsia="Times New Roman" w:hAnsi="Times New Roman" w:cs="Times New Roman"/>
                <w:color w:val="000000"/>
                <w:sz w:val="21"/>
                <w:szCs w:val="21"/>
              </w:rPr>
              <w:t xml:space="preserve">Resulta de aplicar la tasa de 0.0375 % a la sumatoria del precio FOB del producto y el flete marítimo.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6A4FDF" w:rsidRPr="00ED4380" w:rsidRDefault="006A4FDF" w:rsidP="00D92726">
            <w:pPr>
              <w:jc w:val="center"/>
              <w:rPr>
                <w:rFonts w:ascii="Times New Roman" w:eastAsia="Times New Roman" w:hAnsi="Times New Roman" w:cs="Times New Roman"/>
                <w:color w:val="000000"/>
                <w:sz w:val="21"/>
                <w:szCs w:val="21"/>
              </w:rPr>
            </w:pPr>
            <w:r w:rsidRPr="00ED4380">
              <w:rPr>
                <w:rFonts w:ascii="Times New Roman" w:eastAsia="Times New Roman" w:hAnsi="Times New Roman" w:cs="Times New Roman"/>
                <w:color w:val="000000"/>
                <w:sz w:val="21"/>
                <w:szCs w:val="21"/>
              </w:rPr>
              <w:t xml:space="preserve">Resulta de aplicar la tasa de 0.0375 % a la sumatoria del precio FOB del producto y el flete marítimo.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6A4FDF" w:rsidRPr="00ED4380" w:rsidRDefault="006A4FDF" w:rsidP="00D92726">
            <w:pPr>
              <w:jc w:val="center"/>
              <w:rPr>
                <w:rFonts w:ascii="Times New Roman" w:eastAsia="Times New Roman" w:hAnsi="Times New Roman" w:cs="Times New Roman"/>
                <w:color w:val="000000"/>
                <w:sz w:val="21"/>
                <w:szCs w:val="21"/>
              </w:rPr>
            </w:pPr>
            <w:r w:rsidRPr="00ED4380">
              <w:rPr>
                <w:rFonts w:ascii="Times New Roman" w:eastAsia="Times New Roman" w:hAnsi="Times New Roman" w:cs="Times New Roman"/>
                <w:color w:val="000000"/>
                <w:sz w:val="21"/>
                <w:szCs w:val="21"/>
              </w:rPr>
              <w:t xml:space="preserve">Resulta de aplicar la tasa de 0.0375 % a la sumatoria del precio FOB del producto y el flete marítimo. </w:t>
            </w:r>
          </w:p>
        </w:tc>
        <w:tc>
          <w:tcPr>
            <w:tcW w:w="1678" w:type="dxa"/>
            <w:gridSpan w:val="2"/>
            <w:tcBorders>
              <w:top w:val="single" w:sz="4" w:space="0" w:color="auto"/>
              <w:left w:val="nil"/>
              <w:bottom w:val="single" w:sz="4" w:space="0" w:color="auto"/>
              <w:right w:val="single" w:sz="4" w:space="0" w:color="auto"/>
            </w:tcBorders>
            <w:shd w:val="clear" w:color="auto" w:fill="auto"/>
            <w:vAlign w:val="center"/>
            <w:hideMark/>
          </w:tcPr>
          <w:p w:rsidR="006A4FDF" w:rsidRPr="00ED4380" w:rsidRDefault="006A4FDF" w:rsidP="00D92726">
            <w:pPr>
              <w:jc w:val="center"/>
              <w:rPr>
                <w:rFonts w:ascii="Times New Roman" w:eastAsia="Times New Roman" w:hAnsi="Times New Roman" w:cs="Times New Roman"/>
                <w:color w:val="000000"/>
                <w:sz w:val="21"/>
                <w:szCs w:val="21"/>
              </w:rPr>
            </w:pPr>
            <w:r w:rsidRPr="00ED4380">
              <w:rPr>
                <w:rFonts w:ascii="Times New Roman" w:eastAsia="Times New Roman" w:hAnsi="Times New Roman" w:cs="Times New Roman"/>
                <w:color w:val="000000"/>
                <w:sz w:val="21"/>
                <w:szCs w:val="21"/>
              </w:rPr>
              <w:t xml:space="preserve">Resulta de aplicar la tasa de 0.0375 % a la sumatoria del precio FOB del producto y el flete marítimo. </w:t>
            </w:r>
          </w:p>
        </w:tc>
      </w:tr>
      <w:tr w:rsidR="006A4FDF" w:rsidRPr="00ED4380" w:rsidTr="00D92726">
        <w:trPr>
          <w:trHeight w:val="1545"/>
        </w:trPr>
        <w:tc>
          <w:tcPr>
            <w:tcW w:w="373" w:type="dxa"/>
            <w:vMerge/>
            <w:tcBorders>
              <w:top w:val="single" w:sz="4" w:space="0" w:color="auto"/>
              <w:left w:val="single" w:sz="4" w:space="0" w:color="auto"/>
              <w:bottom w:val="single" w:sz="4" w:space="0" w:color="auto"/>
              <w:right w:val="single" w:sz="4" w:space="0" w:color="auto"/>
            </w:tcBorders>
            <w:vAlign w:val="center"/>
            <w:hideMark/>
          </w:tcPr>
          <w:p w:rsidR="006A4FDF" w:rsidRPr="00ED4380" w:rsidRDefault="006A4FDF" w:rsidP="00D92726">
            <w:pPr>
              <w:rPr>
                <w:rFonts w:ascii="Times New Roman" w:eastAsia="Times New Roman" w:hAnsi="Times New Roman" w:cs="Times New Roman"/>
                <w:b/>
                <w:bCs/>
                <w:color w:val="000000"/>
                <w:sz w:val="21"/>
                <w:szCs w:val="21"/>
              </w:rPr>
            </w:pPr>
          </w:p>
        </w:tc>
        <w:tc>
          <w:tcPr>
            <w:tcW w:w="1612" w:type="dxa"/>
            <w:tcBorders>
              <w:top w:val="nil"/>
              <w:left w:val="nil"/>
              <w:bottom w:val="single" w:sz="4" w:space="0" w:color="auto"/>
              <w:right w:val="single" w:sz="4" w:space="0" w:color="auto"/>
            </w:tcBorders>
            <w:shd w:val="clear" w:color="auto" w:fill="auto"/>
            <w:noWrap/>
            <w:vAlign w:val="center"/>
            <w:hideMark/>
          </w:tcPr>
          <w:p w:rsidR="006A4FDF" w:rsidRPr="00ED4380" w:rsidRDefault="006A4FDF" w:rsidP="00D92726">
            <w:pPr>
              <w:jc w:val="center"/>
              <w:rPr>
                <w:rFonts w:ascii="Times New Roman" w:eastAsia="Times New Roman" w:hAnsi="Times New Roman" w:cs="Times New Roman"/>
                <w:b/>
                <w:bCs/>
                <w:color w:val="000000"/>
                <w:sz w:val="21"/>
                <w:szCs w:val="21"/>
              </w:rPr>
            </w:pPr>
            <w:r w:rsidRPr="00ED4380">
              <w:rPr>
                <w:rFonts w:ascii="Times New Roman" w:eastAsia="Times New Roman" w:hAnsi="Times New Roman" w:cs="Times New Roman"/>
                <w:b/>
                <w:bCs/>
                <w:color w:val="000000"/>
                <w:sz w:val="21"/>
                <w:szCs w:val="21"/>
              </w:rPr>
              <w:t>Pérdidas en tránsito</w:t>
            </w:r>
          </w:p>
        </w:tc>
        <w:tc>
          <w:tcPr>
            <w:tcW w:w="1843" w:type="dxa"/>
            <w:tcBorders>
              <w:top w:val="nil"/>
              <w:left w:val="nil"/>
              <w:bottom w:val="single" w:sz="4" w:space="0" w:color="auto"/>
              <w:right w:val="single" w:sz="4" w:space="0" w:color="auto"/>
            </w:tcBorders>
            <w:shd w:val="clear" w:color="auto" w:fill="auto"/>
            <w:vAlign w:val="center"/>
            <w:hideMark/>
          </w:tcPr>
          <w:p w:rsidR="006A4FDF" w:rsidRPr="00ED4380" w:rsidRDefault="006A4FDF" w:rsidP="00D92726">
            <w:pPr>
              <w:jc w:val="center"/>
              <w:rPr>
                <w:rFonts w:ascii="Times New Roman" w:eastAsia="Times New Roman" w:hAnsi="Times New Roman" w:cs="Times New Roman"/>
                <w:color w:val="000000"/>
                <w:sz w:val="21"/>
                <w:szCs w:val="21"/>
              </w:rPr>
            </w:pPr>
            <w:r w:rsidRPr="00ED4380">
              <w:rPr>
                <w:rFonts w:ascii="Times New Roman" w:eastAsia="Times New Roman" w:hAnsi="Times New Roman" w:cs="Times New Roman"/>
                <w:color w:val="000000"/>
                <w:sz w:val="21"/>
                <w:szCs w:val="21"/>
              </w:rPr>
              <w:t>Resultan de aplicar la tasa de 0.13% a la sumatoria del precio FOB del producto, el flete marítimo y el seguro marítimo.</w:t>
            </w:r>
          </w:p>
        </w:tc>
        <w:tc>
          <w:tcPr>
            <w:tcW w:w="1701" w:type="dxa"/>
            <w:tcBorders>
              <w:top w:val="nil"/>
              <w:left w:val="nil"/>
              <w:bottom w:val="single" w:sz="4" w:space="0" w:color="auto"/>
              <w:right w:val="single" w:sz="4" w:space="0" w:color="auto"/>
            </w:tcBorders>
            <w:shd w:val="clear" w:color="auto" w:fill="auto"/>
            <w:vAlign w:val="center"/>
            <w:hideMark/>
          </w:tcPr>
          <w:p w:rsidR="006A4FDF" w:rsidRPr="00ED4380" w:rsidRDefault="006A4FDF" w:rsidP="00D92726">
            <w:pPr>
              <w:jc w:val="center"/>
              <w:rPr>
                <w:rFonts w:ascii="Times New Roman" w:eastAsia="Times New Roman" w:hAnsi="Times New Roman" w:cs="Times New Roman"/>
                <w:color w:val="000000"/>
                <w:sz w:val="21"/>
                <w:szCs w:val="21"/>
              </w:rPr>
            </w:pPr>
            <w:r w:rsidRPr="00ED4380">
              <w:rPr>
                <w:rFonts w:ascii="Times New Roman" w:eastAsia="Times New Roman" w:hAnsi="Times New Roman" w:cs="Times New Roman"/>
                <w:color w:val="000000"/>
                <w:sz w:val="21"/>
                <w:szCs w:val="21"/>
              </w:rPr>
              <w:t>Resultan de aplicar la tasa de 0.13% a la sumatoria del precio FOB del producto, el flete marítimo y el seguro marítimo.</w:t>
            </w:r>
          </w:p>
        </w:tc>
        <w:tc>
          <w:tcPr>
            <w:tcW w:w="1701" w:type="dxa"/>
            <w:tcBorders>
              <w:top w:val="nil"/>
              <w:left w:val="nil"/>
              <w:bottom w:val="single" w:sz="4" w:space="0" w:color="auto"/>
              <w:right w:val="single" w:sz="4" w:space="0" w:color="auto"/>
            </w:tcBorders>
            <w:shd w:val="clear" w:color="auto" w:fill="auto"/>
            <w:vAlign w:val="center"/>
            <w:hideMark/>
          </w:tcPr>
          <w:p w:rsidR="006A4FDF" w:rsidRPr="00ED4380" w:rsidRDefault="006A4FDF" w:rsidP="00D92726">
            <w:pPr>
              <w:jc w:val="center"/>
              <w:rPr>
                <w:rFonts w:ascii="Times New Roman" w:eastAsia="Times New Roman" w:hAnsi="Times New Roman" w:cs="Times New Roman"/>
                <w:color w:val="000000"/>
                <w:sz w:val="21"/>
                <w:szCs w:val="21"/>
              </w:rPr>
            </w:pPr>
            <w:r w:rsidRPr="00ED4380">
              <w:rPr>
                <w:rFonts w:ascii="Times New Roman" w:eastAsia="Times New Roman" w:hAnsi="Times New Roman" w:cs="Times New Roman"/>
                <w:color w:val="000000"/>
                <w:sz w:val="21"/>
                <w:szCs w:val="21"/>
              </w:rPr>
              <w:t>Resultan de aplicar la tasa de 0.13% a la sumatoria del precio FOB del producto, el flete marítimo y el seguro marítimo.</w:t>
            </w:r>
          </w:p>
        </w:tc>
        <w:tc>
          <w:tcPr>
            <w:tcW w:w="1678" w:type="dxa"/>
            <w:gridSpan w:val="2"/>
            <w:tcBorders>
              <w:top w:val="nil"/>
              <w:left w:val="nil"/>
              <w:bottom w:val="single" w:sz="4" w:space="0" w:color="auto"/>
              <w:right w:val="single" w:sz="4" w:space="0" w:color="auto"/>
            </w:tcBorders>
            <w:shd w:val="clear" w:color="auto" w:fill="auto"/>
            <w:vAlign w:val="center"/>
            <w:hideMark/>
          </w:tcPr>
          <w:p w:rsidR="006A4FDF" w:rsidRPr="00ED4380" w:rsidRDefault="006A4FDF" w:rsidP="00D92726">
            <w:pPr>
              <w:jc w:val="center"/>
              <w:rPr>
                <w:rFonts w:ascii="Times New Roman" w:eastAsia="Times New Roman" w:hAnsi="Times New Roman" w:cs="Times New Roman"/>
                <w:color w:val="000000"/>
                <w:sz w:val="21"/>
                <w:szCs w:val="21"/>
              </w:rPr>
            </w:pPr>
            <w:r w:rsidRPr="00ED4380">
              <w:rPr>
                <w:rFonts w:ascii="Times New Roman" w:eastAsia="Times New Roman" w:hAnsi="Times New Roman" w:cs="Times New Roman"/>
                <w:color w:val="000000"/>
                <w:sz w:val="21"/>
                <w:szCs w:val="21"/>
              </w:rPr>
              <w:t>Resultan de aplicar la tasa de 0.13% a la sumatoria del precio FOB del producto, el flete marítimo y el seguro marítimo.</w:t>
            </w:r>
          </w:p>
        </w:tc>
      </w:tr>
      <w:tr w:rsidR="006A4FDF" w:rsidRPr="00ED4380" w:rsidTr="00D92726">
        <w:trPr>
          <w:trHeight w:val="555"/>
        </w:trPr>
        <w:tc>
          <w:tcPr>
            <w:tcW w:w="373" w:type="dxa"/>
            <w:tcBorders>
              <w:top w:val="nil"/>
              <w:left w:val="single" w:sz="4" w:space="0" w:color="auto"/>
              <w:bottom w:val="single" w:sz="4" w:space="0" w:color="auto"/>
              <w:right w:val="single" w:sz="4" w:space="0" w:color="auto"/>
            </w:tcBorders>
            <w:shd w:val="clear" w:color="auto" w:fill="auto"/>
            <w:noWrap/>
            <w:vAlign w:val="bottom"/>
            <w:hideMark/>
          </w:tcPr>
          <w:p w:rsidR="006A4FDF" w:rsidRPr="00ED4380" w:rsidRDefault="006A4FDF" w:rsidP="00D92726">
            <w:pPr>
              <w:rPr>
                <w:rFonts w:ascii="Times New Roman" w:eastAsia="Times New Roman" w:hAnsi="Times New Roman" w:cs="Times New Roman"/>
                <w:color w:val="000000"/>
                <w:sz w:val="21"/>
                <w:szCs w:val="21"/>
              </w:rPr>
            </w:pPr>
            <w:r w:rsidRPr="00ED4380">
              <w:rPr>
                <w:rFonts w:ascii="Times New Roman" w:eastAsia="Times New Roman" w:hAnsi="Times New Roman" w:cs="Times New Roman"/>
                <w:color w:val="000000"/>
                <w:sz w:val="21"/>
                <w:szCs w:val="21"/>
              </w:rPr>
              <w:t> </w:t>
            </w:r>
          </w:p>
        </w:tc>
        <w:tc>
          <w:tcPr>
            <w:tcW w:w="1612" w:type="dxa"/>
            <w:tcBorders>
              <w:top w:val="nil"/>
              <w:left w:val="nil"/>
              <w:bottom w:val="single" w:sz="4" w:space="0" w:color="auto"/>
              <w:right w:val="single" w:sz="4" w:space="0" w:color="auto"/>
            </w:tcBorders>
            <w:shd w:val="clear" w:color="auto" w:fill="auto"/>
            <w:noWrap/>
            <w:vAlign w:val="center"/>
            <w:hideMark/>
          </w:tcPr>
          <w:p w:rsidR="006A4FDF" w:rsidRPr="00ED4380" w:rsidRDefault="006A4FDF" w:rsidP="00D92726">
            <w:pPr>
              <w:jc w:val="center"/>
              <w:rPr>
                <w:rFonts w:ascii="Times New Roman" w:eastAsia="Times New Roman" w:hAnsi="Times New Roman" w:cs="Times New Roman"/>
                <w:b/>
                <w:bCs/>
                <w:color w:val="000000"/>
                <w:sz w:val="21"/>
                <w:szCs w:val="21"/>
              </w:rPr>
            </w:pPr>
            <w:r w:rsidRPr="00ED4380">
              <w:rPr>
                <w:rFonts w:ascii="Times New Roman" w:eastAsia="Times New Roman" w:hAnsi="Times New Roman" w:cs="Times New Roman"/>
                <w:b/>
                <w:bCs/>
                <w:color w:val="000000"/>
                <w:sz w:val="21"/>
                <w:szCs w:val="21"/>
              </w:rPr>
              <w:t>Costo de internación</w:t>
            </w:r>
          </w:p>
        </w:tc>
        <w:tc>
          <w:tcPr>
            <w:tcW w:w="1843" w:type="dxa"/>
            <w:tcBorders>
              <w:top w:val="nil"/>
              <w:left w:val="nil"/>
              <w:bottom w:val="single" w:sz="4" w:space="0" w:color="auto"/>
              <w:right w:val="single" w:sz="4" w:space="0" w:color="auto"/>
            </w:tcBorders>
            <w:shd w:val="clear" w:color="auto" w:fill="auto"/>
            <w:noWrap/>
            <w:vAlign w:val="center"/>
            <w:hideMark/>
          </w:tcPr>
          <w:p w:rsidR="006A4FDF" w:rsidRPr="00ED4380" w:rsidRDefault="006A4FDF" w:rsidP="00D92726">
            <w:pPr>
              <w:jc w:val="center"/>
              <w:rPr>
                <w:rFonts w:ascii="Times New Roman" w:eastAsia="Times New Roman" w:hAnsi="Times New Roman" w:cs="Times New Roman"/>
                <w:color w:val="000000"/>
                <w:sz w:val="21"/>
                <w:szCs w:val="21"/>
              </w:rPr>
            </w:pPr>
            <w:r w:rsidRPr="00ED4380">
              <w:rPr>
                <w:rFonts w:ascii="Times New Roman" w:eastAsia="Times New Roman" w:hAnsi="Times New Roman" w:cs="Times New Roman"/>
                <w:color w:val="000000"/>
                <w:sz w:val="21"/>
                <w:szCs w:val="21"/>
              </w:rPr>
              <w:t>$0.0300</w:t>
            </w:r>
          </w:p>
        </w:tc>
        <w:tc>
          <w:tcPr>
            <w:tcW w:w="1701" w:type="dxa"/>
            <w:tcBorders>
              <w:top w:val="nil"/>
              <w:left w:val="nil"/>
              <w:bottom w:val="single" w:sz="4" w:space="0" w:color="auto"/>
              <w:right w:val="single" w:sz="4" w:space="0" w:color="auto"/>
            </w:tcBorders>
            <w:shd w:val="clear" w:color="auto" w:fill="auto"/>
            <w:noWrap/>
            <w:vAlign w:val="center"/>
            <w:hideMark/>
          </w:tcPr>
          <w:p w:rsidR="006A4FDF" w:rsidRPr="00ED4380" w:rsidRDefault="006A4FDF" w:rsidP="00D92726">
            <w:pPr>
              <w:jc w:val="center"/>
              <w:rPr>
                <w:rFonts w:ascii="Times New Roman" w:eastAsia="Times New Roman" w:hAnsi="Times New Roman" w:cs="Times New Roman"/>
                <w:color w:val="000000"/>
                <w:sz w:val="21"/>
                <w:szCs w:val="21"/>
              </w:rPr>
            </w:pPr>
            <w:r w:rsidRPr="00ED4380">
              <w:rPr>
                <w:rFonts w:ascii="Times New Roman" w:eastAsia="Times New Roman" w:hAnsi="Times New Roman" w:cs="Times New Roman"/>
                <w:color w:val="000000"/>
                <w:sz w:val="21"/>
                <w:szCs w:val="21"/>
              </w:rPr>
              <w:t>$0.0300</w:t>
            </w:r>
          </w:p>
        </w:tc>
        <w:tc>
          <w:tcPr>
            <w:tcW w:w="1701" w:type="dxa"/>
            <w:tcBorders>
              <w:top w:val="nil"/>
              <w:left w:val="nil"/>
              <w:bottom w:val="single" w:sz="4" w:space="0" w:color="auto"/>
              <w:right w:val="single" w:sz="4" w:space="0" w:color="auto"/>
            </w:tcBorders>
            <w:shd w:val="clear" w:color="auto" w:fill="auto"/>
            <w:noWrap/>
            <w:vAlign w:val="center"/>
            <w:hideMark/>
          </w:tcPr>
          <w:p w:rsidR="006A4FDF" w:rsidRPr="00ED4380" w:rsidRDefault="006A4FDF" w:rsidP="00D92726">
            <w:pPr>
              <w:jc w:val="center"/>
              <w:rPr>
                <w:rFonts w:ascii="Times New Roman" w:eastAsia="Times New Roman" w:hAnsi="Times New Roman" w:cs="Times New Roman"/>
                <w:color w:val="000000"/>
                <w:sz w:val="21"/>
                <w:szCs w:val="21"/>
              </w:rPr>
            </w:pPr>
            <w:r w:rsidRPr="00ED4380">
              <w:rPr>
                <w:rFonts w:ascii="Times New Roman" w:eastAsia="Times New Roman" w:hAnsi="Times New Roman" w:cs="Times New Roman"/>
                <w:color w:val="000000"/>
                <w:sz w:val="21"/>
                <w:szCs w:val="21"/>
              </w:rPr>
              <w:t>$0.0300</w:t>
            </w:r>
          </w:p>
        </w:tc>
        <w:tc>
          <w:tcPr>
            <w:tcW w:w="1678" w:type="dxa"/>
            <w:gridSpan w:val="2"/>
            <w:tcBorders>
              <w:top w:val="nil"/>
              <w:left w:val="nil"/>
              <w:bottom w:val="single" w:sz="4" w:space="0" w:color="auto"/>
              <w:right w:val="single" w:sz="4" w:space="0" w:color="auto"/>
            </w:tcBorders>
            <w:shd w:val="clear" w:color="auto" w:fill="auto"/>
            <w:noWrap/>
            <w:vAlign w:val="center"/>
            <w:hideMark/>
          </w:tcPr>
          <w:p w:rsidR="006A4FDF" w:rsidRPr="00ED4380" w:rsidRDefault="006A4FDF" w:rsidP="00D92726">
            <w:pPr>
              <w:jc w:val="center"/>
              <w:rPr>
                <w:rFonts w:ascii="Times New Roman" w:eastAsia="Times New Roman" w:hAnsi="Times New Roman" w:cs="Times New Roman"/>
                <w:color w:val="000000"/>
                <w:sz w:val="21"/>
                <w:szCs w:val="21"/>
              </w:rPr>
            </w:pPr>
            <w:r w:rsidRPr="00ED4380">
              <w:rPr>
                <w:rFonts w:ascii="Times New Roman" w:eastAsia="Times New Roman" w:hAnsi="Times New Roman" w:cs="Times New Roman"/>
                <w:color w:val="000000"/>
                <w:sz w:val="21"/>
                <w:szCs w:val="21"/>
              </w:rPr>
              <w:t>$0.0300</w:t>
            </w:r>
          </w:p>
        </w:tc>
      </w:tr>
      <w:tr w:rsidR="006A4FDF" w:rsidRPr="00ED4380" w:rsidTr="00D92726">
        <w:trPr>
          <w:trHeight w:val="510"/>
        </w:trPr>
        <w:tc>
          <w:tcPr>
            <w:tcW w:w="373"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rsidR="006A4FDF" w:rsidRPr="00ED4380" w:rsidRDefault="006A4FDF" w:rsidP="00D92726">
            <w:pPr>
              <w:jc w:val="center"/>
              <w:rPr>
                <w:rFonts w:ascii="Times New Roman" w:eastAsia="Times New Roman" w:hAnsi="Times New Roman" w:cs="Times New Roman"/>
                <w:b/>
                <w:bCs/>
                <w:color w:val="000000"/>
                <w:sz w:val="21"/>
                <w:szCs w:val="21"/>
              </w:rPr>
            </w:pPr>
            <w:r w:rsidRPr="00ED4380">
              <w:rPr>
                <w:rFonts w:ascii="Times New Roman" w:eastAsia="Times New Roman" w:hAnsi="Times New Roman" w:cs="Times New Roman"/>
                <w:b/>
                <w:bCs/>
                <w:color w:val="000000"/>
                <w:sz w:val="21"/>
                <w:szCs w:val="21"/>
              </w:rPr>
              <w:t>Márgenes</w:t>
            </w:r>
          </w:p>
        </w:tc>
        <w:tc>
          <w:tcPr>
            <w:tcW w:w="1612" w:type="dxa"/>
            <w:tcBorders>
              <w:top w:val="nil"/>
              <w:left w:val="nil"/>
              <w:bottom w:val="single" w:sz="4" w:space="0" w:color="auto"/>
              <w:right w:val="single" w:sz="4" w:space="0" w:color="auto"/>
            </w:tcBorders>
            <w:shd w:val="clear" w:color="auto" w:fill="auto"/>
            <w:noWrap/>
            <w:vAlign w:val="center"/>
            <w:hideMark/>
          </w:tcPr>
          <w:p w:rsidR="006A4FDF" w:rsidRPr="00ED4380" w:rsidRDefault="006A4FDF" w:rsidP="00D92726">
            <w:pPr>
              <w:jc w:val="center"/>
              <w:rPr>
                <w:rFonts w:ascii="Times New Roman" w:eastAsia="Times New Roman" w:hAnsi="Times New Roman" w:cs="Times New Roman"/>
                <w:b/>
                <w:bCs/>
                <w:color w:val="000000"/>
                <w:sz w:val="21"/>
                <w:szCs w:val="21"/>
              </w:rPr>
            </w:pPr>
            <w:r w:rsidRPr="00ED4380">
              <w:rPr>
                <w:rFonts w:ascii="Times New Roman" w:eastAsia="Times New Roman" w:hAnsi="Times New Roman" w:cs="Times New Roman"/>
                <w:b/>
                <w:bCs/>
                <w:color w:val="000000"/>
                <w:sz w:val="21"/>
                <w:szCs w:val="21"/>
              </w:rPr>
              <w:t>Margen minorista</w:t>
            </w:r>
          </w:p>
        </w:tc>
        <w:tc>
          <w:tcPr>
            <w:tcW w:w="1843" w:type="dxa"/>
            <w:tcBorders>
              <w:top w:val="nil"/>
              <w:left w:val="nil"/>
              <w:bottom w:val="single" w:sz="4" w:space="0" w:color="auto"/>
              <w:right w:val="single" w:sz="4" w:space="0" w:color="auto"/>
            </w:tcBorders>
            <w:shd w:val="clear" w:color="auto" w:fill="auto"/>
            <w:vAlign w:val="center"/>
            <w:hideMark/>
          </w:tcPr>
          <w:p w:rsidR="006A4FDF" w:rsidRPr="00ED4380" w:rsidRDefault="006A4FDF" w:rsidP="00D92726">
            <w:pPr>
              <w:jc w:val="center"/>
              <w:rPr>
                <w:rFonts w:ascii="Times New Roman" w:eastAsia="Times New Roman" w:hAnsi="Times New Roman" w:cs="Times New Roman"/>
                <w:color w:val="000000"/>
                <w:sz w:val="21"/>
                <w:szCs w:val="21"/>
              </w:rPr>
            </w:pPr>
            <w:r w:rsidRPr="00ED4380">
              <w:rPr>
                <w:rFonts w:ascii="Times New Roman" w:eastAsia="Times New Roman" w:hAnsi="Times New Roman" w:cs="Times New Roman"/>
                <w:color w:val="000000"/>
                <w:sz w:val="21"/>
                <w:szCs w:val="21"/>
              </w:rPr>
              <w:t>CONFIDENCIAL</w:t>
            </w:r>
          </w:p>
        </w:tc>
        <w:tc>
          <w:tcPr>
            <w:tcW w:w="1701" w:type="dxa"/>
            <w:tcBorders>
              <w:top w:val="nil"/>
              <w:left w:val="nil"/>
              <w:bottom w:val="single" w:sz="4" w:space="0" w:color="auto"/>
              <w:right w:val="single" w:sz="4" w:space="0" w:color="auto"/>
            </w:tcBorders>
            <w:shd w:val="clear" w:color="auto" w:fill="auto"/>
            <w:vAlign w:val="center"/>
            <w:hideMark/>
          </w:tcPr>
          <w:p w:rsidR="006A4FDF" w:rsidRPr="00ED4380" w:rsidRDefault="006A4FDF" w:rsidP="00D92726">
            <w:pPr>
              <w:jc w:val="center"/>
              <w:rPr>
                <w:rFonts w:ascii="Times New Roman" w:eastAsia="Times New Roman" w:hAnsi="Times New Roman" w:cs="Times New Roman"/>
                <w:color w:val="000000"/>
                <w:sz w:val="21"/>
                <w:szCs w:val="21"/>
              </w:rPr>
            </w:pPr>
            <w:r w:rsidRPr="00ED4380">
              <w:rPr>
                <w:rFonts w:ascii="Times New Roman" w:eastAsia="Times New Roman" w:hAnsi="Times New Roman" w:cs="Times New Roman"/>
                <w:color w:val="000000"/>
                <w:sz w:val="21"/>
                <w:szCs w:val="21"/>
              </w:rPr>
              <w:t>CONFIDENCIAL</w:t>
            </w:r>
          </w:p>
        </w:tc>
        <w:tc>
          <w:tcPr>
            <w:tcW w:w="1701" w:type="dxa"/>
            <w:tcBorders>
              <w:top w:val="nil"/>
              <w:left w:val="nil"/>
              <w:bottom w:val="single" w:sz="4" w:space="0" w:color="auto"/>
              <w:right w:val="single" w:sz="4" w:space="0" w:color="auto"/>
            </w:tcBorders>
            <w:shd w:val="clear" w:color="auto" w:fill="auto"/>
            <w:vAlign w:val="center"/>
            <w:hideMark/>
          </w:tcPr>
          <w:p w:rsidR="006A4FDF" w:rsidRPr="00ED4380" w:rsidRDefault="006A4FDF" w:rsidP="00D92726">
            <w:pPr>
              <w:jc w:val="center"/>
              <w:rPr>
                <w:rFonts w:ascii="Times New Roman" w:eastAsia="Times New Roman" w:hAnsi="Times New Roman" w:cs="Times New Roman"/>
                <w:color w:val="000000"/>
                <w:sz w:val="21"/>
                <w:szCs w:val="21"/>
              </w:rPr>
            </w:pPr>
            <w:r w:rsidRPr="00ED4380">
              <w:rPr>
                <w:rFonts w:ascii="Times New Roman" w:eastAsia="Times New Roman" w:hAnsi="Times New Roman" w:cs="Times New Roman"/>
                <w:color w:val="000000"/>
                <w:sz w:val="21"/>
                <w:szCs w:val="21"/>
              </w:rPr>
              <w:t>CONFIDENCIAL</w:t>
            </w:r>
          </w:p>
        </w:tc>
        <w:tc>
          <w:tcPr>
            <w:tcW w:w="1678" w:type="dxa"/>
            <w:gridSpan w:val="2"/>
            <w:tcBorders>
              <w:top w:val="nil"/>
              <w:left w:val="nil"/>
              <w:bottom w:val="single" w:sz="4" w:space="0" w:color="auto"/>
              <w:right w:val="single" w:sz="4" w:space="0" w:color="auto"/>
            </w:tcBorders>
            <w:shd w:val="clear" w:color="auto" w:fill="auto"/>
            <w:vAlign w:val="center"/>
            <w:hideMark/>
          </w:tcPr>
          <w:p w:rsidR="006A4FDF" w:rsidRPr="00ED4380" w:rsidRDefault="006A4FDF" w:rsidP="00D92726">
            <w:pPr>
              <w:jc w:val="center"/>
              <w:rPr>
                <w:rFonts w:ascii="Times New Roman" w:eastAsia="Times New Roman" w:hAnsi="Times New Roman" w:cs="Times New Roman"/>
                <w:color w:val="000000"/>
                <w:sz w:val="21"/>
                <w:szCs w:val="21"/>
              </w:rPr>
            </w:pPr>
            <w:r w:rsidRPr="00ED4380">
              <w:rPr>
                <w:rFonts w:ascii="Times New Roman" w:eastAsia="Times New Roman" w:hAnsi="Times New Roman" w:cs="Times New Roman"/>
                <w:color w:val="000000"/>
                <w:sz w:val="21"/>
                <w:szCs w:val="21"/>
              </w:rPr>
              <w:t>CONFIDENCIAL</w:t>
            </w:r>
          </w:p>
        </w:tc>
      </w:tr>
      <w:tr w:rsidR="006A4FDF" w:rsidRPr="00ED4380" w:rsidTr="00D92726">
        <w:trPr>
          <w:trHeight w:val="525"/>
        </w:trPr>
        <w:tc>
          <w:tcPr>
            <w:tcW w:w="373" w:type="dxa"/>
            <w:vMerge/>
            <w:tcBorders>
              <w:top w:val="nil"/>
              <w:left w:val="single" w:sz="4" w:space="0" w:color="auto"/>
              <w:bottom w:val="single" w:sz="4" w:space="0" w:color="auto"/>
              <w:right w:val="single" w:sz="4" w:space="0" w:color="auto"/>
            </w:tcBorders>
            <w:vAlign w:val="center"/>
            <w:hideMark/>
          </w:tcPr>
          <w:p w:rsidR="006A4FDF" w:rsidRPr="00ED4380" w:rsidRDefault="006A4FDF" w:rsidP="00D92726">
            <w:pPr>
              <w:rPr>
                <w:rFonts w:ascii="Times New Roman" w:eastAsia="Times New Roman" w:hAnsi="Times New Roman" w:cs="Times New Roman"/>
                <w:b/>
                <w:bCs/>
                <w:color w:val="000000"/>
                <w:sz w:val="21"/>
                <w:szCs w:val="21"/>
              </w:rPr>
            </w:pPr>
          </w:p>
        </w:tc>
        <w:tc>
          <w:tcPr>
            <w:tcW w:w="1612" w:type="dxa"/>
            <w:tcBorders>
              <w:top w:val="nil"/>
              <w:left w:val="nil"/>
              <w:bottom w:val="single" w:sz="4" w:space="0" w:color="auto"/>
              <w:right w:val="single" w:sz="4" w:space="0" w:color="auto"/>
            </w:tcBorders>
            <w:shd w:val="clear" w:color="auto" w:fill="auto"/>
            <w:noWrap/>
            <w:vAlign w:val="center"/>
            <w:hideMark/>
          </w:tcPr>
          <w:p w:rsidR="006A4FDF" w:rsidRPr="00ED4380" w:rsidRDefault="006A4FDF" w:rsidP="00D92726">
            <w:pPr>
              <w:jc w:val="center"/>
              <w:rPr>
                <w:rFonts w:ascii="Times New Roman" w:eastAsia="Times New Roman" w:hAnsi="Times New Roman" w:cs="Times New Roman"/>
                <w:b/>
                <w:bCs/>
                <w:color w:val="000000"/>
                <w:sz w:val="21"/>
                <w:szCs w:val="21"/>
              </w:rPr>
            </w:pPr>
            <w:r w:rsidRPr="00ED4380">
              <w:rPr>
                <w:rFonts w:ascii="Times New Roman" w:eastAsia="Times New Roman" w:hAnsi="Times New Roman" w:cs="Times New Roman"/>
                <w:b/>
                <w:bCs/>
                <w:color w:val="000000"/>
                <w:sz w:val="21"/>
                <w:szCs w:val="21"/>
              </w:rPr>
              <w:t>Margen mayorista</w:t>
            </w:r>
          </w:p>
        </w:tc>
        <w:tc>
          <w:tcPr>
            <w:tcW w:w="1843" w:type="dxa"/>
            <w:tcBorders>
              <w:top w:val="nil"/>
              <w:left w:val="nil"/>
              <w:bottom w:val="single" w:sz="4" w:space="0" w:color="auto"/>
              <w:right w:val="single" w:sz="4" w:space="0" w:color="auto"/>
            </w:tcBorders>
            <w:shd w:val="clear" w:color="auto" w:fill="auto"/>
            <w:vAlign w:val="center"/>
            <w:hideMark/>
          </w:tcPr>
          <w:p w:rsidR="006A4FDF" w:rsidRPr="00ED4380" w:rsidRDefault="006A4FDF" w:rsidP="00D92726">
            <w:pPr>
              <w:jc w:val="center"/>
              <w:rPr>
                <w:rFonts w:ascii="Times New Roman" w:eastAsia="Times New Roman" w:hAnsi="Times New Roman" w:cs="Times New Roman"/>
                <w:color w:val="000000"/>
                <w:sz w:val="21"/>
                <w:szCs w:val="21"/>
              </w:rPr>
            </w:pPr>
            <w:r w:rsidRPr="00ED4380">
              <w:rPr>
                <w:rFonts w:ascii="Times New Roman" w:eastAsia="Times New Roman" w:hAnsi="Times New Roman" w:cs="Times New Roman"/>
                <w:color w:val="000000"/>
                <w:sz w:val="21"/>
                <w:szCs w:val="21"/>
              </w:rPr>
              <w:t>CONFIDENCIAL</w:t>
            </w:r>
          </w:p>
        </w:tc>
        <w:tc>
          <w:tcPr>
            <w:tcW w:w="1701" w:type="dxa"/>
            <w:tcBorders>
              <w:top w:val="nil"/>
              <w:left w:val="nil"/>
              <w:bottom w:val="single" w:sz="4" w:space="0" w:color="auto"/>
              <w:right w:val="single" w:sz="4" w:space="0" w:color="auto"/>
            </w:tcBorders>
            <w:shd w:val="clear" w:color="auto" w:fill="auto"/>
            <w:vAlign w:val="center"/>
            <w:hideMark/>
          </w:tcPr>
          <w:p w:rsidR="006A4FDF" w:rsidRPr="00ED4380" w:rsidRDefault="006A4FDF" w:rsidP="00D92726">
            <w:pPr>
              <w:jc w:val="center"/>
              <w:rPr>
                <w:rFonts w:ascii="Times New Roman" w:eastAsia="Times New Roman" w:hAnsi="Times New Roman" w:cs="Times New Roman"/>
                <w:color w:val="000000"/>
                <w:sz w:val="21"/>
                <w:szCs w:val="21"/>
              </w:rPr>
            </w:pPr>
            <w:r w:rsidRPr="00ED4380">
              <w:rPr>
                <w:rFonts w:ascii="Times New Roman" w:eastAsia="Times New Roman" w:hAnsi="Times New Roman" w:cs="Times New Roman"/>
                <w:color w:val="000000"/>
                <w:sz w:val="21"/>
                <w:szCs w:val="21"/>
              </w:rPr>
              <w:t>CONFIDENCIAL</w:t>
            </w:r>
          </w:p>
        </w:tc>
        <w:tc>
          <w:tcPr>
            <w:tcW w:w="1701" w:type="dxa"/>
            <w:tcBorders>
              <w:top w:val="nil"/>
              <w:left w:val="nil"/>
              <w:bottom w:val="single" w:sz="4" w:space="0" w:color="auto"/>
              <w:right w:val="single" w:sz="4" w:space="0" w:color="auto"/>
            </w:tcBorders>
            <w:shd w:val="clear" w:color="auto" w:fill="auto"/>
            <w:vAlign w:val="center"/>
            <w:hideMark/>
          </w:tcPr>
          <w:p w:rsidR="006A4FDF" w:rsidRPr="00ED4380" w:rsidRDefault="006A4FDF" w:rsidP="00D92726">
            <w:pPr>
              <w:jc w:val="center"/>
              <w:rPr>
                <w:rFonts w:ascii="Times New Roman" w:eastAsia="Times New Roman" w:hAnsi="Times New Roman" w:cs="Times New Roman"/>
                <w:color w:val="000000"/>
                <w:sz w:val="21"/>
                <w:szCs w:val="21"/>
              </w:rPr>
            </w:pPr>
            <w:r w:rsidRPr="00ED4380">
              <w:rPr>
                <w:rFonts w:ascii="Times New Roman" w:eastAsia="Times New Roman" w:hAnsi="Times New Roman" w:cs="Times New Roman"/>
                <w:color w:val="000000"/>
                <w:sz w:val="21"/>
                <w:szCs w:val="21"/>
              </w:rPr>
              <w:t>CONFIDENCIAL</w:t>
            </w:r>
          </w:p>
        </w:tc>
        <w:tc>
          <w:tcPr>
            <w:tcW w:w="1678" w:type="dxa"/>
            <w:gridSpan w:val="2"/>
            <w:tcBorders>
              <w:top w:val="nil"/>
              <w:left w:val="nil"/>
              <w:bottom w:val="single" w:sz="4" w:space="0" w:color="auto"/>
              <w:right w:val="single" w:sz="4" w:space="0" w:color="auto"/>
            </w:tcBorders>
            <w:shd w:val="clear" w:color="auto" w:fill="auto"/>
            <w:vAlign w:val="center"/>
            <w:hideMark/>
          </w:tcPr>
          <w:p w:rsidR="006A4FDF" w:rsidRPr="00ED4380" w:rsidRDefault="006A4FDF" w:rsidP="00D92726">
            <w:pPr>
              <w:jc w:val="center"/>
              <w:rPr>
                <w:rFonts w:ascii="Times New Roman" w:eastAsia="Times New Roman" w:hAnsi="Times New Roman" w:cs="Times New Roman"/>
                <w:color w:val="000000"/>
                <w:sz w:val="21"/>
                <w:szCs w:val="21"/>
              </w:rPr>
            </w:pPr>
            <w:r w:rsidRPr="00ED4380">
              <w:rPr>
                <w:rFonts w:ascii="Times New Roman" w:eastAsia="Times New Roman" w:hAnsi="Times New Roman" w:cs="Times New Roman"/>
                <w:color w:val="000000"/>
                <w:sz w:val="21"/>
                <w:szCs w:val="21"/>
              </w:rPr>
              <w:t>CONFIDENCIAL</w:t>
            </w:r>
          </w:p>
        </w:tc>
      </w:tr>
      <w:tr w:rsidR="006A4FDF" w:rsidRPr="00ED4380" w:rsidTr="00D92726">
        <w:trPr>
          <w:trHeight w:val="570"/>
        </w:trPr>
        <w:tc>
          <w:tcPr>
            <w:tcW w:w="373" w:type="dxa"/>
            <w:tcBorders>
              <w:top w:val="nil"/>
              <w:left w:val="single" w:sz="4" w:space="0" w:color="auto"/>
              <w:bottom w:val="single" w:sz="4" w:space="0" w:color="auto"/>
              <w:right w:val="single" w:sz="4" w:space="0" w:color="auto"/>
            </w:tcBorders>
            <w:shd w:val="clear" w:color="auto" w:fill="auto"/>
            <w:noWrap/>
            <w:vAlign w:val="bottom"/>
            <w:hideMark/>
          </w:tcPr>
          <w:p w:rsidR="006A4FDF" w:rsidRPr="00ED4380" w:rsidRDefault="006A4FDF" w:rsidP="00D92726">
            <w:pPr>
              <w:rPr>
                <w:rFonts w:ascii="Times New Roman" w:eastAsia="Times New Roman" w:hAnsi="Times New Roman" w:cs="Times New Roman"/>
                <w:color w:val="000000"/>
                <w:sz w:val="21"/>
                <w:szCs w:val="21"/>
              </w:rPr>
            </w:pPr>
            <w:r w:rsidRPr="00ED4380">
              <w:rPr>
                <w:rFonts w:ascii="Times New Roman" w:eastAsia="Times New Roman" w:hAnsi="Times New Roman" w:cs="Times New Roman"/>
                <w:color w:val="000000"/>
                <w:sz w:val="21"/>
                <w:szCs w:val="21"/>
              </w:rPr>
              <w:t> </w:t>
            </w:r>
          </w:p>
        </w:tc>
        <w:tc>
          <w:tcPr>
            <w:tcW w:w="1612" w:type="dxa"/>
            <w:tcBorders>
              <w:top w:val="nil"/>
              <w:left w:val="nil"/>
              <w:bottom w:val="single" w:sz="4" w:space="0" w:color="auto"/>
              <w:right w:val="single" w:sz="4" w:space="0" w:color="auto"/>
            </w:tcBorders>
            <w:shd w:val="clear" w:color="auto" w:fill="auto"/>
            <w:noWrap/>
            <w:vAlign w:val="center"/>
            <w:hideMark/>
          </w:tcPr>
          <w:p w:rsidR="006A4FDF" w:rsidRPr="00ED4380" w:rsidRDefault="006A4FDF" w:rsidP="00D92726">
            <w:pPr>
              <w:jc w:val="center"/>
              <w:rPr>
                <w:rFonts w:ascii="Times New Roman" w:eastAsia="Times New Roman" w:hAnsi="Times New Roman" w:cs="Times New Roman"/>
                <w:b/>
                <w:bCs/>
                <w:color w:val="000000"/>
                <w:sz w:val="21"/>
                <w:szCs w:val="21"/>
              </w:rPr>
            </w:pPr>
            <w:r w:rsidRPr="00ED4380">
              <w:rPr>
                <w:rFonts w:ascii="Times New Roman" w:eastAsia="Times New Roman" w:hAnsi="Times New Roman" w:cs="Times New Roman"/>
                <w:b/>
                <w:bCs/>
                <w:color w:val="000000"/>
                <w:sz w:val="21"/>
                <w:szCs w:val="21"/>
              </w:rPr>
              <w:t>Flete Zona Central</w:t>
            </w:r>
          </w:p>
        </w:tc>
        <w:tc>
          <w:tcPr>
            <w:tcW w:w="1843" w:type="dxa"/>
            <w:tcBorders>
              <w:top w:val="nil"/>
              <w:left w:val="nil"/>
              <w:bottom w:val="single" w:sz="4" w:space="0" w:color="auto"/>
              <w:right w:val="single" w:sz="4" w:space="0" w:color="auto"/>
            </w:tcBorders>
            <w:shd w:val="clear" w:color="auto" w:fill="auto"/>
            <w:noWrap/>
            <w:vAlign w:val="center"/>
            <w:hideMark/>
          </w:tcPr>
          <w:p w:rsidR="006A4FDF" w:rsidRPr="00ED4380" w:rsidRDefault="006A4FDF" w:rsidP="00D92726">
            <w:pPr>
              <w:jc w:val="center"/>
              <w:rPr>
                <w:rFonts w:ascii="Times New Roman" w:eastAsia="Times New Roman" w:hAnsi="Times New Roman" w:cs="Times New Roman"/>
                <w:color w:val="000000"/>
                <w:sz w:val="21"/>
                <w:szCs w:val="21"/>
              </w:rPr>
            </w:pPr>
            <w:r w:rsidRPr="00ED4380">
              <w:rPr>
                <w:rFonts w:ascii="Times New Roman" w:eastAsia="Times New Roman" w:hAnsi="Times New Roman" w:cs="Times New Roman"/>
                <w:color w:val="000000"/>
                <w:sz w:val="21"/>
                <w:szCs w:val="21"/>
              </w:rPr>
              <w:t>$0.036</w:t>
            </w:r>
          </w:p>
        </w:tc>
        <w:tc>
          <w:tcPr>
            <w:tcW w:w="1701" w:type="dxa"/>
            <w:tcBorders>
              <w:top w:val="nil"/>
              <w:left w:val="nil"/>
              <w:bottom w:val="single" w:sz="4" w:space="0" w:color="auto"/>
              <w:right w:val="single" w:sz="4" w:space="0" w:color="auto"/>
            </w:tcBorders>
            <w:shd w:val="clear" w:color="auto" w:fill="auto"/>
            <w:noWrap/>
            <w:vAlign w:val="center"/>
            <w:hideMark/>
          </w:tcPr>
          <w:p w:rsidR="006A4FDF" w:rsidRPr="00ED4380" w:rsidRDefault="006A4FDF" w:rsidP="00D92726">
            <w:pPr>
              <w:jc w:val="center"/>
              <w:rPr>
                <w:rFonts w:ascii="Times New Roman" w:eastAsia="Times New Roman" w:hAnsi="Times New Roman" w:cs="Times New Roman"/>
                <w:color w:val="000000"/>
                <w:sz w:val="21"/>
                <w:szCs w:val="21"/>
              </w:rPr>
            </w:pPr>
            <w:r w:rsidRPr="00ED4380">
              <w:rPr>
                <w:rFonts w:ascii="Times New Roman" w:eastAsia="Times New Roman" w:hAnsi="Times New Roman" w:cs="Times New Roman"/>
                <w:color w:val="000000"/>
                <w:sz w:val="21"/>
                <w:szCs w:val="21"/>
              </w:rPr>
              <w:t>$0.036</w:t>
            </w:r>
          </w:p>
        </w:tc>
        <w:tc>
          <w:tcPr>
            <w:tcW w:w="1701" w:type="dxa"/>
            <w:tcBorders>
              <w:top w:val="nil"/>
              <w:left w:val="nil"/>
              <w:bottom w:val="single" w:sz="4" w:space="0" w:color="auto"/>
              <w:right w:val="single" w:sz="4" w:space="0" w:color="auto"/>
            </w:tcBorders>
            <w:shd w:val="clear" w:color="auto" w:fill="auto"/>
            <w:noWrap/>
            <w:vAlign w:val="center"/>
            <w:hideMark/>
          </w:tcPr>
          <w:p w:rsidR="006A4FDF" w:rsidRPr="00ED4380" w:rsidRDefault="006A4FDF" w:rsidP="00D92726">
            <w:pPr>
              <w:jc w:val="center"/>
              <w:rPr>
                <w:rFonts w:ascii="Times New Roman" w:eastAsia="Times New Roman" w:hAnsi="Times New Roman" w:cs="Times New Roman"/>
                <w:color w:val="000000"/>
                <w:sz w:val="21"/>
                <w:szCs w:val="21"/>
              </w:rPr>
            </w:pPr>
            <w:r w:rsidRPr="00ED4380">
              <w:rPr>
                <w:rFonts w:ascii="Times New Roman" w:eastAsia="Times New Roman" w:hAnsi="Times New Roman" w:cs="Times New Roman"/>
                <w:color w:val="000000"/>
                <w:sz w:val="21"/>
                <w:szCs w:val="21"/>
              </w:rPr>
              <w:t>$0.036</w:t>
            </w:r>
          </w:p>
        </w:tc>
        <w:tc>
          <w:tcPr>
            <w:tcW w:w="1678" w:type="dxa"/>
            <w:gridSpan w:val="2"/>
            <w:tcBorders>
              <w:top w:val="nil"/>
              <w:left w:val="nil"/>
              <w:bottom w:val="single" w:sz="4" w:space="0" w:color="auto"/>
              <w:right w:val="single" w:sz="4" w:space="0" w:color="auto"/>
            </w:tcBorders>
            <w:shd w:val="clear" w:color="auto" w:fill="auto"/>
            <w:noWrap/>
            <w:vAlign w:val="center"/>
            <w:hideMark/>
          </w:tcPr>
          <w:p w:rsidR="006A4FDF" w:rsidRPr="00ED4380" w:rsidRDefault="006A4FDF" w:rsidP="00D92726">
            <w:pPr>
              <w:jc w:val="center"/>
              <w:rPr>
                <w:rFonts w:ascii="Times New Roman" w:eastAsia="Times New Roman" w:hAnsi="Times New Roman" w:cs="Times New Roman"/>
                <w:color w:val="000000"/>
                <w:sz w:val="21"/>
                <w:szCs w:val="21"/>
              </w:rPr>
            </w:pPr>
            <w:r w:rsidRPr="00ED4380">
              <w:rPr>
                <w:rFonts w:ascii="Times New Roman" w:eastAsia="Times New Roman" w:hAnsi="Times New Roman" w:cs="Times New Roman"/>
                <w:color w:val="000000"/>
                <w:sz w:val="21"/>
                <w:szCs w:val="21"/>
              </w:rPr>
              <w:t>$0.036</w:t>
            </w:r>
          </w:p>
        </w:tc>
      </w:tr>
      <w:tr w:rsidR="006A4FDF" w:rsidRPr="00ED4380" w:rsidTr="00D92726">
        <w:trPr>
          <w:trHeight w:val="1140"/>
        </w:trPr>
        <w:tc>
          <w:tcPr>
            <w:tcW w:w="373"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rsidR="006A4FDF" w:rsidRPr="00ED4380" w:rsidRDefault="006A4FDF" w:rsidP="00D92726">
            <w:pPr>
              <w:jc w:val="center"/>
              <w:rPr>
                <w:rFonts w:ascii="Times New Roman" w:eastAsia="Times New Roman" w:hAnsi="Times New Roman" w:cs="Times New Roman"/>
                <w:b/>
                <w:bCs/>
                <w:color w:val="000000"/>
                <w:sz w:val="21"/>
                <w:szCs w:val="21"/>
              </w:rPr>
            </w:pPr>
            <w:r w:rsidRPr="00ED4380">
              <w:rPr>
                <w:rFonts w:ascii="Times New Roman" w:eastAsia="Times New Roman" w:hAnsi="Times New Roman" w:cs="Times New Roman"/>
                <w:b/>
                <w:bCs/>
                <w:color w:val="000000"/>
                <w:sz w:val="21"/>
                <w:szCs w:val="21"/>
              </w:rPr>
              <w:lastRenderedPageBreak/>
              <w:t>Tributos</w:t>
            </w:r>
          </w:p>
        </w:tc>
        <w:tc>
          <w:tcPr>
            <w:tcW w:w="1612" w:type="dxa"/>
            <w:tcBorders>
              <w:top w:val="nil"/>
              <w:left w:val="nil"/>
              <w:bottom w:val="single" w:sz="4" w:space="0" w:color="auto"/>
              <w:right w:val="single" w:sz="4" w:space="0" w:color="auto"/>
            </w:tcBorders>
            <w:shd w:val="clear" w:color="auto" w:fill="auto"/>
            <w:noWrap/>
            <w:vAlign w:val="center"/>
            <w:hideMark/>
          </w:tcPr>
          <w:p w:rsidR="006A4FDF" w:rsidRPr="00ED4380" w:rsidRDefault="006A4FDF" w:rsidP="00D92726">
            <w:pPr>
              <w:jc w:val="center"/>
              <w:rPr>
                <w:rFonts w:ascii="Times New Roman" w:eastAsia="Times New Roman" w:hAnsi="Times New Roman" w:cs="Times New Roman"/>
                <w:b/>
                <w:bCs/>
                <w:color w:val="000000"/>
                <w:sz w:val="21"/>
                <w:szCs w:val="21"/>
              </w:rPr>
            </w:pPr>
            <w:r w:rsidRPr="00ED4380">
              <w:rPr>
                <w:rFonts w:ascii="Times New Roman" w:eastAsia="Times New Roman" w:hAnsi="Times New Roman" w:cs="Times New Roman"/>
                <w:b/>
                <w:bCs/>
                <w:color w:val="000000"/>
                <w:sz w:val="21"/>
                <w:szCs w:val="21"/>
              </w:rPr>
              <w:t>IEC  Zona Central</w:t>
            </w:r>
          </w:p>
        </w:tc>
        <w:tc>
          <w:tcPr>
            <w:tcW w:w="1843" w:type="dxa"/>
            <w:tcBorders>
              <w:top w:val="nil"/>
              <w:left w:val="nil"/>
              <w:bottom w:val="single" w:sz="4" w:space="0" w:color="auto"/>
              <w:right w:val="single" w:sz="4" w:space="0" w:color="auto"/>
            </w:tcBorders>
            <w:shd w:val="clear" w:color="auto" w:fill="auto"/>
            <w:vAlign w:val="center"/>
            <w:hideMark/>
          </w:tcPr>
          <w:p w:rsidR="006A4FDF" w:rsidRPr="00ED4380" w:rsidRDefault="006A4FDF" w:rsidP="00D92726">
            <w:pPr>
              <w:jc w:val="center"/>
              <w:rPr>
                <w:rFonts w:ascii="Times New Roman" w:eastAsia="Times New Roman" w:hAnsi="Times New Roman" w:cs="Times New Roman"/>
                <w:color w:val="000000"/>
                <w:sz w:val="21"/>
                <w:szCs w:val="21"/>
              </w:rPr>
            </w:pPr>
            <w:r w:rsidRPr="00ED4380">
              <w:rPr>
                <w:rFonts w:ascii="Times New Roman" w:eastAsia="Times New Roman" w:hAnsi="Times New Roman" w:cs="Times New Roman"/>
                <w:color w:val="000000"/>
                <w:sz w:val="21"/>
                <w:szCs w:val="21"/>
              </w:rPr>
              <w:t>Costo variable determinado por el precio internacional del barril del crudo del WTI</w:t>
            </w:r>
          </w:p>
        </w:tc>
        <w:tc>
          <w:tcPr>
            <w:tcW w:w="1701" w:type="dxa"/>
            <w:tcBorders>
              <w:top w:val="nil"/>
              <w:left w:val="nil"/>
              <w:bottom w:val="single" w:sz="4" w:space="0" w:color="auto"/>
              <w:right w:val="single" w:sz="4" w:space="0" w:color="auto"/>
            </w:tcBorders>
            <w:shd w:val="clear" w:color="auto" w:fill="auto"/>
            <w:vAlign w:val="center"/>
            <w:hideMark/>
          </w:tcPr>
          <w:p w:rsidR="006A4FDF" w:rsidRPr="00ED4380" w:rsidRDefault="006A4FDF" w:rsidP="00D92726">
            <w:pPr>
              <w:jc w:val="center"/>
              <w:rPr>
                <w:rFonts w:ascii="Times New Roman" w:eastAsia="Times New Roman" w:hAnsi="Times New Roman" w:cs="Times New Roman"/>
                <w:color w:val="000000"/>
                <w:sz w:val="21"/>
                <w:szCs w:val="21"/>
              </w:rPr>
            </w:pPr>
            <w:r w:rsidRPr="00ED4380">
              <w:rPr>
                <w:rFonts w:ascii="Times New Roman" w:eastAsia="Times New Roman" w:hAnsi="Times New Roman" w:cs="Times New Roman"/>
                <w:color w:val="000000"/>
                <w:sz w:val="21"/>
                <w:szCs w:val="21"/>
              </w:rPr>
              <w:t>Costo variable determinado por el precio internacional del barril del crudo del WTI</w:t>
            </w:r>
          </w:p>
        </w:tc>
        <w:tc>
          <w:tcPr>
            <w:tcW w:w="1701" w:type="dxa"/>
            <w:tcBorders>
              <w:top w:val="nil"/>
              <w:left w:val="nil"/>
              <w:bottom w:val="single" w:sz="4" w:space="0" w:color="auto"/>
              <w:right w:val="single" w:sz="4" w:space="0" w:color="auto"/>
            </w:tcBorders>
            <w:shd w:val="clear" w:color="auto" w:fill="auto"/>
            <w:vAlign w:val="center"/>
            <w:hideMark/>
          </w:tcPr>
          <w:p w:rsidR="006A4FDF" w:rsidRPr="00ED4380" w:rsidRDefault="006A4FDF" w:rsidP="00D92726">
            <w:pPr>
              <w:jc w:val="center"/>
              <w:rPr>
                <w:rFonts w:ascii="Times New Roman" w:eastAsia="Times New Roman" w:hAnsi="Times New Roman" w:cs="Times New Roman"/>
                <w:color w:val="000000"/>
                <w:sz w:val="21"/>
                <w:szCs w:val="21"/>
              </w:rPr>
            </w:pPr>
            <w:r w:rsidRPr="00ED4380">
              <w:rPr>
                <w:rFonts w:ascii="Times New Roman" w:eastAsia="Times New Roman" w:hAnsi="Times New Roman" w:cs="Times New Roman"/>
                <w:color w:val="000000"/>
                <w:sz w:val="21"/>
                <w:szCs w:val="21"/>
              </w:rPr>
              <w:t>Costo variable determinado por el precio internacional del barril del crudo del WTI</w:t>
            </w:r>
          </w:p>
        </w:tc>
        <w:tc>
          <w:tcPr>
            <w:tcW w:w="1678" w:type="dxa"/>
            <w:gridSpan w:val="2"/>
            <w:tcBorders>
              <w:top w:val="nil"/>
              <w:left w:val="nil"/>
              <w:bottom w:val="single" w:sz="4" w:space="0" w:color="auto"/>
              <w:right w:val="single" w:sz="4" w:space="0" w:color="auto"/>
            </w:tcBorders>
            <w:shd w:val="clear" w:color="auto" w:fill="auto"/>
            <w:vAlign w:val="center"/>
            <w:hideMark/>
          </w:tcPr>
          <w:p w:rsidR="006A4FDF" w:rsidRPr="00ED4380" w:rsidRDefault="006A4FDF" w:rsidP="00D92726">
            <w:pPr>
              <w:jc w:val="center"/>
              <w:rPr>
                <w:rFonts w:ascii="Times New Roman" w:eastAsia="Times New Roman" w:hAnsi="Times New Roman" w:cs="Times New Roman"/>
                <w:color w:val="000000"/>
                <w:sz w:val="21"/>
                <w:szCs w:val="21"/>
              </w:rPr>
            </w:pPr>
            <w:r w:rsidRPr="00ED4380">
              <w:rPr>
                <w:rFonts w:ascii="Times New Roman" w:eastAsia="Times New Roman" w:hAnsi="Times New Roman" w:cs="Times New Roman"/>
                <w:color w:val="000000"/>
                <w:sz w:val="21"/>
                <w:szCs w:val="21"/>
              </w:rPr>
              <w:t>Costo variable determinado por el precio internacional del barril del crudo del WTI</w:t>
            </w:r>
          </w:p>
        </w:tc>
      </w:tr>
      <w:tr w:rsidR="006A4FDF" w:rsidRPr="00ED4380" w:rsidTr="00D92726">
        <w:trPr>
          <w:trHeight w:val="300"/>
        </w:trPr>
        <w:tc>
          <w:tcPr>
            <w:tcW w:w="373" w:type="dxa"/>
            <w:vMerge/>
            <w:tcBorders>
              <w:top w:val="nil"/>
              <w:left w:val="single" w:sz="4" w:space="0" w:color="auto"/>
              <w:bottom w:val="single" w:sz="4" w:space="0" w:color="auto"/>
              <w:right w:val="single" w:sz="4" w:space="0" w:color="auto"/>
            </w:tcBorders>
            <w:vAlign w:val="center"/>
            <w:hideMark/>
          </w:tcPr>
          <w:p w:rsidR="006A4FDF" w:rsidRPr="00ED4380" w:rsidRDefault="006A4FDF" w:rsidP="00D92726">
            <w:pPr>
              <w:rPr>
                <w:rFonts w:ascii="Times New Roman" w:eastAsia="Times New Roman" w:hAnsi="Times New Roman" w:cs="Times New Roman"/>
                <w:b/>
                <w:bCs/>
                <w:color w:val="000000"/>
                <w:sz w:val="21"/>
                <w:szCs w:val="21"/>
              </w:rPr>
            </w:pPr>
          </w:p>
        </w:tc>
        <w:tc>
          <w:tcPr>
            <w:tcW w:w="1612" w:type="dxa"/>
            <w:tcBorders>
              <w:top w:val="nil"/>
              <w:left w:val="nil"/>
              <w:bottom w:val="single" w:sz="4" w:space="0" w:color="auto"/>
              <w:right w:val="single" w:sz="4" w:space="0" w:color="auto"/>
            </w:tcBorders>
            <w:shd w:val="clear" w:color="auto" w:fill="auto"/>
            <w:noWrap/>
            <w:vAlign w:val="center"/>
            <w:hideMark/>
          </w:tcPr>
          <w:p w:rsidR="006A4FDF" w:rsidRPr="00ED4380" w:rsidRDefault="006A4FDF" w:rsidP="00D92726">
            <w:pPr>
              <w:jc w:val="center"/>
              <w:rPr>
                <w:rFonts w:ascii="Times New Roman" w:eastAsia="Times New Roman" w:hAnsi="Times New Roman" w:cs="Times New Roman"/>
                <w:b/>
                <w:bCs/>
                <w:color w:val="000000"/>
                <w:sz w:val="21"/>
                <w:szCs w:val="21"/>
              </w:rPr>
            </w:pPr>
            <w:r w:rsidRPr="00ED4380">
              <w:rPr>
                <w:rFonts w:ascii="Times New Roman" w:eastAsia="Times New Roman" w:hAnsi="Times New Roman" w:cs="Times New Roman"/>
                <w:b/>
                <w:bCs/>
                <w:color w:val="000000"/>
                <w:sz w:val="21"/>
                <w:szCs w:val="21"/>
              </w:rPr>
              <w:t>FOVIAL</w:t>
            </w:r>
          </w:p>
        </w:tc>
        <w:tc>
          <w:tcPr>
            <w:tcW w:w="1843" w:type="dxa"/>
            <w:tcBorders>
              <w:top w:val="nil"/>
              <w:left w:val="nil"/>
              <w:bottom w:val="single" w:sz="4" w:space="0" w:color="auto"/>
              <w:right w:val="single" w:sz="4" w:space="0" w:color="auto"/>
            </w:tcBorders>
            <w:shd w:val="clear" w:color="auto" w:fill="auto"/>
            <w:noWrap/>
            <w:vAlign w:val="center"/>
            <w:hideMark/>
          </w:tcPr>
          <w:p w:rsidR="006A4FDF" w:rsidRPr="00ED4380" w:rsidRDefault="006A4FDF" w:rsidP="00D92726">
            <w:pPr>
              <w:jc w:val="center"/>
              <w:rPr>
                <w:rFonts w:ascii="Times New Roman" w:eastAsia="Times New Roman" w:hAnsi="Times New Roman" w:cs="Times New Roman"/>
                <w:color w:val="000000"/>
                <w:sz w:val="21"/>
                <w:szCs w:val="21"/>
              </w:rPr>
            </w:pPr>
            <w:r w:rsidRPr="00ED4380">
              <w:rPr>
                <w:rFonts w:ascii="Times New Roman" w:eastAsia="Times New Roman" w:hAnsi="Times New Roman" w:cs="Times New Roman"/>
                <w:color w:val="000000"/>
                <w:sz w:val="21"/>
                <w:szCs w:val="21"/>
              </w:rPr>
              <w:t>$0.20</w:t>
            </w:r>
          </w:p>
        </w:tc>
        <w:tc>
          <w:tcPr>
            <w:tcW w:w="1701" w:type="dxa"/>
            <w:tcBorders>
              <w:top w:val="nil"/>
              <w:left w:val="nil"/>
              <w:bottom w:val="single" w:sz="4" w:space="0" w:color="auto"/>
              <w:right w:val="single" w:sz="4" w:space="0" w:color="auto"/>
            </w:tcBorders>
            <w:shd w:val="clear" w:color="auto" w:fill="auto"/>
            <w:noWrap/>
            <w:vAlign w:val="center"/>
            <w:hideMark/>
          </w:tcPr>
          <w:p w:rsidR="006A4FDF" w:rsidRPr="00ED4380" w:rsidRDefault="006A4FDF" w:rsidP="00D92726">
            <w:pPr>
              <w:jc w:val="center"/>
              <w:rPr>
                <w:rFonts w:ascii="Times New Roman" w:eastAsia="Times New Roman" w:hAnsi="Times New Roman" w:cs="Times New Roman"/>
                <w:color w:val="000000"/>
                <w:sz w:val="21"/>
                <w:szCs w:val="21"/>
              </w:rPr>
            </w:pPr>
            <w:r w:rsidRPr="00ED4380">
              <w:rPr>
                <w:rFonts w:ascii="Times New Roman" w:eastAsia="Times New Roman" w:hAnsi="Times New Roman" w:cs="Times New Roman"/>
                <w:color w:val="000000"/>
                <w:sz w:val="21"/>
                <w:szCs w:val="21"/>
              </w:rPr>
              <w:t>$0.20</w:t>
            </w:r>
          </w:p>
        </w:tc>
        <w:tc>
          <w:tcPr>
            <w:tcW w:w="1701" w:type="dxa"/>
            <w:tcBorders>
              <w:top w:val="nil"/>
              <w:left w:val="nil"/>
              <w:bottom w:val="single" w:sz="4" w:space="0" w:color="auto"/>
              <w:right w:val="single" w:sz="4" w:space="0" w:color="auto"/>
            </w:tcBorders>
            <w:shd w:val="clear" w:color="auto" w:fill="auto"/>
            <w:noWrap/>
            <w:vAlign w:val="center"/>
            <w:hideMark/>
          </w:tcPr>
          <w:p w:rsidR="006A4FDF" w:rsidRPr="00ED4380" w:rsidRDefault="006A4FDF" w:rsidP="00D92726">
            <w:pPr>
              <w:jc w:val="center"/>
              <w:rPr>
                <w:rFonts w:ascii="Times New Roman" w:eastAsia="Times New Roman" w:hAnsi="Times New Roman" w:cs="Times New Roman"/>
                <w:color w:val="000000"/>
                <w:sz w:val="21"/>
                <w:szCs w:val="21"/>
              </w:rPr>
            </w:pPr>
            <w:r w:rsidRPr="00ED4380">
              <w:rPr>
                <w:rFonts w:ascii="Times New Roman" w:eastAsia="Times New Roman" w:hAnsi="Times New Roman" w:cs="Times New Roman"/>
                <w:color w:val="000000"/>
                <w:sz w:val="21"/>
                <w:szCs w:val="21"/>
              </w:rPr>
              <w:t>$0.20</w:t>
            </w:r>
          </w:p>
        </w:tc>
        <w:tc>
          <w:tcPr>
            <w:tcW w:w="1678" w:type="dxa"/>
            <w:gridSpan w:val="2"/>
            <w:tcBorders>
              <w:top w:val="nil"/>
              <w:left w:val="nil"/>
              <w:bottom w:val="single" w:sz="4" w:space="0" w:color="auto"/>
              <w:right w:val="single" w:sz="4" w:space="0" w:color="auto"/>
            </w:tcBorders>
            <w:shd w:val="clear" w:color="auto" w:fill="auto"/>
            <w:noWrap/>
            <w:vAlign w:val="center"/>
            <w:hideMark/>
          </w:tcPr>
          <w:p w:rsidR="006A4FDF" w:rsidRPr="00ED4380" w:rsidRDefault="006A4FDF" w:rsidP="00D92726">
            <w:pPr>
              <w:jc w:val="center"/>
              <w:rPr>
                <w:rFonts w:ascii="Times New Roman" w:eastAsia="Times New Roman" w:hAnsi="Times New Roman" w:cs="Times New Roman"/>
                <w:color w:val="000000"/>
                <w:sz w:val="21"/>
                <w:szCs w:val="21"/>
              </w:rPr>
            </w:pPr>
            <w:r w:rsidRPr="00ED4380">
              <w:rPr>
                <w:rFonts w:ascii="Times New Roman" w:eastAsia="Times New Roman" w:hAnsi="Times New Roman" w:cs="Times New Roman"/>
                <w:color w:val="000000"/>
                <w:sz w:val="21"/>
                <w:szCs w:val="21"/>
              </w:rPr>
              <w:t>$0.20</w:t>
            </w:r>
          </w:p>
        </w:tc>
      </w:tr>
      <w:tr w:rsidR="006A4FDF" w:rsidRPr="00ED4380" w:rsidTr="00D92726">
        <w:trPr>
          <w:trHeight w:val="300"/>
        </w:trPr>
        <w:tc>
          <w:tcPr>
            <w:tcW w:w="373" w:type="dxa"/>
            <w:vMerge/>
            <w:tcBorders>
              <w:top w:val="nil"/>
              <w:left w:val="single" w:sz="4" w:space="0" w:color="auto"/>
              <w:bottom w:val="single" w:sz="4" w:space="0" w:color="auto"/>
              <w:right w:val="single" w:sz="4" w:space="0" w:color="auto"/>
            </w:tcBorders>
            <w:vAlign w:val="center"/>
            <w:hideMark/>
          </w:tcPr>
          <w:p w:rsidR="006A4FDF" w:rsidRPr="00ED4380" w:rsidRDefault="006A4FDF" w:rsidP="00D92726">
            <w:pPr>
              <w:rPr>
                <w:rFonts w:ascii="Times New Roman" w:eastAsia="Times New Roman" w:hAnsi="Times New Roman" w:cs="Times New Roman"/>
                <w:b/>
                <w:bCs/>
                <w:color w:val="000000"/>
                <w:sz w:val="21"/>
                <w:szCs w:val="21"/>
              </w:rPr>
            </w:pPr>
          </w:p>
        </w:tc>
        <w:tc>
          <w:tcPr>
            <w:tcW w:w="1612" w:type="dxa"/>
            <w:tcBorders>
              <w:top w:val="nil"/>
              <w:left w:val="nil"/>
              <w:bottom w:val="single" w:sz="4" w:space="0" w:color="auto"/>
              <w:right w:val="single" w:sz="4" w:space="0" w:color="auto"/>
            </w:tcBorders>
            <w:shd w:val="clear" w:color="auto" w:fill="auto"/>
            <w:noWrap/>
            <w:vAlign w:val="center"/>
            <w:hideMark/>
          </w:tcPr>
          <w:p w:rsidR="006A4FDF" w:rsidRPr="00ED4380" w:rsidRDefault="006A4FDF" w:rsidP="00D92726">
            <w:pPr>
              <w:jc w:val="center"/>
              <w:rPr>
                <w:rFonts w:ascii="Times New Roman" w:eastAsia="Times New Roman" w:hAnsi="Times New Roman" w:cs="Times New Roman"/>
                <w:b/>
                <w:bCs/>
                <w:color w:val="000000"/>
                <w:sz w:val="21"/>
                <w:szCs w:val="21"/>
              </w:rPr>
            </w:pPr>
            <w:r w:rsidRPr="00ED4380">
              <w:rPr>
                <w:rFonts w:ascii="Times New Roman" w:eastAsia="Times New Roman" w:hAnsi="Times New Roman" w:cs="Times New Roman"/>
                <w:b/>
                <w:bCs/>
                <w:color w:val="000000"/>
                <w:sz w:val="21"/>
                <w:szCs w:val="21"/>
              </w:rPr>
              <w:t>COTRANS</w:t>
            </w:r>
          </w:p>
        </w:tc>
        <w:tc>
          <w:tcPr>
            <w:tcW w:w="1843" w:type="dxa"/>
            <w:tcBorders>
              <w:top w:val="nil"/>
              <w:left w:val="nil"/>
              <w:bottom w:val="single" w:sz="4" w:space="0" w:color="auto"/>
              <w:right w:val="single" w:sz="4" w:space="0" w:color="auto"/>
            </w:tcBorders>
            <w:shd w:val="clear" w:color="auto" w:fill="auto"/>
            <w:noWrap/>
            <w:vAlign w:val="center"/>
            <w:hideMark/>
          </w:tcPr>
          <w:p w:rsidR="006A4FDF" w:rsidRPr="00ED4380" w:rsidRDefault="006A4FDF" w:rsidP="00D92726">
            <w:pPr>
              <w:jc w:val="center"/>
              <w:rPr>
                <w:rFonts w:ascii="Times New Roman" w:eastAsia="Times New Roman" w:hAnsi="Times New Roman" w:cs="Times New Roman"/>
                <w:color w:val="000000"/>
                <w:sz w:val="21"/>
                <w:szCs w:val="21"/>
              </w:rPr>
            </w:pPr>
            <w:r w:rsidRPr="00ED4380">
              <w:rPr>
                <w:rFonts w:ascii="Times New Roman" w:eastAsia="Times New Roman" w:hAnsi="Times New Roman" w:cs="Times New Roman"/>
                <w:color w:val="000000"/>
                <w:sz w:val="21"/>
                <w:szCs w:val="21"/>
              </w:rPr>
              <w:t>$0.10</w:t>
            </w:r>
          </w:p>
        </w:tc>
        <w:tc>
          <w:tcPr>
            <w:tcW w:w="1701" w:type="dxa"/>
            <w:tcBorders>
              <w:top w:val="nil"/>
              <w:left w:val="nil"/>
              <w:bottom w:val="single" w:sz="4" w:space="0" w:color="auto"/>
              <w:right w:val="single" w:sz="4" w:space="0" w:color="auto"/>
            </w:tcBorders>
            <w:shd w:val="clear" w:color="auto" w:fill="auto"/>
            <w:noWrap/>
            <w:vAlign w:val="center"/>
            <w:hideMark/>
          </w:tcPr>
          <w:p w:rsidR="006A4FDF" w:rsidRPr="00ED4380" w:rsidRDefault="006A4FDF" w:rsidP="00D92726">
            <w:pPr>
              <w:jc w:val="center"/>
              <w:rPr>
                <w:rFonts w:ascii="Times New Roman" w:eastAsia="Times New Roman" w:hAnsi="Times New Roman" w:cs="Times New Roman"/>
                <w:color w:val="000000"/>
                <w:sz w:val="21"/>
                <w:szCs w:val="21"/>
              </w:rPr>
            </w:pPr>
            <w:r w:rsidRPr="00ED4380">
              <w:rPr>
                <w:rFonts w:ascii="Times New Roman" w:eastAsia="Times New Roman" w:hAnsi="Times New Roman" w:cs="Times New Roman"/>
                <w:color w:val="000000"/>
                <w:sz w:val="21"/>
                <w:szCs w:val="21"/>
              </w:rPr>
              <w:t>$0.10</w:t>
            </w:r>
          </w:p>
        </w:tc>
        <w:tc>
          <w:tcPr>
            <w:tcW w:w="1701" w:type="dxa"/>
            <w:tcBorders>
              <w:top w:val="nil"/>
              <w:left w:val="nil"/>
              <w:bottom w:val="single" w:sz="4" w:space="0" w:color="auto"/>
              <w:right w:val="single" w:sz="4" w:space="0" w:color="auto"/>
            </w:tcBorders>
            <w:shd w:val="clear" w:color="auto" w:fill="auto"/>
            <w:noWrap/>
            <w:vAlign w:val="center"/>
            <w:hideMark/>
          </w:tcPr>
          <w:p w:rsidR="006A4FDF" w:rsidRPr="00ED4380" w:rsidRDefault="006A4FDF" w:rsidP="00D92726">
            <w:pPr>
              <w:jc w:val="center"/>
              <w:rPr>
                <w:rFonts w:ascii="Times New Roman" w:eastAsia="Times New Roman" w:hAnsi="Times New Roman" w:cs="Times New Roman"/>
                <w:color w:val="000000"/>
                <w:sz w:val="21"/>
                <w:szCs w:val="21"/>
              </w:rPr>
            </w:pPr>
            <w:r w:rsidRPr="00ED4380">
              <w:rPr>
                <w:rFonts w:ascii="Times New Roman" w:eastAsia="Times New Roman" w:hAnsi="Times New Roman" w:cs="Times New Roman"/>
                <w:color w:val="000000"/>
                <w:sz w:val="21"/>
                <w:szCs w:val="21"/>
              </w:rPr>
              <w:t>$0.10</w:t>
            </w:r>
          </w:p>
        </w:tc>
        <w:tc>
          <w:tcPr>
            <w:tcW w:w="1678" w:type="dxa"/>
            <w:gridSpan w:val="2"/>
            <w:tcBorders>
              <w:top w:val="nil"/>
              <w:left w:val="nil"/>
              <w:bottom w:val="single" w:sz="4" w:space="0" w:color="auto"/>
              <w:right w:val="single" w:sz="4" w:space="0" w:color="auto"/>
            </w:tcBorders>
            <w:shd w:val="clear" w:color="auto" w:fill="auto"/>
            <w:noWrap/>
            <w:vAlign w:val="center"/>
            <w:hideMark/>
          </w:tcPr>
          <w:p w:rsidR="006A4FDF" w:rsidRPr="00ED4380" w:rsidRDefault="006A4FDF" w:rsidP="00D92726">
            <w:pPr>
              <w:jc w:val="center"/>
              <w:rPr>
                <w:rFonts w:ascii="Times New Roman" w:eastAsia="Times New Roman" w:hAnsi="Times New Roman" w:cs="Times New Roman"/>
                <w:color w:val="000000"/>
                <w:sz w:val="21"/>
                <w:szCs w:val="21"/>
              </w:rPr>
            </w:pPr>
            <w:r w:rsidRPr="00ED4380">
              <w:rPr>
                <w:rFonts w:ascii="Times New Roman" w:eastAsia="Times New Roman" w:hAnsi="Times New Roman" w:cs="Times New Roman"/>
                <w:color w:val="000000"/>
                <w:sz w:val="21"/>
                <w:szCs w:val="21"/>
              </w:rPr>
              <w:t>$0.10</w:t>
            </w:r>
          </w:p>
        </w:tc>
      </w:tr>
      <w:tr w:rsidR="006A4FDF" w:rsidRPr="00ED4380" w:rsidTr="00D92726">
        <w:trPr>
          <w:trHeight w:val="360"/>
        </w:trPr>
        <w:tc>
          <w:tcPr>
            <w:tcW w:w="373" w:type="dxa"/>
            <w:vMerge/>
            <w:tcBorders>
              <w:top w:val="nil"/>
              <w:left w:val="single" w:sz="4" w:space="0" w:color="auto"/>
              <w:bottom w:val="single" w:sz="4" w:space="0" w:color="auto"/>
              <w:right w:val="single" w:sz="4" w:space="0" w:color="auto"/>
            </w:tcBorders>
            <w:vAlign w:val="center"/>
            <w:hideMark/>
          </w:tcPr>
          <w:p w:rsidR="006A4FDF" w:rsidRPr="00ED4380" w:rsidRDefault="006A4FDF" w:rsidP="00D92726">
            <w:pPr>
              <w:rPr>
                <w:rFonts w:ascii="Times New Roman" w:eastAsia="Times New Roman" w:hAnsi="Times New Roman" w:cs="Times New Roman"/>
                <w:b/>
                <w:bCs/>
                <w:color w:val="000000"/>
                <w:sz w:val="21"/>
                <w:szCs w:val="21"/>
              </w:rPr>
            </w:pPr>
          </w:p>
        </w:tc>
        <w:tc>
          <w:tcPr>
            <w:tcW w:w="1612" w:type="dxa"/>
            <w:tcBorders>
              <w:top w:val="nil"/>
              <w:left w:val="nil"/>
              <w:bottom w:val="single" w:sz="4" w:space="0" w:color="auto"/>
              <w:right w:val="single" w:sz="4" w:space="0" w:color="auto"/>
            </w:tcBorders>
            <w:shd w:val="clear" w:color="auto" w:fill="auto"/>
            <w:noWrap/>
            <w:vAlign w:val="center"/>
            <w:hideMark/>
          </w:tcPr>
          <w:p w:rsidR="006A4FDF" w:rsidRPr="00ED4380" w:rsidRDefault="006A4FDF" w:rsidP="00D92726">
            <w:pPr>
              <w:jc w:val="center"/>
              <w:rPr>
                <w:rFonts w:ascii="Times New Roman" w:eastAsia="Times New Roman" w:hAnsi="Times New Roman" w:cs="Times New Roman"/>
                <w:b/>
                <w:bCs/>
                <w:color w:val="000000"/>
                <w:sz w:val="21"/>
                <w:szCs w:val="21"/>
              </w:rPr>
            </w:pPr>
            <w:r w:rsidRPr="00ED4380">
              <w:rPr>
                <w:rFonts w:ascii="Times New Roman" w:eastAsia="Times New Roman" w:hAnsi="Times New Roman" w:cs="Times New Roman"/>
                <w:b/>
                <w:bCs/>
                <w:color w:val="000000"/>
                <w:sz w:val="21"/>
                <w:szCs w:val="21"/>
              </w:rPr>
              <w:t>FEFE</w:t>
            </w:r>
          </w:p>
        </w:tc>
        <w:tc>
          <w:tcPr>
            <w:tcW w:w="1843" w:type="dxa"/>
            <w:tcBorders>
              <w:top w:val="nil"/>
              <w:left w:val="nil"/>
              <w:bottom w:val="single" w:sz="4" w:space="0" w:color="auto"/>
              <w:right w:val="single" w:sz="4" w:space="0" w:color="auto"/>
            </w:tcBorders>
            <w:shd w:val="clear" w:color="auto" w:fill="auto"/>
            <w:noWrap/>
            <w:vAlign w:val="center"/>
            <w:hideMark/>
          </w:tcPr>
          <w:p w:rsidR="006A4FDF" w:rsidRPr="00ED4380" w:rsidRDefault="006A4FDF" w:rsidP="00D92726">
            <w:pPr>
              <w:jc w:val="center"/>
              <w:rPr>
                <w:rFonts w:ascii="Times New Roman" w:eastAsia="Times New Roman" w:hAnsi="Times New Roman" w:cs="Times New Roman"/>
                <w:color w:val="000000"/>
                <w:sz w:val="21"/>
                <w:szCs w:val="21"/>
              </w:rPr>
            </w:pPr>
            <w:r w:rsidRPr="00ED4380">
              <w:rPr>
                <w:rFonts w:ascii="Times New Roman" w:eastAsia="Times New Roman" w:hAnsi="Times New Roman" w:cs="Times New Roman"/>
                <w:color w:val="000000"/>
                <w:sz w:val="21"/>
                <w:szCs w:val="21"/>
              </w:rPr>
              <w:t>N/A</w:t>
            </w:r>
          </w:p>
        </w:tc>
        <w:tc>
          <w:tcPr>
            <w:tcW w:w="1701" w:type="dxa"/>
            <w:tcBorders>
              <w:top w:val="nil"/>
              <w:left w:val="nil"/>
              <w:bottom w:val="single" w:sz="4" w:space="0" w:color="auto"/>
              <w:right w:val="single" w:sz="4" w:space="0" w:color="auto"/>
            </w:tcBorders>
            <w:shd w:val="clear" w:color="auto" w:fill="auto"/>
            <w:noWrap/>
            <w:vAlign w:val="center"/>
            <w:hideMark/>
          </w:tcPr>
          <w:p w:rsidR="006A4FDF" w:rsidRPr="00ED4380" w:rsidRDefault="006A4FDF" w:rsidP="00D92726">
            <w:pPr>
              <w:jc w:val="center"/>
              <w:rPr>
                <w:rFonts w:ascii="Times New Roman" w:eastAsia="Times New Roman" w:hAnsi="Times New Roman" w:cs="Times New Roman"/>
                <w:color w:val="000000"/>
                <w:sz w:val="21"/>
                <w:szCs w:val="21"/>
              </w:rPr>
            </w:pPr>
            <w:r w:rsidRPr="00ED4380">
              <w:rPr>
                <w:rFonts w:ascii="Times New Roman" w:eastAsia="Times New Roman" w:hAnsi="Times New Roman" w:cs="Times New Roman"/>
                <w:color w:val="000000"/>
                <w:sz w:val="21"/>
                <w:szCs w:val="21"/>
              </w:rPr>
              <w:t>N/A</w:t>
            </w:r>
          </w:p>
        </w:tc>
        <w:tc>
          <w:tcPr>
            <w:tcW w:w="1701" w:type="dxa"/>
            <w:tcBorders>
              <w:top w:val="nil"/>
              <w:left w:val="nil"/>
              <w:bottom w:val="single" w:sz="4" w:space="0" w:color="auto"/>
              <w:right w:val="single" w:sz="4" w:space="0" w:color="auto"/>
            </w:tcBorders>
            <w:shd w:val="clear" w:color="auto" w:fill="auto"/>
            <w:noWrap/>
            <w:vAlign w:val="center"/>
            <w:hideMark/>
          </w:tcPr>
          <w:p w:rsidR="006A4FDF" w:rsidRPr="00ED4380" w:rsidRDefault="006A4FDF" w:rsidP="00D92726">
            <w:pPr>
              <w:jc w:val="center"/>
              <w:rPr>
                <w:rFonts w:ascii="Times New Roman" w:eastAsia="Times New Roman" w:hAnsi="Times New Roman" w:cs="Times New Roman"/>
                <w:color w:val="000000"/>
                <w:sz w:val="21"/>
                <w:szCs w:val="21"/>
              </w:rPr>
            </w:pPr>
            <w:r w:rsidRPr="00ED4380">
              <w:rPr>
                <w:rFonts w:ascii="Times New Roman" w:eastAsia="Times New Roman" w:hAnsi="Times New Roman" w:cs="Times New Roman"/>
                <w:color w:val="000000"/>
                <w:sz w:val="21"/>
                <w:szCs w:val="21"/>
              </w:rPr>
              <w:t>$0.1591</w:t>
            </w:r>
          </w:p>
        </w:tc>
        <w:tc>
          <w:tcPr>
            <w:tcW w:w="1678" w:type="dxa"/>
            <w:gridSpan w:val="2"/>
            <w:tcBorders>
              <w:top w:val="nil"/>
              <w:left w:val="nil"/>
              <w:bottom w:val="single" w:sz="4" w:space="0" w:color="auto"/>
              <w:right w:val="single" w:sz="4" w:space="0" w:color="auto"/>
            </w:tcBorders>
            <w:shd w:val="clear" w:color="auto" w:fill="auto"/>
            <w:noWrap/>
            <w:vAlign w:val="center"/>
            <w:hideMark/>
          </w:tcPr>
          <w:p w:rsidR="006A4FDF" w:rsidRPr="00ED4380" w:rsidRDefault="006A4FDF" w:rsidP="00D92726">
            <w:pPr>
              <w:jc w:val="center"/>
              <w:rPr>
                <w:rFonts w:ascii="Times New Roman" w:eastAsia="Times New Roman" w:hAnsi="Times New Roman" w:cs="Times New Roman"/>
                <w:color w:val="000000"/>
                <w:sz w:val="21"/>
                <w:szCs w:val="21"/>
              </w:rPr>
            </w:pPr>
            <w:r w:rsidRPr="00ED4380">
              <w:rPr>
                <w:rFonts w:ascii="Times New Roman" w:eastAsia="Times New Roman" w:hAnsi="Times New Roman" w:cs="Times New Roman"/>
                <w:color w:val="000000"/>
                <w:sz w:val="21"/>
                <w:szCs w:val="21"/>
              </w:rPr>
              <w:t>$0.1591</w:t>
            </w:r>
          </w:p>
        </w:tc>
      </w:tr>
      <w:tr w:rsidR="006A4FDF" w:rsidRPr="00ED4380" w:rsidTr="00D92726">
        <w:trPr>
          <w:trHeight w:val="3405"/>
        </w:trPr>
        <w:tc>
          <w:tcPr>
            <w:tcW w:w="373" w:type="dxa"/>
            <w:vMerge/>
            <w:tcBorders>
              <w:top w:val="nil"/>
              <w:left w:val="single" w:sz="4" w:space="0" w:color="auto"/>
              <w:bottom w:val="single" w:sz="4" w:space="0" w:color="auto"/>
              <w:right w:val="single" w:sz="4" w:space="0" w:color="auto"/>
            </w:tcBorders>
            <w:vAlign w:val="center"/>
            <w:hideMark/>
          </w:tcPr>
          <w:p w:rsidR="006A4FDF" w:rsidRPr="00ED4380" w:rsidRDefault="006A4FDF" w:rsidP="00D92726">
            <w:pPr>
              <w:rPr>
                <w:rFonts w:ascii="Times New Roman" w:eastAsia="Times New Roman" w:hAnsi="Times New Roman" w:cs="Times New Roman"/>
                <w:b/>
                <w:bCs/>
                <w:color w:val="000000"/>
                <w:sz w:val="21"/>
                <w:szCs w:val="21"/>
              </w:rPr>
            </w:pPr>
          </w:p>
        </w:tc>
        <w:tc>
          <w:tcPr>
            <w:tcW w:w="1612" w:type="dxa"/>
            <w:tcBorders>
              <w:top w:val="nil"/>
              <w:left w:val="nil"/>
              <w:bottom w:val="single" w:sz="4" w:space="0" w:color="auto"/>
              <w:right w:val="single" w:sz="4" w:space="0" w:color="auto"/>
            </w:tcBorders>
            <w:shd w:val="clear" w:color="auto" w:fill="auto"/>
            <w:noWrap/>
            <w:vAlign w:val="center"/>
            <w:hideMark/>
          </w:tcPr>
          <w:p w:rsidR="006A4FDF" w:rsidRPr="00ED4380" w:rsidRDefault="006A4FDF" w:rsidP="00D92726">
            <w:pPr>
              <w:jc w:val="center"/>
              <w:rPr>
                <w:rFonts w:ascii="Times New Roman" w:eastAsia="Times New Roman" w:hAnsi="Times New Roman" w:cs="Times New Roman"/>
                <w:b/>
                <w:bCs/>
                <w:color w:val="000000"/>
                <w:sz w:val="21"/>
                <w:szCs w:val="21"/>
              </w:rPr>
            </w:pPr>
            <w:r w:rsidRPr="00ED4380">
              <w:rPr>
                <w:rFonts w:ascii="Times New Roman" w:eastAsia="Times New Roman" w:hAnsi="Times New Roman" w:cs="Times New Roman"/>
                <w:b/>
                <w:bCs/>
                <w:color w:val="000000"/>
                <w:sz w:val="21"/>
                <w:szCs w:val="21"/>
              </w:rPr>
              <w:t>IVA Zona Central</w:t>
            </w:r>
          </w:p>
        </w:tc>
        <w:tc>
          <w:tcPr>
            <w:tcW w:w="1843" w:type="dxa"/>
            <w:tcBorders>
              <w:top w:val="nil"/>
              <w:left w:val="nil"/>
              <w:bottom w:val="single" w:sz="4" w:space="0" w:color="auto"/>
              <w:right w:val="single" w:sz="4" w:space="0" w:color="auto"/>
            </w:tcBorders>
            <w:shd w:val="clear" w:color="auto" w:fill="auto"/>
            <w:vAlign w:val="center"/>
            <w:hideMark/>
          </w:tcPr>
          <w:p w:rsidR="006A4FDF" w:rsidRPr="00ED4380" w:rsidRDefault="006A4FDF" w:rsidP="00D92726">
            <w:pPr>
              <w:jc w:val="center"/>
              <w:rPr>
                <w:rFonts w:ascii="Times New Roman" w:eastAsia="Times New Roman" w:hAnsi="Times New Roman" w:cs="Times New Roman"/>
                <w:color w:val="000000"/>
                <w:sz w:val="21"/>
                <w:szCs w:val="21"/>
              </w:rPr>
            </w:pPr>
            <w:r w:rsidRPr="00ED4380">
              <w:rPr>
                <w:rFonts w:ascii="Times New Roman" w:eastAsia="Times New Roman" w:hAnsi="Times New Roman" w:cs="Times New Roman"/>
                <w:color w:val="000000"/>
                <w:sz w:val="21"/>
                <w:szCs w:val="21"/>
              </w:rPr>
              <w:t xml:space="preserve">Resulta de aplicar la tasa de 13 % a la sumatoria del precio FOB del producto, ajuste de calidad, flete marítimo, seguro marítimo, pérdidas en tránsito, costo de internación, margen mayorista, margen minorista, flete de zona central e IEC zona central </w:t>
            </w:r>
          </w:p>
        </w:tc>
        <w:tc>
          <w:tcPr>
            <w:tcW w:w="1701" w:type="dxa"/>
            <w:tcBorders>
              <w:top w:val="nil"/>
              <w:left w:val="nil"/>
              <w:bottom w:val="single" w:sz="4" w:space="0" w:color="auto"/>
              <w:right w:val="single" w:sz="4" w:space="0" w:color="auto"/>
            </w:tcBorders>
            <w:shd w:val="clear" w:color="auto" w:fill="auto"/>
            <w:vAlign w:val="center"/>
            <w:hideMark/>
          </w:tcPr>
          <w:p w:rsidR="006A4FDF" w:rsidRPr="00ED4380" w:rsidRDefault="006A4FDF" w:rsidP="00D92726">
            <w:pPr>
              <w:jc w:val="center"/>
              <w:rPr>
                <w:rFonts w:ascii="Times New Roman" w:eastAsia="Times New Roman" w:hAnsi="Times New Roman" w:cs="Times New Roman"/>
                <w:color w:val="000000"/>
                <w:sz w:val="21"/>
                <w:szCs w:val="21"/>
              </w:rPr>
            </w:pPr>
            <w:r w:rsidRPr="00ED4380">
              <w:rPr>
                <w:rFonts w:ascii="Times New Roman" w:eastAsia="Times New Roman" w:hAnsi="Times New Roman" w:cs="Times New Roman"/>
                <w:color w:val="000000"/>
                <w:sz w:val="21"/>
                <w:szCs w:val="21"/>
              </w:rPr>
              <w:t xml:space="preserve">Resulta de aplicar la tasa de 13 % a la sumatoria del precio FOB del producto, ajuste de calidad, flete marítimo, seguro marítimo, pérdidas en tránsito, costo de internación, margen mayorista, margen minorista, flete de zona central e IEC zona central </w:t>
            </w:r>
          </w:p>
        </w:tc>
        <w:tc>
          <w:tcPr>
            <w:tcW w:w="1701" w:type="dxa"/>
            <w:tcBorders>
              <w:top w:val="nil"/>
              <w:left w:val="nil"/>
              <w:bottom w:val="single" w:sz="4" w:space="0" w:color="auto"/>
              <w:right w:val="single" w:sz="4" w:space="0" w:color="auto"/>
            </w:tcBorders>
            <w:shd w:val="clear" w:color="auto" w:fill="auto"/>
            <w:vAlign w:val="center"/>
            <w:hideMark/>
          </w:tcPr>
          <w:p w:rsidR="006A4FDF" w:rsidRPr="00ED4380" w:rsidRDefault="006A4FDF" w:rsidP="00D92726">
            <w:pPr>
              <w:jc w:val="center"/>
              <w:rPr>
                <w:rFonts w:ascii="Times New Roman" w:eastAsia="Times New Roman" w:hAnsi="Times New Roman" w:cs="Times New Roman"/>
                <w:color w:val="000000"/>
                <w:sz w:val="21"/>
                <w:szCs w:val="21"/>
              </w:rPr>
            </w:pPr>
            <w:r w:rsidRPr="00ED4380">
              <w:rPr>
                <w:rFonts w:ascii="Times New Roman" w:eastAsia="Times New Roman" w:hAnsi="Times New Roman" w:cs="Times New Roman"/>
                <w:color w:val="000000"/>
                <w:sz w:val="21"/>
                <w:szCs w:val="21"/>
              </w:rPr>
              <w:t xml:space="preserve">Resulta de aplicar la tasa de 13 % a la sumatoria del precio FOB del producto, ajuste de calidad, flete marítimo, seguro marítimo, pérdidas en tránsito, costo de internación, margen mayorista, margen minorista, flete de zona central, IEC zona central y  FEFE </w:t>
            </w:r>
          </w:p>
        </w:tc>
        <w:tc>
          <w:tcPr>
            <w:tcW w:w="1678" w:type="dxa"/>
            <w:gridSpan w:val="2"/>
            <w:tcBorders>
              <w:top w:val="nil"/>
              <w:left w:val="nil"/>
              <w:bottom w:val="single" w:sz="4" w:space="0" w:color="auto"/>
              <w:right w:val="single" w:sz="4" w:space="0" w:color="auto"/>
            </w:tcBorders>
            <w:shd w:val="clear" w:color="auto" w:fill="auto"/>
            <w:vAlign w:val="center"/>
            <w:hideMark/>
          </w:tcPr>
          <w:p w:rsidR="006A4FDF" w:rsidRPr="00ED4380" w:rsidRDefault="006A4FDF" w:rsidP="00D92726">
            <w:pPr>
              <w:jc w:val="center"/>
              <w:rPr>
                <w:rFonts w:ascii="Times New Roman" w:eastAsia="Times New Roman" w:hAnsi="Times New Roman" w:cs="Times New Roman"/>
                <w:color w:val="000000"/>
                <w:sz w:val="21"/>
                <w:szCs w:val="21"/>
              </w:rPr>
            </w:pPr>
            <w:r w:rsidRPr="00ED4380">
              <w:rPr>
                <w:rFonts w:ascii="Times New Roman" w:eastAsia="Times New Roman" w:hAnsi="Times New Roman" w:cs="Times New Roman"/>
                <w:color w:val="000000"/>
                <w:sz w:val="21"/>
                <w:szCs w:val="21"/>
              </w:rPr>
              <w:t xml:space="preserve">Resulta de aplicar la tasa de 13 % a la sumatoria del precio FOB del producto, ajuste de calidad, flete marítimo, seguro marítimo, pérdidas en tránsito, costo de internación, margen mayorista, margen minorista, flete de zona central, IEC zona central y  FEFE </w:t>
            </w:r>
          </w:p>
        </w:tc>
      </w:tr>
      <w:tr w:rsidR="006A4FDF" w:rsidRPr="00ED4380" w:rsidTr="00D92726">
        <w:trPr>
          <w:trHeight w:val="1050"/>
        </w:trPr>
        <w:tc>
          <w:tcPr>
            <w:tcW w:w="373" w:type="dxa"/>
            <w:tcBorders>
              <w:top w:val="nil"/>
              <w:left w:val="single" w:sz="4" w:space="0" w:color="auto"/>
              <w:bottom w:val="single" w:sz="4" w:space="0" w:color="auto"/>
              <w:right w:val="single" w:sz="4" w:space="0" w:color="auto"/>
            </w:tcBorders>
            <w:shd w:val="clear" w:color="auto" w:fill="auto"/>
            <w:noWrap/>
            <w:vAlign w:val="bottom"/>
            <w:hideMark/>
          </w:tcPr>
          <w:p w:rsidR="006A4FDF" w:rsidRPr="00ED4380" w:rsidRDefault="006A4FDF" w:rsidP="00D92726">
            <w:pPr>
              <w:rPr>
                <w:rFonts w:ascii="Times New Roman" w:eastAsia="Times New Roman" w:hAnsi="Times New Roman" w:cs="Times New Roman"/>
                <w:color w:val="000000"/>
                <w:sz w:val="21"/>
                <w:szCs w:val="21"/>
              </w:rPr>
            </w:pPr>
            <w:r w:rsidRPr="00ED4380">
              <w:rPr>
                <w:rFonts w:ascii="Times New Roman" w:eastAsia="Times New Roman" w:hAnsi="Times New Roman" w:cs="Times New Roman"/>
                <w:color w:val="000000"/>
                <w:sz w:val="21"/>
                <w:szCs w:val="21"/>
              </w:rPr>
              <w:t> </w:t>
            </w:r>
          </w:p>
        </w:tc>
        <w:tc>
          <w:tcPr>
            <w:tcW w:w="1612" w:type="dxa"/>
            <w:tcBorders>
              <w:top w:val="nil"/>
              <w:left w:val="nil"/>
              <w:bottom w:val="single" w:sz="4" w:space="0" w:color="auto"/>
              <w:right w:val="single" w:sz="4" w:space="0" w:color="auto"/>
            </w:tcBorders>
            <w:shd w:val="clear" w:color="auto" w:fill="auto"/>
            <w:noWrap/>
            <w:vAlign w:val="center"/>
            <w:hideMark/>
          </w:tcPr>
          <w:p w:rsidR="006A4FDF" w:rsidRPr="00ED4380" w:rsidRDefault="006A4FDF" w:rsidP="00D92726">
            <w:pPr>
              <w:jc w:val="center"/>
              <w:rPr>
                <w:rFonts w:ascii="Times New Roman" w:eastAsia="Times New Roman" w:hAnsi="Times New Roman" w:cs="Times New Roman"/>
                <w:b/>
                <w:bCs/>
                <w:color w:val="000000"/>
                <w:sz w:val="21"/>
                <w:szCs w:val="21"/>
              </w:rPr>
            </w:pPr>
            <w:r w:rsidRPr="00ED4380">
              <w:rPr>
                <w:rFonts w:ascii="Times New Roman" w:eastAsia="Times New Roman" w:hAnsi="Times New Roman" w:cs="Times New Roman"/>
                <w:b/>
                <w:bCs/>
                <w:color w:val="000000"/>
                <w:sz w:val="21"/>
                <w:szCs w:val="21"/>
              </w:rPr>
              <w:t>Precio de referencia Zona Central</w:t>
            </w:r>
          </w:p>
        </w:tc>
        <w:tc>
          <w:tcPr>
            <w:tcW w:w="1843" w:type="dxa"/>
            <w:tcBorders>
              <w:top w:val="nil"/>
              <w:left w:val="nil"/>
              <w:bottom w:val="single" w:sz="4" w:space="0" w:color="auto"/>
              <w:right w:val="single" w:sz="4" w:space="0" w:color="auto"/>
            </w:tcBorders>
            <w:shd w:val="clear" w:color="auto" w:fill="auto"/>
            <w:vAlign w:val="center"/>
            <w:hideMark/>
          </w:tcPr>
          <w:p w:rsidR="006A4FDF" w:rsidRPr="00ED4380" w:rsidRDefault="006A4FDF" w:rsidP="00D92726">
            <w:pPr>
              <w:jc w:val="center"/>
              <w:rPr>
                <w:rFonts w:ascii="Times New Roman" w:eastAsia="Times New Roman" w:hAnsi="Times New Roman" w:cs="Times New Roman"/>
                <w:color w:val="000000"/>
                <w:sz w:val="21"/>
                <w:szCs w:val="21"/>
              </w:rPr>
            </w:pPr>
            <w:r w:rsidRPr="00ED4380">
              <w:rPr>
                <w:rFonts w:ascii="Times New Roman" w:eastAsia="Times New Roman" w:hAnsi="Times New Roman" w:cs="Times New Roman"/>
                <w:color w:val="000000"/>
                <w:sz w:val="21"/>
                <w:szCs w:val="21"/>
              </w:rPr>
              <w:t>Sumatoria de todos los eslabones de la fórmula anteriores</w:t>
            </w:r>
          </w:p>
        </w:tc>
        <w:tc>
          <w:tcPr>
            <w:tcW w:w="1701" w:type="dxa"/>
            <w:tcBorders>
              <w:top w:val="nil"/>
              <w:left w:val="nil"/>
              <w:bottom w:val="single" w:sz="4" w:space="0" w:color="auto"/>
              <w:right w:val="single" w:sz="4" w:space="0" w:color="auto"/>
            </w:tcBorders>
            <w:shd w:val="clear" w:color="auto" w:fill="auto"/>
            <w:vAlign w:val="center"/>
            <w:hideMark/>
          </w:tcPr>
          <w:p w:rsidR="006A4FDF" w:rsidRPr="00ED4380" w:rsidRDefault="006A4FDF" w:rsidP="00D92726">
            <w:pPr>
              <w:jc w:val="center"/>
              <w:rPr>
                <w:rFonts w:ascii="Times New Roman" w:eastAsia="Times New Roman" w:hAnsi="Times New Roman" w:cs="Times New Roman"/>
                <w:color w:val="000000"/>
                <w:sz w:val="21"/>
                <w:szCs w:val="21"/>
              </w:rPr>
            </w:pPr>
            <w:r w:rsidRPr="00ED4380">
              <w:rPr>
                <w:rFonts w:ascii="Times New Roman" w:eastAsia="Times New Roman" w:hAnsi="Times New Roman" w:cs="Times New Roman"/>
                <w:color w:val="000000"/>
                <w:sz w:val="21"/>
                <w:szCs w:val="21"/>
              </w:rPr>
              <w:t>Sumatoria de todos los eslabones de la fórmula anteriores</w:t>
            </w:r>
          </w:p>
        </w:tc>
        <w:tc>
          <w:tcPr>
            <w:tcW w:w="1701" w:type="dxa"/>
            <w:tcBorders>
              <w:top w:val="nil"/>
              <w:left w:val="nil"/>
              <w:bottom w:val="single" w:sz="4" w:space="0" w:color="auto"/>
              <w:right w:val="single" w:sz="4" w:space="0" w:color="auto"/>
            </w:tcBorders>
            <w:shd w:val="clear" w:color="auto" w:fill="auto"/>
            <w:vAlign w:val="center"/>
            <w:hideMark/>
          </w:tcPr>
          <w:p w:rsidR="006A4FDF" w:rsidRPr="00ED4380" w:rsidRDefault="006A4FDF" w:rsidP="00D92726">
            <w:pPr>
              <w:jc w:val="center"/>
              <w:rPr>
                <w:rFonts w:ascii="Times New Roman" w:eastAsia="Times New Roman" w:hAnsi="Times New Roman" w:cs="Times New Roman"/>
                <w:color w:val="000000"/>
                <w:sz w:val="21"/>
                <w:szCs w:val="21"/>
              </w:rPr>
            </w:pPr>
            <w:r w:rsidRPr="00ED4380">
              <w:rPr>
                <w:rFonts w:ascii="Times New Roman" w:eastAsia="Times New Roman" w:hAnsi="Times New Roman" w:cs="Times New Roman"/>
                <w:color w:val="000000"/>
                <w:sz w:val="21"/>
                <w:szCs w:val="21"/>
              </w:rPr>
              <w:t>Sumatoria de todos los eslabones de la fórmula anteriores</w:t>
            </w:r>
          </w:p>
        </w:tc>
        <w:tc>
          <w:tcPr>
            <w:tcW w:w="1678" w:type="dxa"/>
            <w:gridSpan w:val="2"/>
            <w:tcBorders>
              <w:top w:val="nil"/>
              <w:left w:val="nil"/>
              <w:bottom w:val="single" w:sz="4" w:space="0" w:color="auto"/>
              <w:right w:val="single" w:sz="4" w:space="0" w:color="auto"/>
            </w:tcBorders>
            <w:shd w:val="clear" w:color="auto" w:fill="auto"/>
            <w:vAlign w:val="center"/>
            <w:hideMark/>
          </w:tcPr>
          <w:p w:rsidR="006A4FDF" w:rsidRPr="00ED4380" w:rsidRDefault="006A4FDF" w:rsidP="00D92726">
            <w:pPr>
              <w:jc w:val="center"/>
              <w:rPr>
                <w:rFonts w:ascii="Times New Roman" w:eastAsia="Times New Roman" w:hAnsi="Times New Roman" w:cs="Times New Roman"/>
                <w:color w:val="000000"/>
                <w:sz w:val="21"/>
                <w:szCs w:val="21"/>
              </w:rPr>
            </w:pPr>
            <w:r w:rsidRPr="00ED4380">
              <w:rPr>
                <w:rFonts w:ascii="Times New Roman" w:eastAsia="Times New Roman" w:hAnsi="Times New Roman" w:cs="Times New Roman"/>
                <w:color w:val="000000"/>
                <w:sz w:val="21"/>
                <w:szCs w:val="21"/>
              </w:rPr>
              <w:t>Sumatoria de todos los eslabones de la fórmula anteriores</w:t>
            </w:r>
          </w:p>
        </w:tc>
      </w:tr>
    </w:tbl>
    <w:p w:rsidR="006A4FDF" w:rsidRPr="00ED4380" w:rsidRDefault="006A4FDF" w:rsidP="006A4FDF">
      <w:pPr>
        <w:rPr>
          <w:rFonts w:ascii="Times New Roman" w:hAnsi="Times New Roman" w:cs="Times New Roman"/>
          <w:b/>
          <w:sz w:val="21"/>
          <w:szCs w:val="21"/>
        </w:rPr>
      </w:pPr>
    </w:p>
    <w:p w:rsidR="006A4FDF" w:rsidRPr="00ED4380" w:rsidRDefault="006A4FDF" w:rsidP="006A4FDF">
      <w:pPr>
        <w:rPr>
          <w:rFonts w:ascii="Times New Roman" w:hAnsi="Times New Roman" w:cs="Times New Roman"/>
          <w:b/>
          <w:sz w:val="21"/>
          <w:szCs w:val="21"/>
        </w:rPr>
      </w:pPr>
    </w:p>
    <w:p w:rsidR="006A4FDF" w:rsidRPr="00ED4380" w:rsidRDefault="006A4FDF" w:rsidP="006A4FDF">
      <w:pPr>
        <w:rPr>
          <w:rFonts w:ascii="Times New Roman" w:hAnsi="Times New Roman" w:cs="Times New Roman"/>
          <w:b/>
          <w:sz w:val="21"/>
          <w:szCs w:val="21"/>
        </w:rPr>
      </w:pPr>
    </w:p>
    <w:p w:rsidR="006A4FDF" w:rsidRPr="00ED4380" w:rsidRDefault="006A4FDF" w:rsidP="006A4FDF">
      <w:pPr>
        <w:rPr>
          <w:rFonts w:ascii="Times New Roman" w:hAnsi="Times New Roman" w:cs="Times New Roman"/>
          <w:b/>
          <w:sz w:val="21"/>
          <w:szCs w:val="21"/>
        </w:rPr>
      </w:pPr>
    </w:p>
    <w:p w:rsidR="006A4FDF" w:rsidRPr="00ED4380" w:rsidRDefault="006A4FDF" w:rsidP="006A4FDF">
      <w:pPr>
        <w:rPr>
          <w:rFonts w:ascii="Times New Roman" w:hAnsi="Times New Roman" w:cs="Times New Roman"/>
          <w:b/>
          <w:sz w:val="21"/>
          <w:szCs w:val="21"/>
        </w:rPr>
      </w:pPr>
    </w:p>
    <w:p w:rsidR="006A4FDF" w:rsidRPr="00ED4380" w:rsidRDefault="006A4FDF" w:rsidP="006A4FDF">
      <w:pPr>
        <w:rPr>
          <w:rFonts w:ascii="Times New Roman" w:hAnsi="Times New Roman" w:cs="Times New Roman"/>
          <w:b/>
          <w:sz w:val="21"/>
          <w:szCs w:val="21"/>
        </w:rPr>
      </w:pPr>
    </w:p>
    <w:p w:rsidR="006A4FDF" w:rsidRPr="00ED4380" w:rsidRDefault="006A4FDF" w:rsidP="006A4FDF">
      <w:pPr>
        <w:rPr>
          <w:rFonts w:ascii="Times New Roman" w:hAnsi="Times New Roman" w:cs="Times New Roman"/>
          <w:b/>
          <w:sz w:val="21"/>
          <w:szCs w:val="21"/>
        </w:rPr>
      </w:pPr>
    </w:p>
    <w:p w:rsidR="006A4FDF" w:rsidRPr="00ED4380" w:rsidRDefault="006A4FDF" w:rsidP="006A4FDF">
      <w:pPr>
        <w:rPr>
          <w:rFonts w:ascii="Times New Roman" w:hAnsi="Times New Roman" w:cs="Times New Roman"/>
          <w:b/>
          <w:sz w:val="21"/>
          <w:szCs w:val="21"/>
        </w:rPr>
      </w:pPr>
    </w:p>
    <w:p w:rsidR="006A4FDF" w:rsidRPr="00ED4380" w:rsidRDefault="006A4FDF" w:rsidP="006A4FDF">
      <w:pPr>
        <w:rPr>
          <w:rFonts w:ascii="Times New Roman" w:hAnsi="Times New Roman" w:cs="Times New Roman"/>
          <w:b/>
          <w:sz w:val="21"/>
          <w:szCs w:val="21"/>
        </w:rPr>
      </w:pPr>
    </w:p>
    <w:p w:rsidR="006A4FDF" w:rsidRPr="00ED4380" w:rsidRDefault="006A4FDF" w:rsidP="006A4FDF">
      <w:pPr>
        <w:rPr>
          <w:rFonts w:ascii="Times New Roman" w:hAnsi="Times New Roman" w:cs="Times New Roman"/>
          <w:b/>
          <w:sz w:val="21"/>
          <w:szCs w:val="21"/>
        </w:rPr>
      </w:pPr>
    </w:p>
    <w:p w:rsidR="006A4FDF" w:rsidRPr="00ED4380" w:rsidRDefault="006A4FDF" w:rsidP="006A4FDF">
      <w:pPr>
        <w:rPr>
          <w:rFonts w:ascii="Times New Roman" w:hAnsi="Times New Roman" w:cs="Times New Roman"/>
          <w:b/>
          <w:sz w:val="21"/>
          <w:szCs w:val="21"/>
        </w:rPr>
      </w:pPr>
    </w:p>
    <w:p w:rsidR="006A4FDF" w:rsidRPr="00ED4380" w:rsidRDefault="006A4FDF" w:rsidP="006A4FDF">
      <w:pPr>
        <w:rPr>
          <w:rFonts w:ascii="Times New Roman" w:hAnsi="Times New Roman" w:cs="Times New Roman"/>
          <w:sz w:val="21"/>
          <w:szCs w:val="21"/>
        </w:rPr>
      </w:pPr>
    </w:p>
    <w:p w:rsidR="006A4FDF" w:rsidRPr="00ED4380" w:rsidRDefault="006A4FDF" w:rsidP="006A4FDF">
      <w:pPr>
        <w:rPr>
          <w:rFonts w:ascii="Times New Roman" w:hAnsi="Times New Roman" w:cs="Times New Roman"/>
          <w:sz w:val="21"/>
          <w:szCs w:val="21"/>
        </w:rPr>
      </w:pPr>
    </w:p>
    <w:p w:rsidR="006A4FDF" w:rsidRPr="00ED4380" w:rsidRDefault="006A4FDF" w:rsidP="006A4FDF">
      <w:pPr>
        <w:rPr>
          <w:rFonts w:ascii="Times New Roman" w:hAnsi="Times New Roman" w:cs="Times New Roman"/>
          <w:sz w:val="21"/>
          <w:szCs w:val="21"/>
        </w:rPr>
      </w:pPr>
    </w:p>
    <w:p w:rsidR="006A4FDF" w:rsidRPr="00ED4380" w:rsidRDefault="006A4FDF" w:rsidP="006A4FDF">
      <w:pPr>
        <w:rPr>
          <w:rFonts w:ascii="Times New Roman" w:hAnsi="Times New Roman" w:cs="Times New Roman"/>
          <w:sz w:val="21"/>
          <w:szCs w:val="21"/>
        </w:rPr>
      </w:pPr>
      <w:r w:rsidRPr="00ED4380">
        <w:rPr>
          <w:rFonts w:ascii="Times New Roman" w:hAnsi="Times New Roman" w:cs="Times New Roman"/>
          <w:color w:val="000000"/>
          <w:sz w:val="21"/>
          <w:szCs w:val="21"/>
        </w:rPr>
        <w:t xml:space="preserve"> Información sobre la fórmula para establecer los precios de los hidrocarburos.</w:t>
      </w:r>
    </w:p>
    <w:p w:rsidR="006A4FDF" w:rsidRPr="00ED4380" w:rsidRDefault="006A4FDF" w:rsidP="006A4FDF">
      <w:pPr>
        <w:rPr>
          <w:rFonts w:ascii="Times New Roman" w:hAnsi="Times New Roman" w:cs="Times New Roman"/>
          <w:sz w:val="21"/>
          <w:szCs w:val="21"/>
        </w:rPr>
      </w:pPr>
    </w:p>
    <w:tbl>
      <w:tblPr>
        <w:tblW w:w="0" w:type="auto"/>
        <w:tblInd w:w="70" w:type="dxa"/>
        <w:tblLayout w:type="fixed"/>
        <w:tblCellMar>
          <w:left w:w="70" w:type="dxa"/>
          <w:right w:w="70" w:type="dxa"/>
        </w:tblCellMar>
        <w:tblLook w:val="04A0"/>
      </w:tblPr>
      <w:tblGrid>
        <w:gridCol w:w="372"/>
        <w:gridCol w:w="1613"/>
        <w:gridCol w:w="1843"/>
        <w:gridCol w:w="1559"/>
        <w:gridCol w:w="1559"/>
        <w:gridCol w:w="284"/>
        <w:gridCol w:w="1678"/>
      </w:tblGrid>
      <w:tr w:rsidR="006A4FDF" w:rsidRPr="00ED4380" w:rsidTr="00D92726">
        <w:trPr>
          <w:trHeight w:val="750"/>
        </w:trPr>
        <w:tc>
          <w:tcPr>
            <w:tcW w:w="372" w:type="dxa"/>
            <w:tcBorders>
              <w:top w:val="nil"/>
              <w:left w:val="nil"/>
              <w:bottom w:val="nil"/>
              <w:right w:val="nil"/>
            </w:tcBorders>
            <w:shd w:val="clear" w:color="auto" w:fill="auto"/>
            <w:noWrap/>
            <w:vAlign w:val="bottom"/>
            <w:hideMark/>
          </w:tcPr>
          <w:p w:rsidR="006A4FDF" w:rsidRPr="00ED4380" w:rsidRDefault="006A4FDF" w:rsidP="00D92726">
            <w:pPr>
              <w:rPr>
                <w:rFonts w:ascii="Times New Roman" w:eastAsia="Times New Roman" w:hAnsi="Times New Roman" w:cs="Times New Roman"/>
                <w:color w:val="000000"/>
                <w:sz w:val="21"/>
                <w:szCs w:val="21"/>
              </w:rPr>
            </w:pPr>
          </w:p>
        </w:tc>
        <w:tc>
          <w:tcPr>
            <w:tcW w:w="8536"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6A4FDF" w:rsidRPr="00ED4380" w:rsidRDefault="006A4FDF" w:rsidP="00D92726">
            <w:pPr>
              <w:jc w:val="center"/>
              <w:rPr>
                <w:rFonts w:ascii="Times New Roman" w:eastAsia="Times New Roman" w:hAnsi="Times New Roman" w:cs="Times New Roman"/>
                <w:b/>
                <w:bCs/>
                <w:color w:val="000000"/>
                <w:sz w:val="21"/>
                <w:szCs w:val="21"/>
              </w:rPr>
            </w:pPr>
            <w:r w:rsidRPr="00ED4380">
              <w:rPr>
                <w:rFonts w:ascii="Times New Roman" w:eastAsia="Times New Roman" w:hAnsi="Times New Roman" w:cs="Times New Roman"/>
                <w:b/>
                <w:bCs/>
                <w:color w:val="000000"/>
                <w:sz w:val="21"/>
                <w:szCs w:val="21"/>
              </w:rPr>
              <w:t>Precios de referencia para los combustibles líquidos Zona Occidental</w:t>
            </w:r>
          </w:p>
        </w:tc>
      </w:tr>
      <w:tr w:rsidR="006A4FDF" w:rsidRPr="00ED4380" w:rsidTr="00D92726">
        <w:trPr>
          <w:trHeight w:val="915"/>
        </w:trPr>
        <w:tc>
          <w:tcPr>
            <w:tcW w:w="372" w:type="dxa"/>
            <w:tcBorders>
              <w:top w:val="nil"/>
              <w:left w:val="nil"/>
              <w:bottom w:val="nil"/>
              <w:right w:val="nil"/>
            </w:tcBorders>
            <w:shd w:val="clear" w:color="auto" w:fill="auto"/>
            <w:noWrap/>
            <w:vAlign w:val="bottom"/>
            <w:hideMark/>
          </w:tcPr>
          <w:p w:rsidR="006A4FDF" w:rsidRPr="00ED4380" w:rsidRDefault="006A4FDF" w:rsidP="00D92726">
            <w:pPr>
              <w:rPr>
                <w:rFonts w:ascii="Times New Roman" w:eastAsia="Times New Roman" w:hAnsi="Times New Roman" w:cs="Times New Roman"/>
                <w:color w:val="000000"/>
                <w:sz w:val="21"/>
                <w:szCs w:val="21"/>
              </w:rPr>
            </w:pPr>
          </w:p>
        </w:tc>
        <w:tc>
          <w:tcPr>
            <w:tcW w:w="1613" w:type="dxa"/>
            <w:tcBorders>
              <w:top w:val="nil"/>
              <w:left w:val="single" w:sz="4" w:space="0" w:color="auto"/>
              <w:bottom w:val="single" w:sz="4" w:space="0" w:color="auto"/>
              <w:right w:val="single" w:sz="4" w:space="0" w:color="auto"/>
            </w:tcBorders>
            <w:shd w:val="clear" w:color="000000" w:fill="B8CCE4"/>
            <w:noWrap/>
            <w:vAlign w:val="center"/>
            <w:hideMark/>
          </w:tcPr>
          <w:p w:rsidR="006A4FDF" w:rsidRPr="00ED4380" w:rsidRDefault="006A4FDF" w:rsidP="00D92726">
            <w:pPr>
              <w:jc w:val="center"/>
              <w:rPr>
                <w:rFonts w:ascii="Times New Roman" w:eastAsia="Times New Roman" w:hAnsi="Times New Roman" w:cs="Times New Roman"/>
                <w:b/>
                <w:bCs/>
                <w:color w:val="000000"/>
                <w:sz w:val="21"/>
                <w:szCs w:val="21"/>
              </w:rPr>
            </w:pPr>
            <w:r w:rsidRPr="00ED4380">
              <w:rPr>
                <w:rFonts w:ascii="Times New Roman" w:eastAsia="Times New Roman" w:hAnsi="Times New Roman" w:cs="Times New Roman"/>
                <w:b/>
                <w:bCs/>
                <w:color w:val="000000"/>
                <w:sz w:val="21"/>
                <w:szCs w:val="21"/>
              </w:rPr>
              <w:t>Detalle</w:t>
            </w:r>
          </w:p>
        </w:tc>
        <w:tc>
          <w:tcPr>
            <w:tcW w:w="1843" w:type="dxa"/>
            <w:tcBorders>
              <w:top w:val="nil"/>
              <w:left w:val="nil"/>
              <w:bottom w:val="single" w:sz="4" w:space="0" w:color="auto"/>
              <w:right w:val="single" w:sz="4" w:space="0" w:color="auto"/>
            </w:tcBorders>
            <w:shd w:val="clear" w:color="000000" w:fill="B8CCE4"/>
            <w:vAlign w:val="center"/>
            <w:hideMark/>
          </w:tcPr>
          <w:p w:rsidR="006A4FDF" w:rsidRPr="00ED4380" w:rsidRDefault="006A4FDF" w:rsidP="00D92726">
            <w:pPr>
              <w:jc w:val="center"/>
              <w:rPr>
                <w:rFonts w:ascii="Times New Roman" w:eastAsia="Times New Roman" w:hAnsi="Times New Roman" w:cs="Times New Roman"/>
                <w:b/>
                <w:bCs/>
                <w:color w:val="000000"/>
                <w:sz w:val="21"/>
                <w:szCs w:val="21"/>
              </w:rPr>
            </w:pPr>
            <w:r w:rsidRPr="00ED4380">
              <w:rPr>
                <w:rFonts w:ascii="Times New Roman" w:eastAsia="Times New Roman" w:hAnsi="Times New Roman" w:cs="Times New Roman"/>
                <w:b/>
                <w:bCs/>
                <w:color w:val="000000"/>
                <w:sz w:val="21"/>
                <w:szCs w:val="21"/>
              </w:rPr>
              <w:t>Diésel</w:t>
            </w:r>
          </w:p>
        </w:tc>
        <w:tc>
          <w:tcPr>
            <w:tcW w:w="1559" w:type="dxa"/>
            <w:tcBorders>
              <w:top w:val="nil"/>
              <w:left w:val="nil"/>
              <w:bottom w:val="single" w:sz="4" w:space="0" w:color="auto"/>
              <w:right w:val="single" w:sz="4" w:space="0" w:color="auto"/>
            </w:tcBorders>
            <w:shd w:val="clear" w:color="000000" w:fill="B8CCE4"/>
            <w:vAlign w:val="center"/>
            <w:hideMark/>
          </w:tcPr>
          <w:p w:rsidR="006A4FDF" w:rsidRPr="00ED4380" w:rsidRDefault="006A4FDF" w:rsidP="00D92726">
            <w:pPr>
              <w:jc w:val="center"/>
              <w:rPr>
                <w:rFonts w:ascii="Times New Roman" w:eastAsia="Times New Roman" w:hAnsi="Times New Roman" w:cs="Times New Roman"/>
                <w:b/>
                <w:bCs/>
                <w:color w:val="000000"/>
                <w:sz w:val="21"/>
                <w:szCs w:val="21"/>
              </w:rPr>
            </w:pPr>
            <w:r w:rsidRPr="00ED4380">
              <w:rPr>
                <w:rFonts w:ascii="Times New Roman" w:eastAsia="Times New Roman" w:hAnsi="Times New Roman" w:cs="Times New Roman"/>
                <w:b/>
                <w:bCs/>
                <w:color w:val="000000"/>
                <w:sz w:val="21"/>
                <w:szCs w:val="21"/>
              </w:rPr>
              <w:t>Diésel bajo en azufre</w:t>
            </w:r>
          </w:p>
        </w:tc>
        <w:tc>
          <w:tcPr>
            <w:tcW w:w="1843" w:type="dxa"/>
            <w:gridSpan w:val="2"/>
            <w:tcBorders>
              <w:top w:val="nil"/>
              <w:left w:val="nil"/>
              <w:bottom w:val="single" w:sz="4" w:space="0" w:color="auto"/>
              <w:right w:val="single" w:sz="4" w:space="0" w:color="auto"/>
            </w:tcBorders>
            <w:shd w:val="clear" w:color="000000" w:fill="B8CCE4"/>
            <w:vAlign w:val="center"/>
            <w:hideMark/>
          </w:tcPr>
          <w:p w:rsidR="006A4FDF" w:rsidRPr="00ED4380" w:rsidRDefault="006A4FDF" w:rsidP="00D92726">
            <w:pPr>
              <w:jc w:val="center"/>
              <w:rPr>
                <w:rFonts w:ascii="Times New Roman" w:eastAsia="Times New Roman" w:hAnsi="Times New Roman" w:cs="Times New Roman"/>
                <w:b/>
                <w:bCs/>
                <w:color w:val="000000"/>
                <w:sz w:val="21"/>
                <w:szCs w:val="21"/>
              </w:rPr>
            </w:pPr>
            <w:r w:rsidRPr="00ED4380">
              <w:rPr>
                <w:rFonts w:ascii="Times New Roman" w:eastAsia="Times New Roman" w:hAnsi="Times New Roman" w:cs="Times New Roman"/>
                <w:b/>
                <w:bCs/>
                <w:color w:val="000000"/>
                <w:sz w:val="21"/>
                <w:szCs w:val="21"/>
              </w:rPr>
              <w:t>Gasolina Regular</w:t>
            </w:r>
          </w:p>
        </w:tc>
        <w:tc>
          <w:tcPr>
            <w:tcW w:w="1678" w:type="dxa"/>
            <w:tcBorders>
              <w:top w:val="nil"/>
              <w:left w:val="nil"/>
              <w:bottom w:val="single" w:sz="4" w:space="0" w:color="auto"/>
              <w:right w:val="single" w:sz="4" w:space="0" w:color="auto"/>
            </w:tcBorders>
            <w:shd w:val="clear" w:color="000000" w:fill="B8CCE4"/>
            <w:vAlign w:val="center"/>
            <w:hideMark/>
          </w:tcPr>
          <w:p w:rsidR="006A4FDF" w:rsidRPr="00ED4380" w:rsidRDefault="006A4FDF" w:rsidP="00D92726">
            <w:pPr>
              <w:jc w:val="center"/>
              <w:rPr>
                <w:rFonts w:ascii="Times New Roman" w:eastAsia="Times New Roman" w:hAnsi="Times New Roman" w:cs="Times New Roman"/>
                <w:b/>
                <w:bCs/>
                <w:color w:val="000000"/>
                <w:sz w:val="21"/>
                <w:szCs w:val="21"/>
              </w:rPr>
            </w:pPr>
            <w:r w:rsidRPr="00ED4380">
              <w:rPr>
                <w:rFonts w:ascii="Times New Roman" w:eastAsia="Times New Roman" w:hAnsi="Times New Roman" w:cs="Times New Roman"/>
                <w:b/>
                <w:bCs/>
                <w:color w:val="000000"/>
                <w:sz w:val="21"/>
                <w:szCs w:val="21"/>
              </w:rPr>
              <w:t>Gasolina Especial</w:t>
            </w:r>
          </w:p>
        </w:tc>
      </w:tr>
      <w:tr w:rsidR="006A4FDF" w:rsidRPr="00ED4380" w:rsidTr="00D92726">
        <w:trPr>
          <w:trHeight w:val="660"/>
        </w:trPr>
        <w:tc>
          <w:tcPr>
            <w:tcW w:w="372" w:type="dxa"/>
            <w:vMerge w:val="restart"/>
            <w:tcBorders>
              <w:top w:val="single" w:sz="4" w:space="0" w:color="auto"/>
              <w:left w:val="single" w:sz="4" w:space="0" w:color="auto"/>
              <w:bottom w:val="single" w:sz="4" w:space="0" w:color="auto"/>
              <w:right w:val="nil"/>
            </w:tcBorders>
            <w:shd w:val="clear" w:color="auto" w:fill="auto"/>
            <w:noWrap/>
            <w:textDirection w:val="btLr"/>
            <w:vAlign w:val="center"/>
            <w:hideMark/>
          </w:tcPr>
          <w:p w:rsidR="006A4FDF" w:rsidRPr="00ED4380" w:rsidRDefault="006A4FDF" w:rsidP="00D92726">
            <w:pPr>
              <w:jc w:val="center"/>
              <w:rPr>
                <w:rFonts w:ascii="Times New Roman" w:eastAsia="Times New Roman" w:hAnsi="Times New Roman" w:cs="Times New Roman"/>
                <w:b/>
                <w:bCs/>
                <w:color w:val="000000"/>
                <w:sz w:val="21"/>
                <w:szCs w:val="21"/>
              </w:rPr>
            </w:pPr>
            <w:r w:rsidRPr="00ED4380">
              <w:rPr>
                <w:rFonts w:ascii="Times New Roman" w:eastAsia="Times New Roman" w:hAnsi="Times New Roman" w:cs="Times New Roman"/>
                <w:b/>
                <w:bCs/>
                <w:color w:val="000000"/>
                <w:sz w:val="21"/>
                <w:szCs w:val="21"/>
              </w:rPr>
              <w:t>Precio CIF</w:t>
            </w:r>
          </w:p>
        </w:tc>
        <w:tc>
          <w:tcPr>
            <w:tcW w:w="1613" w:type="dxa"/>
            <w:tcBorders>
              <w:top w:val="nil"/>
              <w:left w:val="single" w:sz="4" w:space="0" w:color="auto"/>
              <w:bottom w:val="single" w:sz="4" w:space="0" w:color="auto"/>
              <w:right w:val="single" w:sz="4" w:space="0" w:color="auto"/>
            </w:tcBorders>
            <w:shd w:val="clear" w:color="auto" w:fill="auto"/>
            <w:noWrap/>
            <w:vAlign w:val="center"/>
            <w:hideMark/>
          </w:tcPr>
          <w:p w:rsidR="006A4FDF" w:rsidRPr="00ED4380" w:rsidRDefault="006A4FDF" w:rsidP="00D92726">
            <w:pPr>
              <w:jc w:val="center"/>
              <w:rPr>
                <w:rFonts w:ascii="Times New Roman" w:eastAsia="Times New Roman" w:hAnsi="Times New Roman" w:cs="Times New Roman"/>
                <w:b/>
                <w:bCs/>
                <w:color w:val="000000"/>
                <w:sz w:val="21"/>
                <w:szCs w:val="21"/>
              </w:rPr>
            </w:pPr>
            <w:r w:rsidRPr="00ED4380">
              <w:rPr>
                <w:rFonts w:ascii="Times New Roman" w:eastAsia="Times New Roman" w:hAnsi="Times New Roman" w:cs="Times New Roman"/>
                <w:b/>
                <w:bCs/>
                <w:color w:val="000000"/>
                <w:sz w:val="21"/>
                <w:szCs w:val="21"/>
              </w:rPr>
              <w:t>Precio FOB</w:t>
            </w:r>
          </w:p>
        </w:tc>
        <w:tc>
          <w:tcPr>
            <w:tcW w:w="1843" w:type="dxa"/>
            <w:tcBorders>
              <w:top w:val="nil"/>
              <w:left w:val="nil"/>
              <w:bottom w:val="single" w:sz="4" w:space="0" w:color="auto"/>
              <w:right w:val="single" w:sz="4" w:space="0" w:color="auto"/>
            </w:tcBorders>
            <w:shd w:val="clear" w:color="auto" w:fill="auto"/>
            <w:vAlign w:val="center"/>
            <w:hideMark/>
          </w:tcPr>
          <w:p w:rsidR="006A4FDF" w:rsidRPr="00ED4380" w:rsidRDefault="006A4FDF" w:rsidP="00D92726">
            <w:pPr>
              <w:jc w:val="center"/>
              <w:rPr>
                <w:rFonts w:ascii="Times New Roman" w:eastAsia="Times New Roman" w:hAnsi="Times New Roman" w:cs="Times New Roman"/>
                <w:color w:val="000000"/>
                <w:sz w:val="21"/>
                <w:szCs w:val="21"/>
              </w:rPr>
            </w:pPr>
            <w:r w:rsidRPr="00ED4380">
              <w:rPr>
                <w:rFonts w:ascii="Times New Roman" w:eastAsia="Times New Roman" w:hAnsi="Times New Roman" w:cs="Times New Roman"/>
                <w:color w:val="000000"/>
                <w:sz w:val="21"/>
                <w:szCs w:val="21"/>
              </w:rPr>
              <w:t>CONFIDENCIAL</w:t>
            </w:r>
          </w:p>
        </w:tc>
        <w:tc>
          <w:tcPr>
            <w:tcW w:w="1559" w:type="dxa"/>
            <w:tcBorders>
              <w:top w:val="nil"/>
              <w:left w:val="nil"/>
              <w:bottom w:val="single" w:sz="4" w:space="0" w:color="auto"/>
              <w:right w:val="single" w:sz="4" w:space="0" w:color="auto"/>
            </w:tcBorders>
            <w:shd w:val="clear" w:color="auto" w:fill="auto"/>
            <w:vAlign w:val="center"/>
            <w:hideMark/>
          </w:tcPr>
          <w:p w:rsidR="006A4FDF" w:rsidRPr="00ED4380" w:rsidRDefault="006A4FDF" w:rsidP="00D92726">
            <w:pPr>
              <w:jc w:val="center"/>
              <w:rPr>
                <w:rFonts w:ascii="Times New Roman" w:eastAsia="Times New Roman" w:hAnsi="Times New Roman" w:cs="Times New Roman"/>
                <w:color w:val="000000"/>
                <w:sz w:val="21"/>
                <w:szCs w:val="21"/>
              </w:rPr>
            </w:pPr>
            <w:r w:rsidRPr="00ED4380">
              <w:rPr>
                <w:rFonts w:ascii="Times New Roman" w:eastAsia="Times New Roman" w:hAnsi="Times New Roman" w:cs="Times New Roman"/>
                <w:color w:val="000000"/>
                <w:sz w:val="21"/>
                <w:szCs w:val="21"/>
              </w:rPr>
              <w:t>CONFIDENCIAL</w:t>
            </w:r>
          </w:p>
        </w:tc>
        <w:tc>
          <w:tcPr>
            <w:tcW w:w="1843" w:type="dxa"/>
            <w:gridSpan w:val="2"/>
            <w:tcBorders>
              <w:top w:val="nil"/>
              <w:left w:val="nil"/>
              <w:bottom w:val="single" w:sz="4" w:space="0" w:color="auto"/>
              <w:right w:val="single" w:sz="4" w:space="0" w:color="auto"/>
            </w:tcBorders>
            <w:shd w:val="clear" w:color="auto" w:fill="auto"/>
            <w:vAlign w:val="center"/>
            <w:hideMark/>
          </w:tcPr>
          <w:p w:rsidR="006A4FDF" w:rsidRPr="00ED4380" w:rsidRDefault="006A4FDF" w:rsidP="00D92726">
            <w:pPr>
              <w:jc w:val="center"/>
              <w:rPr>
                <w:rFonts w:ascii="Times New Roman" w:eastAsia="Times New Roman" w:hAnsi="Times New Roman" w:cs="Times New Roman"/>
                <w:color w:val="000000"/>
                <w:sz w:val="21"/>
                <w:szCs w:val="21"/>
              </w:rPr>
            </w:pPr>
            <w:r w:rsidRPr="00ED4380">
              <w:rPr>
                <w:rFonts w:ascii="Times New Roman" w:eastAsia="Times New Roman" w:hAnsi="Times New Roman" w:cs="Times New Roman"/>
                <w:color w:val="000000"/>
                <w:sz w:val="21"/>
                <w:szCs w:val="21"/>
              </w:rPr>
              <w:t>CONFIDENCIAL</w:t>
            </w:r>
          </w:p>
        </w:tc>
        <w:tc>
          <w:tcPr>
            <w:tcW w:w="1678" w:type="dxa"/>
            <w:tcBorders>
              <w:top w:val="nil"/>
              <w:left w:val="nil"/>
              <w:bottom w:val="single" w:sz="4" w:space="0" w:color="auto"/>
              <w:right w:val="single" w:sz="4" w:space="0" w:color="auto"/>
            </w:tcBorders>
            <w:shd w:val="clear" w:color="auto" w:fill="auto"/>
            <w:vAlign w:val="center"/>
            <w:hideMark/>
          </w:tcPr>
          <w:p w:rsidR="006A4FDF" w:rsidRPr="00ED4380" w:rsidRDefault="006A4FDF" w:rsidP="00D92726">
            <w:pPr>
              <w:jc w:val="center"/>
              <w:rPr>
                <w:rFonts w:ascii="Times New Roman" w:eastAsia="Times New Roman" w:hAnsi="Times New Roman" w:cs="Times New Roman"/>
                <w:color w:val="000000"/>
                <w:sz w:val="21"/>
                <w:szCs w:val="21"/>
              </w:rPr>
            </w:pPr>
            <w:r w:rsidRPr="00ED4380">
              <w:rPr>
                <w:rFonts w:ascii="Times New Roman" w:eastAsia="Times New Roman" w:hAnsi="Times New Roman" w:cs="Times New Roman"/>
                <w:color w:val="000000"/>
                <w:sz w:val="21"/>
                <w:szCs w:val="21"/>
              </w:rPr>
              <w:t>CONFIDENCIAL</w:t>
            </w:r>
          </w:p>
        </w:tc>
      </w:tr>
      <w:tr w:rsidR="006A4FDF" w:rsidRPr="00ED4380" w:rsidTr="00D92726">
        <w:trPr>
          <w:trHeight w:val="2355"/>
        </w:trPr>
        <w:tc>
          <w:tcPr>
            <w:tcW w:w="372" w:type="dxa"/>
            <w:vMerge/>
            <w:tcBorders>
              <w:top w:val="single" w:sz="4" w:space="0" w:color="auto"/>
              <w:left w:val="single" w:sz="4" w:space="0" w:color="auto"/>
              <w:bottom w:val="single" w:sz="4" w:space="0" w:color="auto"/>
              <w:right w:val="nil"/>
            </w:tcBorders>
            <w:vAlign w:val="center"/>
            <w:hideMark/>
          </w:tcPr>
          <w:p w:rsidR="006A4FDF" w:rsidRPr="00ED4380" w:rsidRDefault="006A4FDF" w:rsidP="00D92726">
            <w:pPr>
              <w:rPr>
                <w:rFonts w:ascii="Times New Roman" w:eastAsia="Times New Roman" w:hAnsi="Times New Roman" w:cs="Times New Roman"/>
                <w:b/>
                <w:bCs/>
                <w:color w:val="000000"/>
                <w:sz w:val="21"/>
                <w:szCs w:val="21"/>
              </w:rPr>
            </w:pPr>
          </w:p>
        </w:tc>
        <w:tc>
          <w:tcPr>
            <w:tcW w:w="1613" w:type="dxa"/>
            <w:tcBorders>
              <w:top w:val="nil"/>
              <w:left w:val="single" w:sz="4" w:space="0" w:color="auto"/>
              <w:bottom w:val="single" w:sz="4" w:space="0" w:color="auto"/>
              <w:right w:val="single" w:sz="4" w:space="0" w:color="auto"/>
            </w:tcBorders>
            <w:shd w:val="clear" w:color="auto" w:fill="auto"/>
            <w:noWrap/>
            <w:vAlign w:val="center"/>
            <w:hideMark/>
          </w:tcPr>
          <w:p w:rsidR="006A4FDF" w:rsidRPr="00ED4380" w:rsidRDefault="006A4FDF" w:rsidP="00D92726">
            <w:pPr>
              <w:jc w:val="center"/>
              <w:rPr>
                <w:rFonts w:ascii="Times New Roman" w:eastAsia="Times New Roman" w:hAnsi="Times New Roman" w:cs="Times New Roman"/>
                <w:b/>
                <w:bCs/>
                <w:color w:val="000000"/>
                <w:sz w:val="21"/>
                <w:szCs w:val="21"/>
              </w:rPr>
            </w:pPr>
            <w:r w:rsidRPr="00ED4380">
              <w:rPr>
                <w:rFonts w:ascii="Times New Roman" w:eastAsia="Times New Roman" w:hAnsi="Times New Roman" w:cs="Times New Roman"/>
                <w:b/>
                <w:bCs/>
                <w:color w:val="000000"/>
                <w:sz w:val="21"/>
                <w:szCs w:val="21"/>
              </w:rPr>
              <w:t>Ajuste de calidad</w:t>
            </w:r>
          </w:p>
        </w:tc>
        <w:tc>
          <w:tcPr>
            <w:tcW w:w="1843" w:type="dxa"/>
            <w:tcBorders>
              <w:top w:val="nil"/>
              <w:left w:val="nil"/>
              <w:bottom w:val="single" w:sz="4" w:space="0" w:color="auto"/>
              <w:right w:val="single" w:sz="4" w:space="0" w:color="auto"/>
            </w:tcBorders>
            <w:shd w:val="clear" w:color="auto" w:fill="auto"/>
            <w:vAlign w:val="center"/>
            <w:hideMark/>
          </w:tcPr>
          <w:p w:rsidR="006A4FDF" w:rsidRPr="00ED4380" w:rsidRDefault="006A4FDF" w:rsidP="00D92726">
            <w:pPr>
              <w:jc w:val="center"/>
              <w:rPr>
                <w:rFonts w:ascii="Times New Roman" w:eastAsia="Times New Roman" w:hAnsi="Times New Roman" w:cs="Times New Roman"/>
                <w:color w:val="000000"/>
                <w:sz w:val="21"/>
                <w:szCs w:val="21"/>
              </w:rPr>
            </w:pPr>
            <w:r w:rsidRPr="00ED4380">
              <w:rPr>
                <w:rFonts w:ascii="Times New Roman" w:eastAsia="Times New Roman" w:hAnsi="Times New Roman" w:cs="Times New Roman"/>
                <w:color w:val="000000"/>
                <w:sz w:val="21"/>
                <w:szCs w:val="21"/>
              </w:rPr>
              <w:t xml:space="preserve">Costo del aditivo multiplicado por la cantidad porcentual para que un galón de diésel con índice de </w:t>
            </w:r>
            <w:proofErr w:type="spellStart"/>
            <w:r w:rsidRPr="00ED4380">
              <w:rPr>
                <w:rFonts w:ascii="Times New Roman" w:eastAsia="Times New Roman" w:hAnsi="Times New Roman" w:cs="Times New Roman"/>
                <w:color w:val="000000"/>
                <w:sz w:val="21"/>
                <w:szCs w:val="21"/>
              </w:rPr>
              <w:t>cetano</w:t>
            </w:r>
            <w:proofErr w:type="spellEnd"/>
            <w:r w:rsidRPr="00ED4380">
              <w:rPr>
                <w:rFonts w:ascii="Times New Roman" w:eastAsia="Times New Roman" w:hAnsi="Times New Roman" w:cs="Times New Roman"/>
                <w:color w:val="000000"/>
                <w:sz w:val="21"/>
                <w:szCs w:val="21"/>
              </w:rPr>
              <w:t xml:space="preserve"> 40 llegue al valor de 45</w:t>
            </w:r>
          </w:p>
        </w:tc>
        <w:tc>
          <w:tcPr>
            <w:tcW w:w="1559" w:type="dxa"/>
            <w:tcBorders>
              <w:top w:val="nil"/>
              <w:left w:val="nil"/>
              <w:bottom w:val="single" w:sz="4" w:space="0" w:color="auto"/>
              <w:right w:val="single" w:sz="4" w:space="0" w:color="auto"/>
            </w:tcBorders>
            <w:shd w:val="clear" w:color="auto" w:fill="auto"/>
            <w:vAlign w:val="center"/>
            <w:hideMark/>
          </w:tcPr>
          <w:p w:rsidR="006A4FDF" w:rsidRPr="00ED4380" w:rsidRDefault="006A4FDF" w:rsidP="00D92726">
            <w:pPr>
              <w:jc w:val="center"/>
              <w:rPr>
                <w:rFonts w:ascii="Times New Roman" w:eastAsia="Times New Roman" w:hAnsi="Times New Roman" w:cs="Times New Roman"/>
                <w:color w:val="000000"/>
                <w:sz w:val="21"/>
                <w:szCs w:val="21"/>
              </w:rPr>
            </w:pPr>
            <w:r w:rsidRPr="00ED4380">
              <w:rPr>
                <w:rFonts w:ascii="Times New Roman" w:eastAsia="Times New Roman" w:hAnsi="Times New Roman" w:cs="Times New Roman"/>
                <w:color w:val="000000"/>
                <w:sz w:val="21"/>
                <w:szCs w:val="21"/>
              </w:rPr>
              <w:t xml:space="preserve">Costo del aditivo multiplicado por la cantidad porcentual para que un galón de diésel con índice de </w:t>
            </w:r>
            <w:proofErr w:type="spellStart"/>
            <w:r w:rsidRPr="00ED4380">
              <w:rPr>
                <w:rFonts w:ascii="Times New Roman" w:eastAsia="Times New Roman" w:hAnsi="Times New Roman" w:cs="Times New Roman"/>
                <w:color w:val="000000"/>
                <w:sz w:val="21"/>
                <w:szCs w:val="21"/>
              </w:rPr>
              <w:t>cetano</w:t>
            </w:r>
            <w:proofErr w:type="spellEnd"/>
            <w:r w:rsidRPr="00ED4380">
              <w:rPr>
                <w:rFonts w:ascii="Times New Roman" w:eastAsia="Times New Roman" w:hAnsi="Times New Roman" w:cs="Times New Roman"/>
                <w:color w:val="000000"/>
                <w:sz w:val="21"/>
                <w:szCs w:val="21"/>
              </w:rPr>
              <w:t xml:space="preserve"> 40 llegue al valor de 45</w:t>
            </w:r>
          </w:p>
        </w:tc>
        <w:tc>
          <w:tcPr>
            <w:tcW w:w="1843" w:type="dxa"/>
            <w:gridSpan w:val="2"/>
            <w:tcBorders>
              <w:top w:val="nil"/>
              <w:left w:val="nil"/>
              <w:bottom w:val="single" w:sz="4" w:space="0" w:color="auto"/>
              <w:right w:val="single" w:sz="4" w:space="0" w:color="auto"/>
            </w:tcBorders>
            <w:shd w:val="clear" w:color="auto" w:fill="auto"/>
            <w:vAlign w:val="center"/>
            <w:hideMark/>
          </w:tcPr>
          <w:p w:rsidR="006A4FDF" w:rsidRPr="00ED4380" w:rsidRDefault="006A4FDF" w:rsidP="00D92726">
            <w:pPr>
              <w:jc w:val="center"/>
              <w:rPr>
                <w:rFonts w:ascii="Times New Roman" w:eastAsia="Times New Roman" w:hAnsi="Times New Roman" w:cs="Times New Roman"/>
                <w:color w:val="000000"/>
                <w:sz w:val="21"/>
                <w:szCs w:val="21"/>
              </w:rPr>
            </w:pPr>
            <w:r w:rsidRPr="00ED4380">
              <w:rPr>
                <w:rFonts w:ascii="Times New Roman" w:eastAsia="Times New Roman" w:hAnsi="Times New Roman" w:cs="Times New Roman"/>
                <w:color w:val="000000"/>
                <w:sz w:val="21"/>
                <w:szCs w:val="21"/>
              </w:rPr>
              <w:t xml:space="preserve">0.028*(Promedio 6 meses Precio </w:t>
            </w:r>
            <w:proofErr w:type="spellStart"/>
            <w:r w:rsidRPr="00ED4380">
              <w:rPr>
                <w:rFonts w:ascii="Times New Roman" w:eastAsia="Times New Roman" w:hAnsi="Times New Roman" w:cs="Times New Roman"/>
                <w:color w:val="000000"/>
                <w:sz w:val="21"/>
                <w:szCs w:val="21"/>
              </w:rPr>
              <w:t>Platt’s</w:t>
            </w:r>
            <w:proofErr w:type="spellEnd"/>
            <w:r w:rsidRPr="00ED4380">
              <w:rPr>
                <w:rFonts w:ascii="Times New Roman" w:eastAsia="Times New Roman" w:hAnsi="Times New Roman" w:cs="Times New Roman"/>
                <w:color w:val="000000"/>
                <w:sz w:val="21"/>
                <w:szCs w:val="21"/>
              </w:rPr>
              <w:t xml:space="preserve"> UNL-87 – Promedio 6 meses Precio </w:t>
            </w:r>
            <w:proofErr w:type="spellStart"/>
            <w:r w:rsidRPr="00ED4380">
              <w:rPr>
                <w:rFonts w:ascii="Times New Roman" w:eastAsia="Times New Roman" w:hAnsi="Times New Roman" w:cs="Times New Roman"/>
                <w:color w:val="000000"/>
                <w:sz w:val="21"/>
                <w:szCs w:val="21"/>
              </w:rPr>
              <w:t>Platt’s</w:t>
            </w:r>
            <w:proofErr w:type="spellEnd"/>
            <w:r w:rsidRPr="00ED4380">
              <w:rPr>
                <w:rFonts w:ascii="Times New Roman" w:eastAsia="Times New Roman" w:hAnsi="Times New Roman" w:cs="Times New Roman"/>
                <w:color w:val="000000"/>
                <w:sz w:val="21"/>
                <w:szCs w:val="21"/>
              </w:rPr>
              <w:t xml:space="preserve"> Butano normal </w:t>
            </w:r>
            <w:proofErr w:type="spellStart"/>
            <w:r w:rsidRPr="00ED4380">
              <w:rPr>
                <w:rFonts w:ascii="Times New Roman" w:eastAsia="Times New Roman" w:hAnsi="Times New Roman" w:cs="Times New Roman"/>
                <w:color w:val="000000"/>
                <w:sz w:val="21"/>
                <w:szCs w:val="21"/>
              </w:rPr>
              <w:t>Mt.</w:t>
            </w:r>
            <w:proofErr w:type="spellEnd"/>
            <w:r w:rsidRPr="00ED4380">
              <w:rPr>
                <w:rFonts w:ascii="Times New Roman" w:eastAsia="Times New Roman" w:hAnsi="Times New Roman" w:cs="Times New Roman"/>
                <w:color w:val="000000"/>
                <w:sz w:val="21"/>
                <w:szCs w:val="21"/>
              </w:rPr>
              <w:t xml:space="preserve"> </w:t>
            </w:r>
            <w:proofErr w:type="spellStart"/>
            <w:r w:rsidRPr="00ED4380">
              <w:rPr>
                <w:rFonts w:ascii="Times New Roman" w:eastAsia="Times New Roman" w:hAnsi="Times New Roman" w:cs="Times New Roman"/>
                <w:color w:val="000000"/>
                <w:sz w:val="21"/>
                <w:szCs w:val="21"/>
              </w:rPr>
              <w:t>Belvieu</w:t>
            </w:r>
            <w:proofErr w:type="spellEnd"/>
            <w:r w:rsidRPr="00ED4380">
              <w:rPr>
                <w:rFonts w:ascii="Times New Roman" w:eastAsia="Times New Roman" w:hAnsi="Times New Roman" w:cs="Times New Roman"/>
                <w:color w:val="000000"/>
                <w:sz w:val="21"/>
                <w:szCs w:val="21"/>
              </w:rPr>
              <w:t xml:space="preserve">) + ((Promedio 6 meses Precio </w:t>
            </w:r>
            <w:proofErr w:type="spellStart"/>
            <w:r w:rsidRPr="00ED4380">
              <w:rPr>
                <w:rFonts w:ascii="Times New Roman" w:eastAsia="Times New Roman" w:hAnsi="Times New Roman" w:cs="Times New Roman"/>
                <w:color w:val="000000"/>
                <w:sz w:val="21"/>
                <w:szCs w:val="21"/>
              </w:rPr>
              <w:t>Platt’s</w:t>
            </w:r>
            <w:proofErr w:type="spellEnd"/>
            <w:r w:rsidRPr="00ED4380">
              <w:rPr>
                <w:rFonts w:ascii="Times New Roman" w:eastAsia="Times New Roman" w:hAnsi="Times New Roman" w:cs="Times New Roman"/>
                <w:color w:val="000000"/>
                <w:sz w:val="21"/>
                <w:szCs w:val="21"/>
              </w:rPr>
              <w:t xml:space="preserve"> UNL-87  – Promedio 6 meses Precio </w:t>
            </w:r>
            <w:proofErr w:type="spellStart"/>
            <w:r w:rsidRPr="00ED4380">
              <w:rPr>
                <w:rFonts w:ascii="Times New Roman" w:eastAsia="Times New Roman" w:hAnsi="Times New Roman" w:cs="Times New Roman"/>
                <w:color w:val="000000"/>
                <w:sz w:val="21"/>
                <w:szCs w:val="21"/>
              </w:rPr>
              <w:t>Platt’s</w:t>
            </w:r>
            <w:proofErr w:type="spellEnd"/>
            <w:r w:rsidRPr="00ED4380">
              <w:rPr>
                <w:rFonts w:ascii="Times New Roman" w:eastAsia="Times New Roman" w:hAnsi="Times New Roman" w:cs="Times New Roman"/>
                <w:color w:val="000000"/>
                <w:sz w:val="21"/>
                <w:szCs w:val="21"/>
              </w:rPr>
              <w:t xml:space="preserve"> UNL-93)/6)*2</w:t>
            </w:r>
          </w:p>
        </w:tc>
        <w:tc>
          <w:tcPr>
            <w:tcW w:w="1678" w:type="dxa"/>
            <w:tcBorders>
              <w:top w:val="nil"/>
              <w:left w:val="nil"/>
              <w:bottom w:val="single" w:sz="4" w:space="0" w:color="auto"/>
              <w:right w:val="single" w:sz="4" w:space="0" w:color="auto"/>
            </w:tcBorders>
            <w:shd w:val="clear" w:color="auto" w:fill="auto"/>
            <w:vAlign w:val="center"/>
            <w:hideMark/>
          </w:tcPr>
          <w:p w:rsidR="006A4FDF" w:rsidRPr="00ED4380" w:rsidRDefault="006A4FDF" w:rsidP="00D92726">
            <w:pPr>
              <w:jc w:val="center"/>
              <w:rPr>
                <w:rFonts w:ascii="Times New Roman" w:eastAsia="Times New Roman" w:hAnsi="Times New Roman" w:cs="Times New Roman"/>
                <w:color w:val="000000"/>
                <w:sz w:val="21"/>
                <w:szCs w:val="21"/>
              </w:rPr>
            </w:pPr>
            <w:r w:rsidRPr="00ED4380">
              <w:rPr>
                <w:rFonts w:ascii="Times New Roman" w:eastAsia="Times New Roman" w:hAnsi="Times New Roman" w:cs="Times New Roman"/>
                <w:color w:val="000000"/>
                <w:sz w:val="21"/>
                <w:szCs w:val="21"/>
              </w:rPr>
              <w:t xml:space="preserve">0.028*(Promedio 6 meses Precio </w:t>
            </w:r>
            <w:proofErr w:type="spellStart"/>
            <w:r w:rsidRPr="00ED4380">
              <w:rPr>
                <w:rFonts w:ascii="Times New Roman" w:eastAsia="Times New Roman" w:hAnsi="Times New Roman" w:cs="Times New Roman"/>
                <w:color w:val="000000"/>
                <w:sz w:val="21"/>
                <w:szCs w:val="21"/>
              </w:rPr>
              <w:t>Platt’s</w:t>
            </w:r>
            <w:proofErr w:type="spellEnd"/>
            <w:r w:rsidRPr="00ED4380">
              <w:rPr>
                <w:rFonts w:ascii="Times New Roman" w:eastAsia="Times New Roman" w:hAnsi="Times New Roman" w:cs="Times New Roman"/>
                <w:color w:val="000000"/>
                <w:sz w:val="21"/>
                <w:szCs w:val="21"/>
              </w:rPr>
              <w:t xml:space="preserve"> UNL-87 – Promedio 6 meses Precio </w:t>
            </w:r>
            <w:proofErr w:type="spellStart"/>
            <w:r w:rsidRPr="00ED4380">
              <w:rPr>
                <w:rFonts w:ascii="Times New Roman" w:eastAsia="Times New Roman" w:hAnsi="Times New Roman" w:cs="Times New Roman"/>
                <w:color w:val="000000"/>
                <w:sz w:val="21"/>
                <w:szCs w:val="21"/>
              </w:rPr>
              <w:t>Platt’s</w:t>
            </w:r>
            <w:proofErr w:type="spellEnd"/>
            <w:r w:rsidRPr="00ED4380">
              <w:rPr>
                <w:rFonts w:ascii="Times New Roman" w:eastAsia="Times New Roman" w:hAnsi="Times New Roman" w:cs="Times New Roman"/>
                <w:color w:val="000000"/>
                <w:sz w:val="21"/>
                <w:szCs w:val="21"/>
              </w:rPr>
              <w:t xml:space="preserve"> Butano normal </w:t>
            </w:r>
            <w:proofErr w:type="spellStart"/>
            <w:r w:rsidRPr="00ED4380">
              <w:rPr>
                <w:rFonts w:ascii="Times New Roman" w:eastAsia="Times New Roman" w:hAnsi="Times New Roman" w:cs="Times New Roman"/>
                <w:color w:val="000000"/>
                <w:sz w:val="21"/>
                <w:szCs w:val="21"/>
              </w:rPr>
              <w:t>Mt.</w:t>
            </w:r>
            <w:proofErr w:type="spellEnd"/>
            <w:r w:rsidRPr="00ED4380">
              <w:rPr>
                <w:rFonts w:ascii="Times New Roman" w:eastAsia="Times New Roman" w:hAnsi="Times New Roman" w:cs="Times New Roman"/>
                <w:color w:val="000000"/>
                <w:sz w:val="21"/>
                <w:szCs w:val="21"/>
              </w:rPr>
              <w:t xml:space="preserve"> </w:t>
            </w:r>
            <w:proofErr w:type="spellStart"/>
            <w:r w:rsidRPr="00ED4380">
              <w:rPr>
                <w:rFonts w:ascii="Times New Roman" w:eastAsia="Times New Roman" w:hAnsi="Times New Roman" w:cs="Times New Roman"/>
                <w:color w:val="000000"/>
                <w:sz w:val="21"/>
                <w:szCs w:val="21"/>
              </w:rPr>
              <w:t>Belvieu</w:t>
            </w:r>
            <w:proofErr w:type="spellEnd"/>
            <w:r w:rsidRPr="00ED4380">
              <w:rPr>
                <w:rFonts w:ascii="Times New Roman" w:eastAsia="Times New Roman" w:hAnsi="Times New Roman" w:cs="Times New Roman"/>
                <w:color w:val="000000"/>
                <w:sz w:val="21"/>
                <w:szCs w:val="21"/>
              </w:rPr>
              <w:t xml:space="preserve">) + ((Promedio 6 meses Precio </w:t>
            </w:r>
            <w:proofErr w:type="spellStart"/>
            <w:r w:rsidRPr="00ED4380">
              <w:rPr>
                <w:rFonts w:ascii="Times New Roman" w:eastAsia="Times New Roman" w:hAnsi="Times New Roman" w:cs="Times New Roman"/>
                <w:color w:val="000000"/>
                <w:sz w:val="21"/>
                <w:szCs w:val="21"/>
              </w:rPr>
              <w:t>Platt’s</w:t>
            </w:r>
            <w:proofErr w:type="spellEnd"/>
            <w:r w:rsidRPr="00ED4380">
              <w:rPr>
                <w:rFonts w:ascii="Times New Roman" w:eastAsia="Times New Roman" w:hAnsi="Times New Roman" w:cs="Times New Roman"/>
                <w:color w:val="000000"/>
                <w:sz w:val="21"/>
                <w:szCs w:val="21"/>
              </w:rPr>
              <w:t xml:space="preserve"> UNL-87  – Promedio 6 meses Precio </w:t>
            </w:r>
            <w:proofErr w:type="spellStart"/>
            <w:r w:rsidRPr="00ED4380">
              <w:rPr>
                <w:rFonts w:ascii="Times New Roman" w:eastAsia="Times New Roman" w:hAnsi="Times New Roman" w:cs="Times New Roman"/>
                <w:color w:val="000000"/>
                <w:sz w:val="21"/>
                <w:szCs w:val="21"/>
              </w:rPr>
              <w:t>Platt’s</w:t>
            </w:r>
            <w:proofErr w:type="spellEnd"/>
            <w:r w:rsidRPr="00ED4380">
              <w:rPr>
                <w:rFonts w:ascii="Times New Roman" w:eastAsia="Times New Roman" w:hAnsi="Times New Roman" w:cs="Times New Roman"/>
                <w:color w:val="000000"/>
                <w:sz w:val="21"/>
                <w:szCs w:val="21"/>
              </w:rPr>
              <w:t xml:space="preserve"> UNL-93)/6)*4       </w:t>
            </w:r>
          </w:p>
        </w:tc>
      </w:tr>
      <w:tr w:rsidR="006A4FDF" w:rsidRPr="00ED4380" w:rsidTr="00D92726">
        <w:trPr>
          <w:trHeight w:val="1485"/>
        </w:trPr>
        <w:tc>
          <w:tcPr>
            <w:tcW w:w="372" w:type="dxa"/>
            <w:vMerge/>
            <w:tcBorders>
              <w:top w:val="single" w:sz="4" w:space="0" w:color="auto"/>
              <w:left w:val="single" w:sz="4" w:space="0" w:color="auto"/>
              <w:bottom w:val="single" w:sz="4" w:space="0" w:color="auto"/>
              <w:right w:val="nil"/>
            </w:tcBorders>
            <w:vAlign w:val="center"/>
            <w:hideMark/>
          </w:tcPr>
          <w:p w:rsidR="006A4FDF" w:rsidRPr="00ED4380" w:rsidRDefault="006A4FDF" w:rsidP="00D92726">
            <w:pPr>
              <w:rPr>
                <w:rFonts w:ascii="Times New Roman" w:eastAsia="Times New Roman" w:hAnsi="Times New Roman" w:cs="Times New Roman"/>
                <w:b/>
                <w:bCs/>
                <w:color w:val="000000"/>
                <w:sz w:val="21"/>
                <w:szCs w:val="21"/>
              </w:rPr>
            </w:pPr>
          </w:p>
        </w:tc>
        <w:tc>
          <w:tcPr>
            <w:tcW w:w="1613" w:type="dxa"/>
            <w:tcBorders>
              <w:top w:val="nil"/>
              <w:left w:val="single" w:sz="4" w:space="0" w:color="auto"/>
              <w:bottom w:val="single" w:sz="4" w:space="0" w:color="auto"/>
              <w:right w:val="single" w:sz="4" w:space="0" w:color="auto"/>
            </w:tcBorders>
            <w:shd w:val="clear" w:color="auto" w:fill="auto"/>
            <w:noWrap/>
            <w:vAlign w:val="center"/>
            <w:hideMark/>
          </w:tcPr>
          <w:p w:rsidR="006A4FDF" w:rsidRPr="00ED4380" w:rsidRDefault="006A4FDF" w:rsidP="00D92726">
            <w:pPr>
              <w:jc w:val="center"/>
              <w:rPr>
                <w:rFonts w:ascii="Times New Roman" w:eastAsia="Times New Roman" w:hAnsi="Times New Roman" w:cs="Times New Roman"/>
                <w:b/>
                <w:bCs/>
                <w:color w:val="000000"/>
                <w:sz w:val="21"/>
                <w:szCs w:val="21"/>
              </w:rPr>
            </w:pPr>
            <w:r w:rsidRPr="00ED4380">
              <w:rPr>
                <w:rFonts w:ascii="Times New Roman" w:eastAsia="Times New Roman" w:hAnsi="Times New Roman" w:cs="Times New Roman"/>
                <w:b/>
                <w:bCs/>
                <w:color w:val="000000"/>
                <w:sz w:val="21"/>
                <w:szCs w:val="21"/>
              </w:rPr>
              <w:t>Flete Marítimo</w:t>
            </w:r>
          </w:p>
        </w:tc>
        <w:tc>
          <w:tcPr>
            <w:tcW w:w="3402" w:type="dxa"/>
            <w:gridSpan w:val="2"/>
            <w:tcBorders>
              <w:top w:val="single" w:sz="4" w:space="0" w:color="auto"/>
              <w:left w:val="nil"/>
              <w:bottom w:val="single" w:sz="4" w:space="0" w:color="auto"/>
              <w:right w:val="single" w:sz="4" w:space="0" w:color="auto"/>
            </w:tcBorders>
            <w:shd w:val="clear" w:color="auto" w:fill="auto"/>
            <w:noWrap/>
            <w:vAlign w:val="center"/>
            <w:hideMark/>
          </w:tcPr>
          <w:p w:rsidR="006A4FDF" w:rsidRPr="00ED4380" w:rsidRDefault="006A4FDF" w:rsidP="00D92726">
            <w:pPr>
              <w:jc w:val="center"/>
              <w:rPr>
                <w:rFonts w:ascii="Times New Roman" w:eastAsia="Times New Roman" w:hAnsi="Times New Roman" w:cs="Times New Roman"/>
                <w:color w:val="000000"/>
                <w:sz w:val="21"/>
                <w:szCs w:val="21"/>
              </w:rPr>
            </w:pPr>
            <w:r w:rsidRPr="00ED4380">
              <w:rPr>
                <w:rFonts w:ascii="Times New Roman" w:hAnsi="Times New Roman" w:cs="Times New Roman"/>
                <w:noProof/>
                <w:sz w:val="21"/>
                <w:szCs w:val="21"/>
              </w:rPr>
              <w:drawing>
                <wp:anchor distT="0" distB="0" distL="114300" distR="114300" simplePos="0" relativeHeight="251663360" behindDoc="1" locked="0" layoutInCell="1" allowOverlap="1">
                  <wp:simplePos x="0" y="0"/>
                  <wp:positionH relativeFrom="column">
                    <wp:posOffset>11430</wp:posOffset>
                  </wp:positionH>
                  <wp:positionV relativeFrom="paragraph">
                    <wp:posOffset>-368935</wp:posOffset>
                  </wp:positionV>
                  <wp:extent cx="2035175" cy="682625"/>
                  <wp:effectExtent l="0" t="0" r="3175" b="3175"/>
                  <wp:wrapThrough wrapText="bothSides">
                    <wp:wrapPolygon edited="0">
                      <wp:start x="0" y="0"/>
                      <wp:lineTo x="0" y="21098"/>
                      <wp:lineTo x="21432" y="21098"/>
                      <wp:lineTo x="21432" y="0"/>
                      <wp:lineTo x="0" y="0"/>
                    </wp:wrapPolygon>
                  </wp:wrapThrough>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8495" t="43769" r="15360" b="31694"/>
                          <a:stretch/>
                        </pic:blipFill>
                        <pic:spPr bwMode="auto">
                          <a:xfrm>
                            <a:off x="0" y="0"/>
                            <a:ext cx="2035175" cy="682625"/>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p>
        </w:tc>
        <w:tc>
          <w:tcPr>
            <w:tcW w:w="352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4FDF" w:rsidRPr="00ED4380" w:rsidRDefault="006A4FDF" w:rsidP="00D92726">
            <w:pPr>
              <w:jc w:val="center"/>
              <w:rPr>
                <w:rFonts w:ascii="Times New Roman" w:eastAsia="Times New Roman" w:hAnsi="Times New Roman" w:cs="Times New Roman"/>
                <w:color w:val="000000"/>
                <w:sz w:val="21"/>
                <w:szCs w:val="21"/>
              </w:rPr>
            </w:pPr>
            <w:r w:rsidRPr="00ED4380">
              <w:rPr>
                <w:rFonts w:ascii="Times New Roman" w:hAnsi="Times New Roman" w:cs="Times New Roman"/>
                <w:noProof/>
                <w:sz w:val="21"/>
                <w:szCs w:val="21"/>
              </w:rPr>
              <w:drawing>
                <wp:anchor distT="0" distB="0" distL="114300" distR="114300" simplePos="0" relativeHeight="251659264" behindDoc="1" locked="0" layoutInCell="1" allowOverlap="1">
                  <wp:simplePos x="0" y="0"/>
                  <wp:positionH relativeFrom="column">
                    <wp:posOffset>103505</wp:posOffset>
                  </wp:positionH>
                  <wp:positionV relativeFrom="paragraph">
                    <wp:posOffset>1270</wp:posOffset>
                  </wp:positionV>
                  <wp:extent cx="1820545" cy="953770"/>
                  <wp:effectExtent l="0" t="0" r="8255" b="0"/>
                  <wp:wrapThrough wrapText="bothSides">
                    <wp:wrapPolygon edited="0">
                      <wp:start x="0" y="0"/>
                      <wp:lineTo x="0" y="21140"/>
                      <wp:lineTo x="21472" y="21140"/>
                      <wp:lineTo x="21472" y="0"/>
                      <wp:lineTo x="0" y="0"/>
                    </wp:wrapPolygon>
                  </wp:wrapThrough>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7383" t="51104" r="22847" b="21135"/>
                          <a:stretch/>
                        </pic:blipFill>
                        <pic:spPr bwMode="auto">
                          <a:xfrm>
                            <a:off x="0" y="0"/>
                            <a:ext cx="1820545" cy="95377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p>
        </w:tc>
      </w:tr>
      <w:tr w:rsidR="006A4FDF" w:rsidRPr="00ED4380" w:rsidTr="00D92726">
        <w:trPr>
          <w:trHeight w:val="1200"/>
        </w:trPr>
        <w:tc>
          <w:tcPr>
            <w:tcW w:w="372" w:type="dxa"/>
            <w:vMerge/>
            <w:tcBorders>
              <w:top w:val="single" w:sz="4" w:space="0" w:color="auto"/>
              <w:left w:val="single" w:sz="4" w:space="0" w:color="auto"/>
              <w:bottom w:val="single" w:sz="4" w:space="0" w:color="auto"/>
              <w:right w:val="nil"/>
            </w:tcBorders>
            <w:vAlign w:val="center"/>
            <w:hideMark/>
          </w:tcPr>
          <w:p w:rsidR="006A4FDF" w:rsidRPr="00ED4380" w:rsidRDefault="006A4FDF" w:rsidP="00D92726">
            <w:pPr>
              <w:rPr>
                <w:rFonts w:ascii="Times New Roman" w:eastAsia="Times New Roman" w:hAnsi="Times New Roman" w:cs="Times New Roman"/>
                <w:b/>
                <w:bCs/>
                <w:color w:val="000000"/>
                <w:sz w:val="21"/>
                <w:szCs w:val="21"/>
              </w:rPr>
            </w:pPr>
          </w:p>
        </w:tc>
        <w:tc>
          <w:tcPr>
            <w:tcW w:w="1613" w:type="dxa"/>
            <w:tcBorders>
              <w:top w:val="nil"/>
              <w:left w:val="single" w:sz="4" w:space="0" w:color="auto"/>
              <w:bottom w:val="single" w:sz="4" w:space="0" w:color="auto"/>
              <w:right w:val="single" w:sz="4" w:space="0" w:color="auto"/>
            </w:tcBorders>
            <w:shd w:val="clear" w:color="auto" w:fill="auto"/>
            <w:noWrap/>
            <w:vAlign w:val="center"/>
            <w:hideMark/>
          </w:tcPr>
          <w:p w:rsidR="006A4FDF" w:rsidRPr="00ED4380" w:rsidRDefault="006A4FDF" w:rsidP="00D92726">
            <w:pPr>
              <w:jc w:val="center"/>
              <w:rPr>
                <w:rFonts w:ascii="Times New Roman" w:eastAsia="Times New Roman" w:hAnsi="Times New Roman" w:cs="Times New Roman"/>
                <w:b/>
                <w:bCs/>
                <w:color w:val="000000"/>
                <w:sz w:val="21"/>
                <w:szCs w:val="21"/>
              </w:rPr>
            </w:pPr>
            <w:r w:rsidRPr="00ED4380">
              <w:rPr>
                <w:rFonts w:ascii="Times New Roman" w:eastAsia="Times New Roman" w:hAnsi="Times New Roman" w:cs="Times New Roman"/>
                <w:b/>
                <w:bCs/>
                <w:color w:val="000000"/>
                <w:sz w:val="21"/>
                <w:szCs w:val="21"/>
              </w:rPr>
              <w:t>Seguro Marítimo</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6A4FDF" w:rsidRPr="00ED4380" w:rsidRDefault="006A4FDF" w:rsidP="00D92726">
            <w:pPr>
              <w:jc w:val="center"/>
              <w:rPr>
                <w:rFonts w:ascii="Times New Roman" w:eastAsia="Times New Roman" w:hAnsi="Times New Roman" w:cs="Times New Roman"/>
                <w:color w:val="000000"/>
                <w:sz w:val="21"/>
                <w:szCs w:val="21"/>
              </w:rPr>
            </w:pPr>
            <w:r w:rsidRPr="00ED4380">
              <w:rPr>
                <w:rFonts w:ascii="Times New Roman" w:eastAsia="Times New Roman" w:hAnsi="Times New Roman" w:cs="Times New Roman"/>
                <w:color w:val="000000"/>
                <w:sz w:val="21"/>
                <w:szCs w:val="21"/>
              </w:rPr>
              <w:t xml:space="preserve">Resulta de aplicar la tasa de 0.0375 % a la sumatoria del precio FOB del producto y el flete marítimo. </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6A4FDF" w:rsidRPr="00ED4380" w:rsidRDefault="006A4FDF" w:rsidP="00D92726">
            <w:pPr>
              <w:jc w:val="center"/>
              <w:rPr>
                <w:rFonts w:ascii="Times New Roman" w:eastAsia="Times New Roman" w:hAnsi="Times New Roman" w:cs="Times New Roman"/>
                <w:color w:val="000000"/>
                <w:sz w:val="21"/>
                <w:szCs w:val="21"/>
              </w:rPr>
            </w:pPr>
            <w:r w:rsidRPr="00ED4380">
              <w:rPr>
                <w:rFonts w:ascii="Times New Roman" w:eastAsia="Times New Roman" w:hAnsi="Times New Roman" w:cs="Times New Roman"/>
                <w:color w:val="000000"/>
                <w:sz w:val="21"/>
                <w:szCs w:val="21"/>
              </w:rPr>
              <w:t xml:space="preserve">Resulta de aplicar la tasa de 0.0375 % a la sumatoria del precio FOB del producto y el flete marítimo. </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6A4FDF" w:rsidRPr="00ED4380" w:rsidRDefault="006A4FDF" w:rsidP="00D92726">
            <w:pPr>
              <w:jc w:val="center"/>
              <w:rPr>
                <w:rFonts w:ascii="Times New Roman" w:eastAsia="Times New Roman" w:hAnsi="Times New Roman" w:cs="Times New Roman"/>
                <w:color w:val="000000"/>
                <w:sz w:val="21"/>
                <w:szCs w:val="21"/>
              </w:rPr>
            </w:pPr>
            <w:r w:rsidRPr="00ED4380">
              <w:rPr>
                <w:rFonts w:ascii="Times New Roman" w:eastAsia="Times New Roman" w:hAnsi="Times New Roman" w:cs="Times New Roman"/>
                <w:color w:val="000000"/>
                <w:sz w:val="21"/>
                <w:szCs w:val="21"/>
              </w:rPr>
              <w:t xml:space="preserve">Resulta de aplicar la tasa de 0.0375 % a la sumatoria del precio FOB del producto y el flete marítimo. </w:t>
            </w:r>
          </w:p>
        </w:tc>
        <w:tc>
          <w:tcPr>
            <w:tcW w:w="1962" w:type="dxa"/>
            <w:gridSpan w:val="2"/>
            <w:tcBorders>
              <w:top w:val="single" w:sz="4" w:space="0" w:color="auto"/>
              <w:left w:val="nil"/>
              <w:bottom w:val="single" w:sz="4" w:space="0" w:color="auto"/>
              <w:right w:val="single" w:sz="4" w:space="0" w:color="auto"/>
            </w:tcBorders>
            <w:shd w:val="clear" w:color="auto" w:fill="auto"/>
            <w:vAlign w:val="center"/>
            <w:hideMark/>
          </w:tcPr>
          <w:p w:rsidR="006A4FDF" w:rsidRPr="00ED4380" w:rsidRDefault="006A4FDF" w:rsidP="00D92726">
            <w:pPr>
              <w:jc w:val="center"/>
              <w:rPr>
                <w:rFonts w:ascii="Times New Roman" w:eastAsia="Times New Roman" w:hAnsi="Times New Roman" w:cs="Times New Roman"/>
                <w:color w:val="000000"/>
                <w:sz w:val="21"/>
                <w:szCs w:val="21"/>
              </w:rPr>
            </w:pPr>
            <w:r w:rsidRPr="00ED4380">
              <w:rPr>
                <w:rFonts w:ascii="Times New Roman" w:eastAsia="Times New Roman" w:hAnsi="Times New Roman" w:cs="Times New Roman"/>
                <w:color w:val="000000"/>
                <w:sz w:val="21"/>
                <w:szCs w:val="21"/>
              </w:rPr>
              <w:t xml:space="preserve">Resulta de aplicar la tasa de 0.0375 % a la sumatoria del precio FOB del producto y el flete marítimo. </w:t>
            </w:r>
          </w:p>
        </w:tc>
      </w:tr>
      <w:tr w:rsidR="006A4FDF" w:rsidRPr="00ED4380" w:rsidTr="00D92726">
        <w:trPr>
          <w:trHeight w:val="1545"/>
        </w:trPr>
        <w:tc>
          <w:tcPr>
            <w:tcW w:w="372" w:type="dxa"/>
            <w:vMerge/>
            <w:tcBorders>
              <w:top w:val="single" w:sz="4" w:space="0" w:color="auto"/>
              <w:left w:val="single" w:sz="4" w:space="0" w:color="auto"/>
              <w:bottom w:val="single" w:sz="4" w:space="0" w:color="auto"/>
              <w:right w:val="nil"/>
            </w:tcBorders>
            <w:vAlign w:val="center"/>
            <w:hideMark/>
          </w:tcPr>
          <w:p w:rsidR="006A4FDF" w:rsidRPr="00ED4380" w:rsidRDefault="006A4FDF" w:rsidP="00D92726">
            <w:pPr>
              <w:rPr>
                <w:rFonts w:ascii="Times New Roman" w:eastAsia="Times New Roman" w:hAnsi="Times New Roman" w:cs="Times New Roman"/>
                <w:b/>
                <w:bCs/>
                <w:color w:val="000000"/>
                <w:sz w:val="21"/>
                <w:szCs w:val="21"/>
              </w:rPr>
            </w:pPr>
          </w:p>
        </w:tc>
        <w:tc>
          <w:tcPr>
            <w:tcW w:w="1613" w:type="dxa"/>
            <w:tcBorders>
              <w:top w:val="nil"/>
              <w:left w:val="single" w:sz="4" w:space="0" w:color="auto"/>
              <w:bottom w:val="single" w:sz="4" w:space="0" w:color="auto"/>
              <w:right w:val="single" w:sz="4" w:space="0" w:color="auto"/>
            </w:tcBorders>
            <w:shd w:val="clear" w:color="auto" w:fill="auto"/>
            <w:noWrap/>
            <w:vAlign w:val="center"/>
            <w:hideMark/>
          </w:tcPr>
          <w:p w:rsidR="006A4FDF" w:rsidRPr="00ED4380" w:rsidRDefault="006A4FDF" w:rsidP="00D92726">
            <w:pPr>
              <w:jc w:val="center"/>
              <w:rPr>
                <w:rFonts w:ascii="Times New Roman" w:eastAsia="Times New Roman" w:hAnsi="Times New Roman" w:cs="Times New Roman"/>
                <w:b/>
                <w:bCs/>
                <w:color w:val="000000"/>
                <w:sz w:val="21"/>
                <w:szCs w:val="21"/>
              </w:rPr>
            </w:pPr>
            <w:r w:rsidRPr="00ED4380">
              <w:rPr>
                <w:rFonts w:ascii="Times New Roman" w:eastAsia="Times New Roman" w:hAnsi="Times New Roman" w:cs="Times New Roman"/>
                <w:b/>
                <w:bCs/>
                <w:color w:val="000000"/>
                <w:sz w:val="21"/>
                <w:szCs w:val="21"/>
              </w:rPr>
              <w:t>Pérdidas en tránsito</w:t>
            </w:r>
          </w:p>
        </w:tc>
        <w:tc>
          <w:tcPr>
            <w:tcW w:w="1843" w:type="dxa"/>
            <w:tcBorders>
              <w:top w:val="nil"/>
              <w:left w:val="nil"/>
              <w:bottom w:val="single" w:sz="4" w:space="0" w:color="auto"/>
              <w:right w:val="single" w:sz="4" w:space="0" w:color="auto"/>
            </w:tcBorders>
            <w:shd w:val="clear" w:color="auto" w:fill="auto"/>
            <w:vAlign w:val="center"/>
            <w:hideMark/>
          </w:tcPr>
          <w:p w:rsidR="006A4FDF" w:rsidRPr="00ED4380" w:rsidRDefault="006A4FDF" w:rsidP="00D92726">
            <w:pPr>
              <w:jc w:val="center"/>
              <w:rPr>
                <w:rFonts w:ascii="Times New Roman" w:eastAsia="Times New Roman" w:hAnsi="Times New Roman" w:cs="Times New Roman"/>
                <w:color w:val="000000"/>
                <w:sz w:val="21"/>
                <w:szCs w:val="21"/>
              </w:rPr>
            </w:pPr>
            <w:r w:rsidRPr="00ED4380">
              <w:rPr>
                <w:rFonts w:ascii="Times New Roman" w:eastAsia="Times New Roman" w:hAnsi="Times New Roman" w:cs="Times New Roman"/>
                <w:color w:val="000000"/>
                <w:sz w:val="21"/>
                <w:szCs w:val="21"/>
              </w:rPr>
              <w:t>Resultan de aplicar la tasa de 0.13% a la sumatoria del precio FOB del producto, el flete marítimo y el seguro marítimo.</w:t>
            </w:r>
          </w:p>
        </w:tc>
        <w:tc>
          <w:tcPr>
            <w:tcW w:w="1559" w:type="dxa"/>
            <w:tcBorders>
              <w:top w:val="nil"/>
              <w:left w:val="nil"/>
              <w:bottom w:val="single" w:sz="4" w:space="0" w:color="auto"/>
              <w:right w:val="single" w:sz="4" w:space="0" w:color="auto"/>
            </w:tcBorders>
            <w:shd w:val="clear" w:color="auto" w:fill="auto"/>
            <w:vAlign w:val="center"/>
            <w:hideMark/>
          </w:tcPr>
          <w:p w:rsidR="006A4FDF" w:rsidRPr="00ED4380" w:rsidRDefault="006A4FDF" w:rsidP="00D92726">
            <w:pPr>
              <w:jc w:val="center"/>
              <w:rPr>
                <w:rFonts w:ascii="Times New Roman" w:eastAsia="Times New Roman" w:hAnsi="Times New Roman" w:cs="Times New Roman"/>
                <w:color w:val="000000"/>
                <w:sz w:val="21"/>
                <w:szCs w:val="21"/>
              </w:rPr>
            </w:pPr>
            <w:r w:rsidRPr="00ED4380">
              <w:rPr>
                <w:rFonts w:ascii="Times New Roman" w:eastAsia="Times New Roman" w:hAnsi="Times New Roman" w:cs="Times New Roman"/>
                <w:color w:val="000000"/>
                <w:sz w:val="21"/>
                <w:szCs w:val="21"/>
              </w:rPr>
              <w:t>Resultan de aplicar la tasa de 0.13% a la sumatoria del precio FOB del producto, el flete marítimo y el seguro marítimo.</w:t>
            </w:r>
          </w:p>
        </w:tc>
        <w:tc>
          <w:tcPr>
            <w:tcW w:w="1559" w:type="dxa"/>
            <w:tcBorders>
              <w:top w:val="nil"/>
              <w:left w:val="nil"/>
              <w:bottom w:val="single" w:sz="4" w:space="0" w:color="auto"/>
              <w:right w:val="single" w:sz="4" w:space="0" w:color="auto"/>
            </w:tcBorders>
            <w:shd w:val="clear" w:color="auto" w:fill="auto"/>
            <w:vAlign w:val="center"/>
            <w:hideMark/>
          </w:tcPr>
          <w:p w:rsidR="006A4FDF" w:rsidRPr="00ED4380" w:rsidRDefault="006A4FDF" w:rsidP="00D92726">
            <w:pPr>
              <w:jc w:val="center"/>
              <w:rPr>
                <w:rFonts w:ascii="Times New Roman" w:eastAsia="Times New Roman" w:hAnsi="Times New Roman" w:cs="Times New Roman"/>
                <w:color w:val="000000"/>
                <w:sz w:val="21"/>
                <w:szCs w:val="21"/>
              </w:rPr>
            </w:pPr>
            <w:r w:rsidRPr="00ED4380">
              <w:rPr>
                <w:rFonts w:ascii="Times New Roman" w:eastAsia="Times New Roman" w:hAnsi="Times New Roman" w:cs="Times New Roman"/>
                <w:color w:val="000000"/>
                <w:sz w:val="21"/>
                <w:szCs w:val="21"/>
              </w:rPr>
              <w:t>Resultan de aplicar la tasa de 0.13% a la sumatoria del precio FOB del producto, el flete marítimo y el seguro marítimo.</w:t>
            </w:r>
          </w:p>
        </w:tc>
        <w:tc>
          <w:tcPr>
            <w:tcW w:w="1962" w:type="dxa"/>
            <w:gridSpan w:val="2"/>
            <w:tcBorders>
              <w:top w:val="nil"/>
              <w:left w:val="nil"/>
              <w:bottom w:val="single" w:sz="4" w:space="0" w:color="auto"/>
              <w:right w:val="single" w:sz="4" w:space="0" w:color="auto"/>
            </w:tcBorders>
            <w:shd w:val="clear" w:color="auto" w:fill="auto"/>
            <w:vAlign w:val="center"/>
            <w:hideMark/>
          </w:tcPr>
          <w:p w:rsidR="006A4FDF" w:rsidRPr="00ED4380" w:rsidRDefault="006A4FDF" w:rsidP="00D92726">
            <w:pPr>
              <w:jc w:val="center"/>
              <w:rPr>
                <w:rFonts w:ascii="Times New Roman" w:eastAsia="Times New Roman" w:hAnsi="Times New Roman" w:cs="Times New Roman"/>
                <w:color w:val="000000"/>
                <w:sz w:val="21"/>
                <w:szCs w:val="21"/>
              </w:rPr>
            </w:pPr>
            <w:r w:rsidRPr="00ED4380">
              <w:rPr>
                <w:rFonts w:ascii="Times New Roman" w:eastAsia="Times New Roman" w:hAnsi="Times New Roman" w:cs="Times New Roman"/>
                <w:color w:val="000000"/>
                <w:sz w:val="21"/>
                <w:szCs w:val="21"/>
              </w:rPr>
              <w:t>Resultan de aplicar la tasa de 0.13% a la sumatoria del precio FOB del producto, el flete marítimo y el seguro marítimo.</w:t>
            </w:r>
          </w:p>
        </w:tc>
      </w:tr>
      <w:tr w:rsidR="006A4FDF" w:rsidRPr="00ED4380" w:rsidTr="00D92726">
        <w:trPr>
          <w:trHeight w:val="555"/>
        </w:trPr>
        <w:tc>
          <w:tcPr>
            <w:tcW w:w="372" w:type="dxa"/>
            <w:tcBorders>
              <w:top w:val="nil"/>
              <w:left w:val="single" w:sz="4" w:space="0" w:color="auto"/>
              <w:bottom w:val="single" w:sz="4" w:space="0" w:color="auto"/>
              <w:right w:val="nil"/>
            </w:tcBorders>
            <w:shd w:val="clear" w:color="auto" w:fill="auto"/>
            <w:noWrap/>
            <w:vAlign w:val="bottom"/>
            <w:hideMark/>
          </w:tcPr>
          <w:p w:rsidR="006A4FDF" w:rsidRPr="00ED4380" w:rsidRDefault="006A4FDF" w:rsidP="00D92726">
            <w:pPr>
              <w:rPr>
                <w:rFonts w:ascii="Times New Roman" w:eastAsia="Times New Roman" w:hAnsi="Times New Roman" w:cs="Times New Roman"/>
                <w:color w:val="000000"/>
                <w:sz w:val="21"/>
                <w:szCs w:val="21"/>
              </w:rPr>
            </w:pPr>
            <w:r w:rsidRPr="00ED4380">
              <w:rPr>
                <w:rFonts w:ascii="Times New Roman" w:eastAsia="Times New Roman" w:hAnsi="Times New Roman" w:cs="Times New Roman"/>
                <w:color w:val="000000"/>
                <w:sz w:val="21"/>
                <w:szCs w:val="21"/>
              </w:rPr>
              <w:t> </w:t>
            </w:r>
          </w:p>
        </w:tc>
        <w:tc>
          <w:tcPr>
            <w:tcW w:w="1613" w:type="dxa"/>
            <w:tcBorders>
              <w:top w:val="nil"/>
              <w:left w:val="single" w:sz="4" w:space="0" w:color="auto"/>
              <w:bottom w:val="single" w:sz="4" w:space="0" w:color="auto"/>
              <w:right w:val="single" w:sz="4" w:space="0" w:color="auto"/>
            </w:tcBorders>
            <w:shd w:val="clear" w:color="auto" w:fill="auto"/>
            <w:noWrap/>
            <w:vAlign w:val="center"/>
            <w:hideMark/>
          </w:tcPr>
          <w:p w:rsidR="006A4FDF" w:rsidRPr="00ED4380" w:rsidRDefault="006A4FDF" w:rsidP="00D92726">
            <w:pPr>
              <w:jc w:val="center"/>
              <w:rPr>
                <w:rFonts w:ascii="Times New Roman" w:eastAsia="Times New Roman" w:hAnsi="Times New Roman" w:cs="Times New Roman"/>
                <w:b/>
                <w:bCs/>
                <w:color w:val="000000"/>
                <w:sz w:val="21"/>
                <w:szCs w:val="21"/>
              </w:rPr>
            </w:pPr>
            <w:r w:rsidRPr="00ED4380">
              <w:rPr>
                <w:rFonts w:ascii="Times New Roman" w:eastAsia="Times New Roman" w:hAnsi="Times New Roman" w:cs="Times New Roman"/>
                <w:b/>
                <w:bCs/>
                <w:color w:val="000000"/>
                <w:sz w:val="21"/>
                <w:szCs w:val="21"/>
              </w:rPr>
              <w:t>Costo de internación</w:t>
            </w:r>
          </w:p>
        </w:tc>
        <w:tc>
          <w:tcPr>
            <w:tcW w:w="1843" w:type="dxa"/>
            <w:tcBorders>
              <w:top w:val="nil"/>
              <w:left w:val="nil"/>
              <w:bottom w:val="single" w:sz="4" w:space="0" w:color="auto"/>
              <w:right w:val="single" w:sz="4" w:space="0" w:color="auto"/>
            </w:tcBorders>
            <w:shd w:val="clear" w:color="auto" w:fill="auto"/>
            <w:noWrap/>
            <w:vAlign w:val="center"/>
            <w:hideMark/>
          </w:tcPr>
          <w:p w:rsidR="006A4FDF" w:rsidRPr="00ED4380" w:rsidRDefault="006A4FDF" w:rsidP="00D92726">
            <w:pPr>
              <w:jc w:val="center"/>
              <w:rPr>
                <w:rFonts w:ascii="Times New Roman" w:eastAsia="Times New Roman" w:hAnsi="Times New Roman" w:cs="Times New Roman"/>
                <w:color w:val="000000"/>
                <w:sz w:val="21"/>
                <w:szCs w:val="21"/>
              </w:rPr>
            </w:pPr>
            <w:r w:rsidRPr="00ED4380">
              <w:rPr>
                <w:rFonts w:ascii="Times New Roman" w:eastAsia="Times New Roman" w:hAnsi="Times New Roman" w:cs="Times New Roman"/>
                <w:color w:val="000000"/>
                <w:sz w:val="21"/>
                <w:szCs w:val="21"/>
              </w:rPr>
              <w:t>$0.0300</w:t>
            </w:r>
          </w:p>
        </w:tc>
        <w:tc>
          <w:tcPr>
            <w:tcW w:w="1559" w:type="dxa"/>
            <w:tcBorders>
              <w:top w:val="nil"/>
              <w:left w:val="nil"/>
              <w:bottom w:val="single" w:sz="4" w:space="0" w:color="auto"/>
              <w:right w:val="single" w:sz="4" w:space="0" w:color="auto"/>
            </w:tcBorders>
            <w:shd w:val="clear" w:color="auto" w:fill="auto"/>
            <w:noWrap/>
            <w:vAlign w:val="center"/>
            <w:hideMark/>
          </w:tcPr>
          <w:p w:rsidR="006A4FDF" w:rsidRPr="00ED4380" w:rsidRDefault="006A4FDF" w:rsidP="00D92726">
            <w:pPr>
              <w:jc w:val="center"/>
              <w:rPr>
                <w:rFonts w:ascii="Times New Roman" w:eastAsia="Times New Roman" w:hAnsi="Times New Roman" w:cs="Times New Roman"/>
                <w:color w:val="000000"/>
                <w:sz w:val="21"/>
                <w:szCs w:val="21"/>
              </w:rPr>
            </w:pPr>
            <w:r w:rsidRPr="00ED4380">
              <w:rPr>
                <w:rFonts w:ascii="Times New Roman" w:eastAsia="Times New Roman" w:hAnsi="Times New Roman" w:cs="Times New Roman"/>
                <w:color w:val="000000"/>
                <w:sz w:val="21"/>
                <w:szCs w:val="21"/>
              </w:rPr>
              <w:t>$0.0300</w:t>
            </w:r>
          </w:p>
        </w:tc>
        <w:tc>
          <w:tcPr>
            <w:tcW w:w="1559" w:type="dxa"/>
            <w:tcBorders>
              <w:top w:val="nil"/>
              <w:left w:val="nil"/>
              <w:bottom w:val="single" w:sz="4" w:space="0" w:color="auto"/>
              <w:right w:val="single" w:sz="4" w:space="0" w:color="auto"/>
            </w:tcBorders>
            <w:shd w:val="clear" w:color="auto" w:fill="auto"/>
            <w:noWrap/>
            <w:vAlign w:val="center"/>
            <w:hideMark/>
          </w:tcPr>
          <w:p w:rsidR="006A4FDF" w:rsidRPr="00ED4380" w:rsidRDefault="006A4FDF" w:rsidP="00D92726">
            <w:pPr>
              <w:jc w:val="center"/>
              <w:rPr>
                <w:rFonts w:ascii="Times New Roman" w:eastAsia="Times New Roman" w:hAnsi="Times New Roman" w:cs="Times New Roman"/>
                <w:color w:val="000000"/>
                <w:sz w:val="21"/>
                <w:szCs w:val="21"/>
              </w:rPr>
            </w:pPr>
            <w:r w:rsidRPr="00ED4380">
              <w:rPr>
                <w:rFonts w:ascii="Times New Roman" w:eastAsia="Times New Roman" w:hAnsi="Times New Roman" w:cs="Times New Roman"/>
                <w:color w:val="000000"/>
                <w:sz w:val="21"/>
                <w:szCs w:val="21"/>
              </w:rPr>
              <w:t>$0.0300</w:t>
            </w:r>
          </w:p>
        </w:tc>
        <w:tc>
          <w:tcPr>
            <w:tcW w:w="1962" w:type="dxa"/>
            <w:gridSpan w:val="2"/>
            <w:tcBorders>
              <w:top w:val="nil"/>
              <w:left w:val="nil"/>
              <w:bottom w:val="single" w:sz="4" w:space="0" w:color="auto"/>
              <w:right w:val="single" w:sz="4" w:space="0" w:color="auto"/>
            </w:tcBorders>
            <w:shd w:val="clear" w:color="auto" w:fill="auto"/>
            <w:noWrap/>
            <w:vAlign w:val="center"/>
            <w:hideMark/>
          </w:tcPr>
          <w:p w:rsidR="006A4FDF" w:rsidRPr="00ED4380" w:rsidRDefault="006A4FDF" w:rsidP="00D92726">
            <w:pPr>
              <w:jc w:val="center"/>
              <w:rPr>
                <w:rFonts w:ascii="Times New Roman" w:eastAsia="Times New Roman" w:hAnsi="Times New Roman" w:cs="Times New Roman"/>
                <w:color w:val="000000"/>
                <w:sz w:val="21"/>
                <w:szCs w:val="21"/>
              </w:rPr>
            </w:pPr>
            <w:r w:rsidRPr="00ED4380">
              <w:rPr>
                <w:rFonts w:ascii="Times New Roman" w:eastAsia="Times New Roman" w:hAnsi="Times New Roman" w:cs="Times New Roman"/>
                <w:color w:val="000000"/>
                <w:sz w:val="21"/>
                <w:szCs w:val="21"/>
              </w:rPr>
              <w:t>$0.0300</w:t>
            </w:r>
          </w:p>
        </w:tc>
      </w:tr>
      <w:tr w:rsidR="006A4FDF" w:rsidRPr="00ED4380" w:rsidTr="00D92726">
        <w:trPr>
          <w:trHeight w:val="510"/>
        </w:trPr>
        <w:tc>
          <w:tcPr>
            <w:tcW w:w="372" w:type="dxa"/>
            <w:vMerge w:val="restart"/>
            <w:tcBorders>
              <w:top w:val="nil"/>
              <w:left w:val="single" w:sz="4" w:space="0" w:color="auto"/>
              <w:bottom w:val="single" w:sz="4" w:space="0" w:color="auto"/>
              <w:right w:val="nil"/>
            </w:tcBorders>
            <w:shd w:val="clear" w:color="auto" w:fill="auto"/>
            <w:noWrap/>
            <w:textDirection w:val="btLr"/>
            <w:vAlign w:val="center"/>
            <w:hideMark/>
          </w:tcPr>
          <w:p w:rsidR="006A4FDF" w:rsidRPr="00ED4380" w:rsidRDefault="006A4FDF" w:rsidP="00D92726">
            <w:pPr>
              <w:jc w:val="center"/>
              <w:rPr>
                <w:rFonts w:ascii="Times New Roman" w:eastAsia="Times New Roman" w:hAnsi="Times New Roman" w:cs="Times New Roman"/>
                <w:b/>
                <w:bCs/>
                <w:color w:val="000000"/>
                <w:sz w:val="21"/>
                <w:szCs w:val="21"/>
              </w:rPr>
            </w:pPr>
            <w:r w:rsidRPr="00ED4380">
              <w:rPr>
                <w:rFonts w:ascii="Times New Roman" w:eastAsia="Times New Roman" w:hAnsi="Times New Roman" w:cs="Times New Roman"/>
                <w:b/>
                <w:bCs/>
                <w:color w:val="000000"/>
                <w:sz w:val="21"/>
                <w:szCs w:val="21"/>
              </w:rPr>
              <w:t>Márgenes</w:t>
            </w:r>
          </w:p>
        </w:tc>
        <w:tc>
          <w:tcPr>
            <w:tcW w:w="1613" w:type="dxa"/>
            <w:tcBorders>
              <w:top w:val="nil"/>
              <w:left w:val="single" w:sz="4" w:space="0" w:color="auto"/>
              <w:bottom w:val="single" w:sz="4" w:space="0" w:color="auto"/>
              <w:right w:val="single" w:sz="4" w:space="0" w:color="auto"/>
            </w:tcBorders>
            <w:shd w:val="clear" w:color="auto" w:fill="auto"/>
            <w:noWrap/>
            <w:vAlign w:val="center"/>
            <w:hideMark/>
          </w:tcPr>
          <w:p w:rsidR="006A4FDF" w:rsidRPr="00ED4380" w:rsidRDefault="006A4FDF" w:rsidP="00D92726">
            <w:pPr>
              <w:jc w:val="center"/>
              <w:rPr>
                <w:rFonts w:ascii="Times New Roman" w:eastAsia="Times New Roman" w:hAnsi="Times New Roman" w:cs="Times New Roman"/>
                <w:b/>
                <w:bCs/>
                <w:color w:val="000000"/>
                <w:sz w:val="21"/>
                <w:szCs w:val="21"/>
              </w:rPr>
            </w:pPr>
            <w:r w:rsidRPr="00ED4380">
              <w:rPr>
                <w:rFonts w:ascii="Times New Roman" w:eastAsia="Times New Roman" w:hAnsi="Times New Roman" w:cs="Times New Roman"/>
                <w:b/>
                <w:bCs/>
                <w:color w:val="000000"/>
                <w:sz w:val="21"/>
                <w:szCs w:val="21"/>
              </w:rPr>
              <w:t>Margen minorista</w:t>
            </w:r>
          </w:p>
        </w:tc>
        <w:tc>
          <w:tcPr>
            <w:tcW w:w="1843" w:type="dxa"/>
            <w:tcBorders>
              <w:top w:val="nil"/>
              <w:left w:val="nil"/>
              <w:bottom w:val="single" w:sz="4" w:space="0" w:color="auto"/>
              <w:right w:val="single" w:sz="4" w:space="0" w:color="auto"/>
            </w:tcBorders>
            <w:shd w:val="clear" w:color="auto" w:fill="auto"/>
            <w:vAlign w:val="center"/>
            <w:hideMark/>
          </w:tcPr>
          <w:p w:rsidR="006A4FDF" w:rsidRPr="00ED4380" w:rsidRDefault="006A4FDF" w:rsidP="00D92726">
            <w:pPr>
              <w:jc w:val="center"/>
              <w:rPr>
                <w:rFonts w:ascii="Times New Roman" w:eastAsia="Times New Roman" w:hAnsi="Times New Roman" w:cs="Times New Roman"/>
                <w:color w:val="000000"/>
                <w:sz w:val="21"/>
                <w:szCs w:val="21"/>
              </w:rPr>
            </w:pPr>
            <w:r w:rsidRPr="00ED4380">
              <w:rPr>
                <w:rFonts w:ascii="Times New Roman" w:eastAsia="Times New Roman" w:hAnsi="Times New Roman" w:cs="Times New Roman"/>
                <w:color w:val="000000"/>
                <w:sz w:val="21"/>
                <w:szCs w:val="21"/>
              </w:rPr>
              <w:t>CONFIDENCIAL</w:t>
            </w:r>
          </w:p>
        </w:tc>
        <w:tc>
          <w:tcPr>
            <w:tcW w:w="1559" w:type="dxa"/>
            <w:tcBorders>
              <w:top w:val="nil"/>
              <w:left w:val="nil"/>
              <w:bottom w:val="single" w:sz="4" w:space="0" w:color="auto"/>
              <w:right w:val="single" w:sz="4" w:space="0" w:color="auto"/>
            </w:tcBorders>
            <w:shd w:val="clear" w:color="auto" w:fill="auto"/>
            <w:vAlign w:val="center"/>
            <w:hideMark/>
          </w:tcPr>
          <w:p w:rsidR="006A4FDF" w:rsidRPr="00ED4380" w:rsidRDefault="006A4FDF" w:rsidP="00D92726">
            <w:pPr>
              <w:jc w:val="center"/>
              <w:rPr>
                <w:rFonts w:ascii="Times New Roman" w:eastAsia="Times New Roman" w:hAnsi="Times New Roman" w:cs="Times New Roman"/>
                <w:color w:val="000000"/>
                <w:sz w:val="21"/>
                <w:szCs w:val="21"/>
              </w:rPr>
            </w:pPr>
            <w:r w:rsidRPr="00ED4380">
              <w:rPr>
                <w:rFonts w:ascii="Times New Roman" w:eastAsia="Times New Roman" w:hAnsi="Times New Roman" w:cs="Times New Roman"/>
                <w:color w:val="000000"/>
                <w:sz w:val="21"/>
                <w:szCs w:val="21"/>
              </w:rPr>
              <w:t>CONFIDENCIAL</w:t>
            </w:r>
          </w:p>
        </w:tc>
        <w:tc>
          <w:tcPr>
            <w:tcW w:w="1559" w:type="dxa"/>
            <w:tcBorders>
              <w:top w:val="nil"/>
              <w:left w:val="nil"/>
              <w:bottom w:val="single" w:sz="4" w:space="0" w:color="auto"/>
              <w:right w:val="single" w:sz="4" w:space="0" w:color="auto"/>
            </w:tcBorders>
            <w:shd w:val="clear" w:color="auto" w:fill="auto"/>
            <w:vAlign w:val="center"/>
            <w:hideMark/>
          </w:tcPr>
          <w:p w:rsidR="006A4FDF" w:rsidRPr="00ED4380" w:rsidRDefault="006A4FDF" w:rsidP="00D92726">
            <w:pPr>
              <w:jc w:val="center"/>
              <w:rPr>
                <w:rFonts w:ascii="Times New Roman" w:eastAsia="Times New Roman" w:hAnsi="Times New Roman" w:cs="Times New Roman"/>
                <w:color w:val="000000"/>
                <w:sz w:val="21"/>
                <w:szCs w:val="21"/>
              </w:rPr>
            </w:pPr>
            <w:r w:rsidRPr="00ED4380">
              <w:rPr>
                <w:rFonts w:ascii="Times New Roman" w:eastAsia="Times New Roman" w:hAnsi="Times New Roman" w:cs="Times New Roman"/>
                <w:color w:val="000000"/>
                <w:sz w:val="21"/>
                <w:szCs w:val="21"/>
              </w:rPr>
              <w:t>CONFIDENCIAL</w:t>
            </w:r>
          </w:p>
        </w:tc>
        <w:tc>
          <w:tcPr>
            <w:tcW w:w="1962" w:type="dxa"/>
            <w:gridSpan w:val="2"/>
            <w:tcBorders>
              <w:top w:val="nil"/>
              <w:left w:val="nil"/>
              <w:bottom w:val="single" w:sz="4" w:space="0" w:color="auto"/>
              <w:right w:val="single" w:sz="4" w:space="0" w:color="auto"/>
            </w:tcBorders>
            <w:shd w:val="clear" w:color="auto" w:fill="auto"/>
            <w:vAlign w:val="center"/>
            <w:hideMark/>
          </w:tcPr>
          <w:p w:rsidR="006A4FDF" w:rsidRPr="00ED4380" w:rsidRDefault="006A4FDF" w:rsidP="00D92726">
            <w:pPr>
              <w:jc w:val="center"/>
              <w:rPr>
                <w:rFonts w:ascii="Times New Roman" w:eastAsia="Times New Roman" w:hAnsi="Times New Roman" w:cs="Times New Roman"/>
                <w:color w:val="000000"/>
                <w:sz w:val="21"/>
                <w:szCs w:val="21"/>
              </w:rPr>
            </w:pPr>
            <w:r w:rsidRPr="00ED4380">
              <w:rPr>
                <w:rFonts w:ascii="Times New Roman" w:eastAsia="Times New Roman" w:hAnsi="Times New Roman" w:cs="Times New Roman"/>
                <w:color w:val="000000"/>
                <w:sz w:val="21"/>
                <w:szCs w:val="21"/>
              </w:rPr>
              <w:t>CONFIDENCIAL</w:t>
            </w:r>
          </w:p>
        </w:tc>
      </w:tr>
      <w:tr w:rsidR="006A4FDF" w:rsidRPr="00ED4380" w:rsidTr="00D92726">
        <w:trPr>
          <w:trHeight w:val="525"/>
        </w:trPr>
        <w:tc>
          <w:tcPr>
            <w:tcW w:w="372" w:type="dxa"/>
            <w:vMerge/>
            <w:tcBorders>
              <w:top w:val="nil"/>
              <w:left w:val="single" w:sz="4" w:space="0" w:color="auto"/>
              <w:bottom w:val="single" w:sz="4" w:space="0" w:color="auto"/>
              <w:right w:val="nil"/>
            </w:tcBorders>
            <w:vAlign w:val="center"/>
            <w:hideMark/>
          </w:tcPr>
          <w:p w:rsidR="006A4FDF" w:rsidRPr="00ED4380" w:rsidRDefault="006A4FDF" w:rsidP="00D92726">
            <w:pPr>
              <w:rPr>
                <w:rFonts w:ascii="Times New Roman" w:eastAsia="Times New Roman" w:hAnsi="Times New Roman" w:cs="Times New Roman"/>
                <w:b/>
                <w:bCs/>
                <w:color w:val="000000"/>
                <w:sz w:val="21"/>
                <w:szCs w:val="21"/>
              </w:rPr>
            </w:pPr>
          </w:p>
        </w:tc>
        <w:tc>
          <w:tcPr>
            <w:tcW w:w="1613" w:type="dxa"/>
            <w:tcBorders>
              <w:top w:val="nil"/>
              <w:left w:val="single" w:sz="4" w:space="0" w:color="auto"/>
              <w:bottom w:val="single" w:sz="4" w:space="0" w:color="auto"/>
              <w:right w:val="single" w:sz="4" w:space="0" w:color="auto"/>
            </w:tcBorders>
            <w:shd w:val="clear" w:color="auto" w:fill="auto"/>
            <w:noWrap/>
            <w:vAlign w:val="center"/>
            <w:hideMark/>
          </w:tcPr>
          <w:p w:rsidR="006A4FDF" w:rsidRPr="00ED4380" w:rsidRDefault="006A4FDF" w:rsidP="00D92726">
            <w:pPr>
              <w:jc w:val="center"/>
              <w:rPr>
                <w:rFonts w:ascii="Times New Roman" w:eastAsia="Times New Roman" w:hAnsi="Times New Roman" w:cs="Times New Roman"/>
                <w:b/>
                <w:bCs/>
                <w:color w:val="000000"/>
                <w:sz w:val="21"/>
                <w:szCs w:val="21"/>
              </w:rPr>
            </w:pPr>
            <w:r w:rsidRPr="00ED4380">
              <w:rPr>
                <w:rFonts w:ascii="Times New Roman" w:eastAsia="Times New Roman" w:hAnsi="Times New Roman" w:cs="Times New Roman"/>
                <w:b/>
                <w:bCs/>
                <w:color w:val="000000"/>
                <w:sz w:val="21"/>
                <w:szCs w:val="21"/>
              </w:rPr>
              <w:t>Margen mayorista</w:t>
            </w:r>
          </w:p>
        </w:tc>
        <w:tc>
          <w:tcPr>
            <w:tcW w:w="1843" w:type="dxa"/>
            <w:tcBorders>
              <w:top w:val="nil"/>
              <w:left w:val="nil"/>
              <w:bottom w:val="single" w:sz="4" w:space="0" w:color="auto"/>
              <w:right w:val="single" w:sz="4" w:space="0" w:color="auto"/>
            </w:tcBorders>
            <w:shd w:val="clear" w:color="auto" w:fill="auto"/>
            <w:vAlign w:val="center"/>
            <w:hideMark/>
          </w:tcPr>
          <w:p w:rsidR="006A4FDF" w:rsidRPr="00ED4380" w:rsidRDefault="006A4FDF" w:rsidP="00D92726">
            <w:pPr>
              <w:jc w:val="center"/>
              <w:rPr>
                <w:rFonts w:ascii="Times New Roman" w:eastAsia="Times New Roman" w:hAnsi="Times New Roman" w:cs="Times New Roman"/>
                <w:color w:val="000000"/>
                <w:sz w:val="21"/>
                <w:szCs w:val="21"/>
              </w:rPr>
            </w:pPr>
            <w:r w:rsidRPr="00ED4380">
              <w:rPr>
                <w:rFonts w:ascii="Times New Roman" w:eastAsia="Times New Roman" w:hAnsi="Times New Roman" w:cs="Times New Roman"/>
                <w:color w:val="000000"/>
                <w:sz w:val="21"/>
                <w:szCs w:val="21"/>
              </w:rPr>
              <w:t>CONFIDENCIAL</w:t>
            </w:r>
          </w:p>
        </w:tc>
        <w:tc>
          <w:tcPr>
            <w:tcW w:w="1559" w:type="dxa"/>
            <w:tcBorders>
              <w:top w:val="nil"/>
              <w:left w:val="nil"/>
              <w:bottom w:val="single" w:sz="4" w:space="0" w:color="auto"/>
              <w:right w:val="single" w:sz="4" w:space="0" w:color="auto"/>
            </w:tcBorders>
            <w:shd w:val="clear" w:color="auto" w:fill="auto"/>
            <w:vAlign w:val="center"/>
            <w:hideMark/>
          </w:tcPr>
          <w:p w:rsidR="006A4FDF" w:rsidRPr="00ED4380" w:rsidRDefault="006A4FDF" w:rsidP="00D92726">
            <w:pPr>
              <w:jc w:val="center"/>
              <w:rPr>
                <w:rFonts w:ascii="Times New Roman" w:eastAsia="Times New Roman" w:hAnsi="Times New Roman" w:cs="Times New Roman"/>
                <w:color w:val="000000"/>
                <w:sz w:val="21"/>
                <w:szCs w:val="21"/>
              </w:rPr>
            </w:pPr>
            <w:r w:rsidRPr="00ED4380">
              <w:rPr>
                <w:rFonts w:ascii="Times New Roman" w:eastAsia="Times New Roman" w:hAnsi="Times New Roman" w:cs="Times New Roman"/>
                <w:color w:val="000000"/>
                <w:sz w:val="21"/>
                <w:szCs w:val="21"/>
              </w:rPr>
              <w:t>CONFIDENCIAL</w:t>
            </w:r>
          </w:p>
        </w:tc>
        <w:tc>
          <w:tcPr>
            <w:tcW w:w="1559" w:type="dxa"/>
            <w:tcBorders>
              <w:top w:val="nil"/>
              <w:left w:val="nil"/>
              <w:bottom w:val="single" w:sz="4" w:space="0" w:color="auto"/>
              <w:right w:val="single" w:sz="4" w:space="0" w:color="auto"/>
            </w:tcBorders>
            <w:shd w:val="clear" w:color="auto" w:fill="auto"/>
            <w:vAlign w:val="center"/>
            <w:hideMark/>
          </w:tcPr>
          <w:p w:rsidR="006A4FDF" w:rsidRPr="00ED4380" w:rsidRDefault="006A4FDF" w:rsidP="00D92726">
            <w:pPr>
              <w:jc w:val="center"/>
              <w:rPr>
                <w:rFonts w:ascii="Times New Roman" w:eastAsia="Times New Roman" w:hAnsi="Times New Roman" w:cs="Times New Roman"/>
                <w:color w:val="000000"/>
                <w:sz w:val="21"/>
                <w:szCs w:val="21"/>
              </w:rPr>
            </w:pPr>
            <w:r w:rsidRPr="00ED4380">
              <w:rPr>
                <w:rFonts w:ascii="Times New Roman" w:eastAsia="Times New Roman" w:hAnsi="Times New Roman" w:cs="Times New Roman"/>
                <w:color w:val="000000"/>
                <w:sz w:val="21"/>
                <w:szCs w:val="21"/>
              </w:rPr>
              <w:t>CONFIDENCIAL</w:t>
            </w:r>
          </w:p>
        </w:tc>
        <w:tc>
          <w:tcPr>
            <w:tcW w:w="1962" w:type="dxa"/>
            <w:gridSpan w:val="2"/>
            <w:tcBorders>
              <w:top w:val="nil"/>
              <w:left w:val="nil"/>
              <w:bottom w:val="single" w:sz="4" w:space="0" w:color="auto"/>
              <w:right w:val="single" w:sz="4" w:space="0" w:color="auto"/>
            </w:tcBorders>
            <w:shd w:val="clear" w:color="auto" w:fill="auto"/>
            <w:vAlign w:val="center"/>
            <w:hideMark/>
          </w:tcPr>
          <w:p w:rsidR="006A4FDF" w:rsidRPr="00ED4380" w:rsidRDefault="006A4FDF" w:rsidP="00D92726">
            <w:pPr>
              <w:jc w:val="center"/>
              <w:rPr>
                <w:rFonts w:ascii="Times New Roman" w:eastAsia="Times New Roman" w:hAnsi="Times New Roman" w:cs="Times New Roman"/>
                <w:color w:val="000000"/>
                <w:sz w:val="21"/>
                <w:szCs w:val="21"/>
              </w:rPr>
            </w:pPr>
            <w:r w:rsidRPr="00ED4380">
              <w:rPr>
                <w:rFonts w:ascii="Times New Roman" w:eastAsia="Times New Roman" w:hAnsi="Times New Roman" w:cs="Times New Roman"/>
                <w:color w:val="000000"/>
                <w:sz w:val="21"/>
                <w:szCs w:val="21"/>
              </w:rPr>
              <w:t>CONFIDENCIAL</w:t>
            </w:r>
          </w:p>
        </w:tc>
      </w:tr>
      <w:tr w:rsidR="006A4FDF" w:rsidRPr="00ED4380" w:rsidTr="00D92726">
        <w:trPr>
          <w:trHeight w:val="400"/>
        </w:trPr>
        <w:tc>
          <w:tcPr>
            <w:tcW w:w="372" w:type="dxa"/>
            <w:tcBorders>
              <w:top w:val="nil"/>
              <w:left w:val="single" w:sz="4" w:space="0" w:color="auto"/>
              <w:bottom w:val="single" w:sz="4" w:space="0" w:color="auto"/>
              <w:right w:val="nil"/>
            </w:tcBorders>
            <w:shd w:val="clear" w:color="auto" w:fill="auto"/>
            <w:noWrap/>
            <w:vAlign w:val="bottom"/>
            <w:hideMark/>
          </w:tcPr>
          <w:p w:rsidR="006A4FDF" w:rsidRPr="00ED4380" w:rsidRDefault="006A4FDF" w:rsidP="00D92726">
            <w:pPr>
              <w:rPr>
                <w:rFonts w:ascii="Times New Roman" w:eastAsia="Times New Roman" w:hAnsi="Times New Roman" w:cs="Times New Roman"/>
                <w:color w:val="000000"/>
                <w:sz w:val="21"/>
                <w:szCs w:val="21"/>
              </w:rPr>
            </w:pPr>
            <w:r w:rsidRPr="00ED4380">
              <w:rPr>
                <w:rFonts w:ascii="Times New Roman" w:eastAsia="Times New Roman" w:hAnsi="Times New Roman" w:cs="Times New Roman"/>
                <w:color w:val="000000"/>
                <w:sz w:val="21"/>
                <w:szCs w:val="21"/>
              </w:rPr>
              <w:t> </w:t>
            </w:r>
          </w:p>
        </w:tc>
        <w:tc>
          <w:tcPr>
            <w:tcW w:w="1613" w:type="dxa"/>
            <w:tcBorders>
              <w:top w:val="nil"/>
              <w:left w:val="single" w:sz="4" w:space="0" w:color="auto"/>
              <w:bottom w:val="single" w:sz="4" w:space="0" w:color="auto"/>
              <w:right w:val="single" w:sz="4" w:space="0" w:color="auto"/>
            </w:tcBorders>
            <w:shd w:val="clear" w:color="auto" w:fill="auto"/>
            <w:noWrap/>
            <w:vAlign w:val="center"/>
            <w:hideMark/>
          </w:tcPr>
          <w:p w:rsidR="006A4FDF" w:rsidRPr="00ED4380" w:rsidRDefault="006A4FDF" w:rsidP="00D92726">
            <w:pPr>
              <w:jc w:val="center"/>
              <w:rPr>
                <w:rFonts w:ascii="Times New Roman" w:eastAsia="Times New Roman" w:hAnsi="Times New Roman" w:cs="Times New Roman"/>
                <w:b/>
                <w:bCs/>
                <w:color w:val="000000"/>
                <w:sz w:val="21"/>
                <w:szCs w:val="21"/>
              </w:rPr>
            </w:pPr>
            <w:r w:rsidRPr="00ED4380">
              <w:rPr>
                <w:rFonts w:ascii="Times New Roman" w:eastAsia="Times New Roman" w:hAnsi="Times New Roman" w:cs="Times New Roman"/>
                <w:b/>
                <w:bCs/>
                <w:color w:val="000000"/>
                <w:sz w:val="21"/>
                <w:szCs w:val="21"/>
              </w:rPr>
              <w:t>Flete Zona Occidental</w:t>
            </w:r>
          </w:p>
        </w:tc>
        <w:tc>
          <w:tcPr>
            <w:tcW w:w="1843" w:type="dxa"/>
            <w:tcBorders>
              <w:top w:val="nil"/>
              <w:left w:val="nil"/>
              <w:bottom w:val="single" w:sz="4" w:space="0" w:color="auto"/>
              <w:right w:val="single" w:sz="4" w:space="0" w:color="auto"/>
            </w:tcBorders>
            <w:shd w:val="clear" w:color="auto" w:fill="auto"/>
            <w:noWrap/>
            <w:vAlign w:val="center"/>
            <w:hideMark/>
          </w:tcPr>
          <w:p w:rsidR="006A4FDF" w:rsidRPr="00ED4380" w:rsidRDefault="006A4FDF" w:rsidP="00D92726">
            <w:pPr>
              <w:jc w:val="center"/>
              <w:rPr>
                <w:rFonts w:ascii="Times New Roman" w:eastAsia="Times New Roman" w:hAnsi="Times New Roman" w:cs="Times New Roman"/>
                <w:color w:val="000000"/>
                <w:sz w:val="21"/>
                <w:szCs w:val="21"/>
              </w:rPr>
            </w:pPr>
            <w:r w:rsidRPr="00ED4380">
              <w:rPr>
                <w:rFonts w:ascii="Times New Roman" w:eastAsia="Times New Roman" w:hAnsi="Times New Roman" w:cs="Times New Roman"/>
                <w:color w:val="000000"/>
                <w:sz w:val="21"/>
                <w:szCs w:val="21"/>
              </w:rPr>
              <w:t>$0.044</w:t>
            </w:r>
          </w:p>
        </w:tc>
        <w:tc>
          <w:tcPr>
            <w:tcW w:w="1559" w:type="dxa"/>
            <w:tcBorders>
              <w:top w:val="nil"/>
              <w:left w:val="nil"/>
              <w:bottom w:val="single" w:sz="4" w:space="0" w:color="auto"/>
              <w:right w:val="single" w:sz="4" w:space="0" w:color="auto"/>
            </w:tcBorders>
            <w:shd w:val="clear" w:color="auto" w:fill="auto"/>
            <w:noWrap/>
            <w:vAlign w:val="center"/>
            <w:hideMark/>
          </w:tcPr>
          <w:p w:rsidR="006A4FDF" w:rsidRPr="00ED4380" w:rsidRDefault="006A4FDF" w:rsidP="00D92726">
            <w:pPr>
              <w:jc w:val="center"/>
              <w:rPr>
                <w:rFonts w:ascii="Times New Roman" w:eastAsia="Times New Roman" w:hAnsi="Times New Roman" w:cs="Times New Roman"/>
                <w:color w:val="000000"/>
                <w:sz w:val="21"/>
                <w:szCs w:val="21"/>
              </w:rPr>
            </w:pPr>
            <w:r w:rsidRPr="00ED4380">
              <w:rPr>
                <w:rFonts w:ascii="Times New Roman" w:eastAsia="Times New Roman" w:hAnsi="Times New Roman" w:cs="Times New Roman"/>
                <w:color w:val="000000"/>
                <w:sz w:val="21"/>
                <w:szCs w:val="21"/>
              </w:rPr>
              <w:t>$0.044</w:t>
            </w:r>
          </w:p>
        </w:tc>
        <w:tc>
          <w:tcPr>
            <w:tcW w:w="1559" w:type="dxa"/>
            <w:tcBorders>
              <w:top w:val="nil"/>
              <w:left w:val="nil"/>
              <w:bottom w:val="single" w:sz="4" w:space="0" w:color="auto"/>
              <w:right w:val="single" w:sz="4" w:space="0" w:color="auto"/>
            </w:tcBorders>
            <w:shd w:val="clear" w:color="auto" w:fill="auto"/>
            <w:noWrap/>
            <w:vAlign w:val="center"/>
            <w:hideMark/>
          </w:tcPr>
          <w:p w:rsidR="006A4FDF" w:rsidRPr="00ED4380" w:rsidRDefault="006A4FDF" w:rsidP="00D92726">
            <w:pPr>
              <w:jc w:val="center"/>
              <w:rPr>
                <w:rFonts w:ascii="Times New Roman" w:eastAsia="Times New Roman" w:hAnsi="Times New Roman" w:cs="Times New Roman"/>
                <w:color w:val="000000"/>
                <w:sz w:val="21"/>
                <w:szCs w:val="21"/>
              </w:rPr>
            </w:pPr>
            <w:r w:rsidRPr="00ED4380">
              <w:rPr>
                <w:rFonts w:ascii="Times New Roman" w:eastAsia="Times New Roman" w:hAnsi="Times New Roman" w:cs="Times New Roman"/>
                <w:color w:val="000000"/>
                <w:sz w:val="21"/>
                <w:szCs w:val="21"/>
              </w:rPr>
              <w:t>$0.044</w:t>
            </w:r>
          </w:p>
        </w:tc>
        <w:tc>
          <w:tcPr>
            <w:tcW w:w="1962" w:type="dxa"/>
            <w:gridSpan w:val="2"/>
            <w:tcBorders>
              <w:top w:val="nil"/>
              <w:left w:val="nil"/>
              <w:bottom w:val="single" w:sz="4" w:space="0" w:color="auto"/>
              <w:right w:val="single" w:sz="4" w:space="0" w:color="auto"/>
            </w:tcBorders>
            <w:shd w:val="clear" w:color="auto" w:fill="auto"/>
            <w:noWrap/>
            <w:vAlign w:val="center"/>
            <w:hideMark/>
          </w:tcPr>
          <w:p w:rsidR="006A4FDF" w:rsidRPr="00ED4380" w:rsidRDefault="006A4FDF" w:rsidP="00D92726">
            <w:pPr>
              <w:jc w:val="center"/>
              <w:rPr>
                <w:rFonts w:ascii="Times New Roman" w:eastAsia="Times New Roman" w:hAnsi="Times New Roman" w:cs="Times New Roman"/>
                <w:color w:val="000000"/>
                <w:sz w:val="21"/>
                <w:szCs w:val="21"/>
              </w:rPr>
            </w:pPr>
            <w:r w:rsidRPr="00ED4380">
              <w:rPr>
                <w:rFonts w:ascii="Times New Roman" w:eastAsia="Times New Roman" w:hAnsi="Times New Roman" w:cs="Times New Roman"/>
                <w:color w:val="000000"/>
                <w:sz w:val="21"/>
                <w:szCs w:val="21"/>
              </w:rPr>
              <w:t>$0.044</w:t>
            </w:r>
          </w:p>
        </w:tc>
      </w:tr>
      <w:tr w:rsidR="006A4FDF" w:rsidRPr="00ED4380" w:rsidTr="00D92726">
        <w:trPr>
          <w:trHeight w:val="1140"/>
        </w:trPr>
        <w:tc>
          <w:tcPr>
            <w:tcW w:w="372" w:type="dxa"/>
            <w:vMerge w:val="restart"/>
            <w:tcBorders>
              <w:top w:val="nil"/>
              <w:left w:val="single" w:sz="4" w:space="0" w:color="auto"/>
              <w:bottom w:val="single" w:sz="4" w:space="0" w:color="auto"/>
              <w:right w:val="nil"/>
            </w:tcBorders>
            <w:shd w:val="clear" w:color="auto" w:fill="auto"/>
            <w:noWrap/>
            <w:textDirection w:val="btLr"/>
            <w:vAlign w:val="center"/>
            <w:hideMark/>
          </w:tcPr>
          <w:p w:rsidR="006A4FDF" w:rsidRPr="00ED4380" w:rsidRDefault="006A4FDF" w:rsidP="00D92726">
            <w:pPr>
              <w:jc w:val="center"/>
              <w:rPr>
                <w:rFonts w:ascii="Times New Roman" w:eastAsia="Times New Roman" w:hAnsi="Times New Roman" w:cs="Times New Roman"/>
                <w:b/>
                <w:bCs/>
                <w:color w:val="000000"/>
                <w:sz w:val="21"/>
                <w:szCs w:val="21"/>
              </w:rPr>
            </w:pPr>
            <w:r w:rsidRPr="00ED4380">
              <w:rPr>
                <w:rFonts w:ascii="Times New Roman" w:eastAsia="Times New Roman" w:hAnsi="Times New Roman" w:cs="Times New Roman"/>
                <w:b/>
                <w:bCs/>
                <w:color w:val="000000"/>
                <w:sz w:val="21"/>
                <w:szCs w:val="21"/>
              </w:rPr>
              <w:lastRenderedPageBreak/>
              <w:t>Tributos</w:t>
            </w:r>
          </w:p>
        </w:tc>
        <w:tc>
          <w:tcPr>
            <w:tcW w:w="1613" w:type="dxa"/>
            <w:tcBorders>
              <w:top w:val="nil"/>
              <w:left w:val="single" w:sz="4" w:space="0" w:color="auto"/>
              <w:bottom w:val="single" w:sz="4" w:space="0" w:color="auto"/>
              <w:right w:val="single" w:sz="4" w:space="0" w:color="auto"/>
            </w:tcBorders>
            <w:shd w:val="clear" w:color="auto" w:fill="auto"/>
            <w:noWrap/>
            <w:vAlign w:val="center"/>
            <w:hideMark/>
          </w:tcPr>
          <w:p w:rsidR="006A4FDF" w:rsidRPr="00ED4380" w:rsidRDefault="006A4FDF" w:rsidP="00D92726">
            <w:pPr>
              <w:jc w:val="center"/>
              <w:rPr>
                <w:rFonts w:ascii="Times New Roman" w:eastAsia="Times New Roman" w:hAnsi="Times New Roman" w:cs="Times New Roman"/>
                <w:b/>
                <w:bCs/>
                <w:color w:val="000000"/>
                <w:sz w:val="21"/>
                <w:szCs w:val="21"/>
              </w:rPr>
            </w:pPr>
            <w:r w:rsidRPr="00ED4380">
              <w:rPr>
                <w:rFonts w:ascii="Times New Roman" w:eastAsia="Times New Roman" w:hAnsi="Times New Roman" w:cs="Times New Roman"/>
                <w:b/>
                <w:bCs/>
                <w:color w:val="000000"/>
                <w:sz w:val="21"/>
                <w:szCs w:val="21"/>
              </w:rPr>
              <w:t>IEC Zona Occidental</w:t>
            </w:r>
          </w:p>
        </w:tc>
        <w:tc>
          <w:tcPr>
            <w:tcW w:w="1843" w:type="dxa"/>
            <w:tcBorders>
              <w:top w:val="nil"/>
              <w:left w:val="nil"/>
              <w:bottom w:val="single" w:sz="4" w:space="0" w:color="auto"/>
              <w:right w:val="single" w:sz="4" w:space="0" w:color="auto"/>
            </w:tcBorders>
            <w:shd w:val="clear" w:color="auto" w:fill="auto"/>
            <w:vAlign w:val="center"/>
            <w:hideMark/>
          </w:tcPr>
          <w:p w:rsidR="006A4FDF" w:rsidRPr="00ED4380" w:rsidRDefault="006A4FDF" w:rsidP="00D92726">
            <w:pPr>
              <w:jc w:val="center"/>
              <w:rPr>
                <w:rFonts w:ascii="Times New Roman" w:eastAsia="Times New Roman" w:hAnsi="Times New Roman" w:cs="Times New Roman"/>
                <w:color w:val="000000"/>
                <w:sz w:val="21"/>
                <w:szCs w:val="21"/>
              </w:rPr>
            </w:pPr>
            <w:r w:rsidRPr="00ED4380">
              <w:rPr>
                <w:rFonts w:ascii="Times New Roman" w:eastAsia="Times New Roman" w:hAnsi="Times New Roman" w:cs="Times New Roman"/>
                <w:color w:val="000000"/>
                <w:sz w:val="21"/>
                <w:szCs w:val="21"/>
              </w:rPr>
              <w:t>Costo variable determinado por el precio internacional del barril del crudo del WTI</w:t>
            </w:r>
          </w:p>
        </w:tc>
        <w:tc>
          <w:tcPr>
            <w:tcW w:w="1559" w:type="dxa"/>
            <w:tcBorders>
              <w:top w:val="nil"/>
              <w:left w:val="nil"/>
              <w:bottom w:val="single" w:sz="4" w:space="0" w:color="auto"/>
              <w:right w:val="single" w:sz="4" w:space="0" w:color="auto"/>
            </w:tcBorders>
            <w:shd w:val="clear" w:color="auto" w:fill="auto"/>
            <w:vAlign w:val="center"/>
            <w:hideMark/>
          </w:tcPr>
          <w:p w:rsidR="006A4FDF" w:rsidRPr="00ED4380" w:rsidRDefault="006A4FDF" w:rsidP="00D92726">
            <w:pPr>
              <w:jc w:val="center"/>
              <w:rPr>
                <w:rFonts w:ascii="Times New Roman" w:eastAsia="Times New Roman" w:hAnsi="Times New Roman" w:cs="Times New Roman"/>
                <w:color w:val="000000"/>
                <w:sz w:val="21"/>
                <w:szCs w:val="21"/>
              </w:rPr>
            </w:pPr>
            <w:r w:rsidRPr="00ED4380">
              <w:rPr>
                <w:rFonts w:ascii="Times New Roman" w:eastAsia="Times New Roman" w:hAnsi="Times New Roman" w:cs="Times New Roman"/>
                <w:color w:val="000000"/>
                <w:sz w:val="21"/>
                <w:szCs w:val="21"/>
              </w:rPr>
              <w:t>Costo variable determinado por el precio internacional del barril del crudo del WTI</w:t>
            </w:r>
          </w:p>
        </w:tc>
        <w:tc>
          <w:tcPr>
            <w:tcW w:w="1559" w:type="dxa"/>
            <w:tcBorders>
              <w:top w:val="nil"/>
              <w:left w:val="nil"/>
              <w:bottom w:val="single" w:sz="4" w:space="0" w:color="auto"/>
              <w:right w:val="single" w:sz="4" w:space="0" w:color="auto"/>
            </w:tcBorders>
            <w:shd w:val="clear" w:color="auto" w:fill="auto"/>
            <w:vAlign w:val="center"/>
            <w:hideMark/>
          </w:tcPr>
          <w:p w:rsidR="006A4FDF" w:rsidRPr="00ED4380" w:rsidRDefault="006A4FDF" w:rsidP="00D92726">
            <w:pPr>
              <w:jc w:val="center"/>
              <w:rPr>
                <w:rFonts w:ascii="Times New Roman" w:eastAsia="Times New Roman" w:hAnsi="Times New Roman" w:cs="Times New Roman"/>
                <w:color w:val="000000"/>
                <w:sz w:val="21"/>
                <w:szCs w:val="21"/>
              </w:rPr>
            </w:pPr>
            <w:r w:rsidRPr="00ED4380">
              <w:rPr>
                <w:rFonts w:ascii="Times New Roman" w:eastAsia="Times New Roman" w:hAnsi="Times New Roman" w:cs="Times New Roman"/>
                <w:color w:val="000000"/>
                <w:sz w:val="21"/>
                <w:szCs w:val="21"/>
              </w:rPr>
              <w:t>Costo variable determinado por el precio internacional del barril del crudo del WTI</w:t>
            </w:r>
          </w:p>
        </w:tc>
        <w:tc>
          <w:tcPr>
            <w:tcW w:w="1962" w:type="dxa"/>
            <w:gridSpan w:val="2"/>
            <w:tcBorders>
              <w:top w:val="nil"/>
              <w:left w:val="nil"/>
              <w:bottom w:val="single" w:sz="4" w:space="0" w:color="auto"/>
              <w:right w:val="single" w:sz="4" w:space="0" w:color="auto"/>
            </w:tcBorders>
            <w:shd w:val="clear" w:color="auto" w:fill="auto"/>
            <w:vAlign w:val="center"/>
            <w:hideMark/>
          </w:tcPr>
          <w:p w:rsidR="006A4FDF" w:rsidRPr="00ED4380" w:rsidRDefault="006A4FDF" w:rsidP="00D92726">
            <w:pPr>
              <w:jc w:val="center"/>
              <w:rPr>
                <w:rFonts w:ascii="Times New Roman" w:eastAsia="Times New Roman" w:hAnsi="Times New Roman" w:cs="Times New Roman"/>
                <w:color w:val="000000"/>
                <w:sz w:val="21"/>
                <w:szCs w:val="21"/>
              </w:rPr>
            </w:pPr>
            <w:r w:rsidRPr="00ED4380">
              <w:rPr>
                <w:rFonts w:ascii="Times New Roman" w:eastAsia="Times New Roman" w:hAnsi="Times New Roman" w:cs="Times New Roman"/>
                <w:color w:val="000000"/>
                <w:sz w:val="21"/>
                <w:szCs w:val="21"/>
              </w:rPr>
              <w:t>Costo variable determinado por el precio internacional del barril del crudo del WTI</w:t>
            </w:r>
          </w:p>
        </w:tc>
      </w:tr>
      <w:tr w:rsidR="006A4FDF" w:rsidRPr="00ED4380" w:rsidTr="00D92726">
        <w:trPr>
          <w:trHeight w:val="300"/>
        </w:trPr>
        <w:tc>
          <w:tcPr>
            <w:tcW w:w="372" w:type="dxa"/>
            <w:vMerge/>
            <w:tcBorders>
              <w:top w:val="nil"/>
              <w:left w:val="single" w:sz="4" w:space="0" w:color="auto"/>
              <w:bottom w:val="single" w:sz="4" w:space="0" w:color="auto"/>
              <w:right w:val="nil"/>
            </w:tcBorders>
            <w:vAlign w:val="center"/>
            <w:hideMark/>
          </w:tcPr>
          <w:p w:rsidR="006A4FDF" w:rsidRPr="00ED4380" w:rsidRDefault="006A4FDF" w:rsidP="00D92726">
            <w:pPr>
              <w:rPr>
                <w:rFonts w:ascii="Times New Roman" w:eastAsia="Times New Roman" w:hAnsi="Times New Roman" w:cs="Times New Roman"/>
                <w:b/>
                <w:bCs/>
                <w:color w:val="000000"/>
                <w:sz w:val="21"/>
                <w:szCs w:val="21"/>
              </w:rPr>
            </w:pPr>
          </w:p>
        </w:tc>
        <w:tc>
          <w:tcPr>
            <w:tcW w:w="1613" w:type="dxa"/>
            <w:tcBorders>
              <w:top w:val="nil"/>
              <w:left w:val="single" w:sz="4" w:space="0" w:color="auto"/>
              <w:bottom w:val="single" w:sz="4" w:space="0" w:color="auto"/>
              <w:right w:val="single" w:sz="4" w:space="0" w:color="auto"/>
            </w:tcBorders>
            <w:shd w:val="clear" w:color="auto" w:fill="auto"/>
            <w:noWrap/>
            <w:vAlign w:val="center"/>
            <w:hideMark/>
          </w:tcPr>
          <w:p w:rsidR="006A4FDF" w:rsidRPr="00ED4380" w:rsidRDefault="006A4FDF" w:rsidP="00D92726">
            <w:pPr>
              <w:jc w:val="center"/>
              <w:rPr>
                <w:rFonts w:ascii="Times New Roman" w:eastAsia="Times New Roman" w:hAnsi="Times New Roman" w:cs="Times New Roman"/>
                <w:b/>
                <w:bCs/>
                <w:color w:val="000000"/>
                <w:sz w:val="21"/>
                <w:szCs w:val="21"/>
              </w:rPr>
            </w:pPr>
            <w:r w:rsidRPr="00ED4380">
              <w:rPr>
                <w:rFonts w:ascii="Times New Roman" w:eastAsia="Times New Roman" w:hAnsi="Times New Roman" w:cs="Times New Roman"/>
                <w:b/>
                <w:bCs/>
                <w:color w:val="000000"/>
                <w:sz w:val="21"/>
                <w:szCs w:val="21"/>
              </w:rPr>
              <w:t>FOVIAL</w:t>
            </w:r>
          </w:p>
        </w:tc>
        <w:tc>
          <w:tcPr>
            <w:tcW w:w="1843" w:type="dxa"/>
            <w:tcBorders>
              <w:top w:val="nil"/>
              <w:left w:val="nil"/>
              <w:bottom w:val="single" w:sz="4" w:space="0" w:color="auto"/>
              <w:right w:val="single" w:sz="4" w:space="0" w:color="auto"/>
            </w:tcBorders>
            <w:shd w:val="clear" w:color="auto" w:fill="auto"/>
            <w:noWrap/>
            <w:vAlign w:val="center"/>
            <w:hideMark/>
          </w:tcPr>
          <w:p w:rsidR="006A4FDF" w:rsidRPr="00ED4380" w:rsidRDefault="006A4FDF" w:rsidP="00D92726">
            <w:pPr>
              <w:jc w:val="center"/>
              <w:rPr>
                <w:rFonts w:ascii="Times New Roman" w:eastAsia="Times New Roman" w:hAnsi="Times New Roman" w:cs="Times New Roman"/>
                <w:color w:val="000000"/>
                <w:sz w:val="21"/>
                <w:szCs w:val="21"/>
              </w:rPr>
            </w:pPr>
            <w:r w:rsidRPr="00ED4380">
              <w:rPr>
                <w:rFonts w:ascii="Times New Roman" w:eastAsia="Times New Roman" w:hAnsi="Times New Roman" w:cs="Times New Roman"/>
                <w:color w:val="000000"/>
                <w:sz w:val="21"/>
                <w:szCs w:val="21"/>
              </w:rPr>
              <w:t>$0.20</w:t>
            </w:r>
          </w:p>
        </w:tc>
        <w:tc>
          <w:tcPr>
            <w:tcW w:w="1559" w:type="dxa"/>
            <w:tcBorders>
              <w:top w:val="nil"/>
              <w:left w:val="nil"/>
              <w:bottom w:val="single" w:sz="4" w:space="0" w:color="auto"/>
              <w:right w:val="single" w:sz="4" w:space="0" w:color="auto"/>
            </w:tcBorders>
            <w:shd w:val="clear" w:color="auto" w:fill="auto"/>
            <w:noWrap/>
            <w:vAlign w:val="center"/>
            <w:hideMark/>
          </w:tcPr>
          <w:p w:rsidR="006A4FDF" w:rsidRPr="00ED4380" w:rsidRDefault="006A4FDF" w:rsidP="00D92726">
            <w:pPr>
              <w:jc w:val="center"/>
              <w:rPr>
                <w:rFonts w:ascii="Times New Roman" w:eastAsia="Times New Roman" w:hAnsi="Times New Roman" w:cs="Times New Roman"/>
                <w:color w:val="000000"/>
                <w:sz w:val="21"/>
                <w:szCs w:val="21"/>
              </w:rPr>
            </w:pPr>
            <w:r w:rsidRPr="00ED4380">
              <w:rPr>
                <w:rFonts w:ascii="Times New Roman" w:eastAsia="Times New Roman" w:hAnsi="Times New Roman" w:cs="Times New Roman"/>
                <w:color w:val="000000"/>
                <w:sz w:val="21"/>
                <w:szCs w:val="21"/>
              </w:rPr>
              <w:t>$0.20</w:t>
            </w:r>
          </w:p>
        </w:tc>
        <w:tc>
          <w:tcPr>
            <w:tcW w:w="1559" w:type="dxa"/>
            <w:tcBorders>
              <w:top w:val="nil"/>
              <w:left w:val="nil"/>
              <w:bottom w:val="single" w:sz="4" w:space="0" w:color="auto"/>
              <w:right w:val="single" w:sz="4" w:space="0" w:color="auto"/>
            </w:tcBorders>
            <w:shd w:val="clear" w:color="auto" w:fill="auto"/>
            <w:noWrap/>
            <w:vAlign w:val="center"/>
            <w:hideMark/>
          </w:tcPr>
          <w:p w:rsidR="006A4FDF" w:rsidRPr="00ED4380" w:rsidRDefault="006A4FDF" w:rsidP="00D92726">
            <w:pPr>
              <w:jc w:val="center"/>
              <w:rPr>
                <w:rFonts w:ascii="Times New Roman" w:eastAsia="Times New Roman" w:hAnsi="Times New Roman" w:cs="Times New Roman"/>
                <w:color w:val="000000"/>
                <w:sz w:val="21"/>
                <w:szCs w:val="21"/>
              </w:rPr>
            </w:pPr>
            <w:r w:rsidRPr="00ED4380">
              <w:rPr>
                <w:rFonts w:ascii="Times New Roman" w:eastAsia="Times New Roman" w:hAnsi="Times New Roman" w:cs="Times New Roman"/>
                <w:color w:val="000000"/>
                <w:sz w:val="21"/>
                <w:szCs w:val="21"/>
              </w:rPr>
              <w:t>$0.20</w:t>
            </w:r>
          </w:p>
        </w:tc>
        <w:tc>
          <w:tcPr>
            <w:tcW w:w="1962" w:type="dxa"/>
            <w:gridSpan w:val="2"/>
            <w:tcBorders>
              <w:top w:val="nil"/>
              <w:left w:val="nil"/>
              <w:bottom w:val="single" w:sz="4" w:space="0" w:color="auto"/>
              <w:right w:val="single" w:sz="4" w:space="0" w:color="auto"/>
            </w:tcBorders>
            <w:shd w:val="clear" w:color="auto" w:fill="auto"/>
            <w:noWrap/>
            <w:vAlign w:val="center"/>
            <w:hideMark/>
          </w:tcPr>
          <w:p w:rsidR="006A4FDF" w:rsidRPr="00ED4380" w:rsidRDefault="006A4FDF" w:rsidP="00D92726">
            <w:pPr>
              <w:jc w:val="center"/>
              <w:rPr>
                <w:rFonts w:ascii="Times New Roman" w:eastAsia="Times New Roman" w:hAnsi="Times New Roman" w:cs="Times New Roman"/>
                <w:color w:val="000000"/>
                <w:sz w:val="21"/>
                <w:szCs w:val="21"/>
              </w:rPr>
            </w:pPr>
            <w:r w:rsidRPr="00ED4380">
              <w:rPr>
                <w:rFonts w:ascii="Times New Roman" w:eastAsia="Times New Roman" w:hAnsi="Times New Roman" w:cs="Times New Roman"/>
                <w:color w:val="000000"/>
                <w:sz w:val="21"/>
                <w:szCs w:val="21"/>
              </w:rPr>
              <w:t>$0.20</w:t>
            </w:r>
          </w:p>
        </w:tc>
      </w:tr>
      <w:tr w:rsidR="006A4FDF" w:rsidRPr="00ED4380" w:rsidTr="00D92726">
        <w:trPr>
          <w:trHeight w:val="300"/>
        </w:trPr>
        <w:tc>
          <w:tcPr>
            <w:tcW w:w="372" w:type="dxa"/>
            <w:vMerge/>
            <w:tcBorders>
              <w:top w:val="nil"/>
              <w:left w:val="single" w:sz="4" w:space="0" w:color="auto"/>
              <w:bottom w:val="single" w:sz="4" w:space="0" w:color="auto"/>
              <w:right w:val="nil"/>
            </w:tcBorders>
            <w:vAlign w:val="center"/>
            <w:hideMark/>
          </w:tcPr>
          <w:p w:rsidR="006A4FDF" w:rsidRPr="00ED4380" w:rsidRDefault="006A4FDF" w:rsidP="00D92726">
            <w:pPr>
              <w:rPr>
                <w:rFonts w:ascii="Times New Roman" w:eastAsia="Times New Roman" w:hAnsi="Times New Roman" w:cs="Times New Roman"/>
                <w:b/>
                <w:bCs/>
                <w:color w:val="000000"/>
                <w:sz w:val="21"/>
                <w:szCs w:val="21"/>
              </w:rPr>
            </w:pPr>
          </w:p>
        </w:tc>
        <w:tc>
          <w:tcPr>
            <w:tcW w:w="1613" w:type="dxa"/>
            <w:tcBorders>
              <w:top w:val="nil"/>
              <w:left w:val="single" w:sz="4" w:space="0" w:color="auto"/>
              <w:bottom w:val="single" w:sz="4" w:space="0" w:color="auto"/>
              <w:right w:val="single" w:sz="4" w:space="0" w:color="auto"/>
            </w:tcBorders>
            <w:shd w:val="clear" w:color="auto" w:fill="auto"/>
            <w:noWrap/>
            <w:vAlign w:val="center"/>
            <w:hideMark/>
          </w:tcPr>
          <w:p w:rsidR="006A4FDF" w:rsidRPr="00ED4380" w:rsidRDefault="006A4FDF" w:rsidP="00D92726">
            <w:pPr>
              <w:jc w:val="center"/>
              <w:rPr>
                <w:rFonts w:ascii="Times New Roman" w:eastAsia="Times New Roman" w:hAnsi="Times New Roman" w:cs="Times New Roman"/>
                <w:b/>
                <w:bCs/>
                <w:color w:val="000000"/>
                <w:sz w:val="21"/>
                <w:szCs w:val="21"/>
              </w:rPr>
            </w:pPr>
            <w:r w:rsidRPr="00ED4380">
              <w:rPr>
                <w:rFonts w:ascii="Times New Roman" w:eastAsia="Times New Roman" w:hAnsi="Times New Roman" w:cs="Times New Roman"/>
                <w:b/>
                <w:bCs/>
                <w:color w:val="000000"/>
                <w:sz w:val="21"/>
                <w:szCs w:val="21"/>
              </w:rPr>
              <w:t>COTRANS</w:t>
            </w:r>
          </w:p>
        </w:tc>
        <w:tc>
          <w:tcPr>
            <w:tcW w:w="1843" w:type="dxa"/>
            <w:tcBorders>
              <w:top w:val="nil"/>
              <w:left w:val="nil"/>
              <w:bottom w:val="single" w:sz="4" w:space="0" w:color="auto"/>
              <w:right w:val="single" w:sz="4" w:space="0" w:color="auto"/>
            </w:tcBorders>
            <w:shd w:val="clear" w:color="auto" w:fill="auto"/>
            <w:noWrap/>
            <w:vAlign w:val="center"/>
            <w:hideMark/>
          </w:tcPr>
          <w:p w:rsidR="006A4FDF" w:rsidRPr="00ED4380" w:rsidRDefault="006A4FDF" w:rsidP="00D92726">
            <w:pPr>
              <w:jc w:val="center"/>
              <w:rPr>
                <w:rFonts w:ascii="Times New Roman" w:eastAsia="Times New Roman" w:hAnsi="Times New Roman" w:cs="Times New Roman"/>
                <w:color w:val="000000"/>
                <w:sz w:val="21"/>
                <w:szCs w:val="21"/>
              </w:rPr>
            </w:pPr>
            <w:r w:rsidRPr="00ED4380">
              <w:rPr>
                <w:rFonts w:ascii="Times New Roman" w:eastAsia="Times New Roman" w:hAnsi="Times New Roman" w:cs="Times New Roman"/>
                <w:color w:val="000000"/>
                <w:sz w:val="21"/>
                <w:szCs w:val="21"/>
              </w:rPr>
              <w:t>$0.10</w:t>
            </w:r>
          </w:p>
        </w:tc>
        <w:tc>
          <w:tcPr>
            <w:tcW w:w="1559" w:type="dxa"/>
            <w:tcBorders>
              <w:top w:val="nil"/>
              <w:left w:val="nil"/>
              <w:bottom w:val="single" w:sz="4" w:space="0" w:color="auto"/>
              <w:right w:val="single" w:sz="4" w:space="0" w:color="auto"/>
            </w:tcBorders>
            <w:shd w:val="clear" w:color="auto" w:fill="auto"/>
            <w:noWrap/>
            <w:vAlign w:val="center"/>
            <w:hideMark/>
          </w:tcPr>
          <w:p w:rsidR="006A4FDF" w:rsidRPr="00ED4380" w:rsidRDefault="006A4FDF" w:rsidP="00D92726">
            <w:pPr>
              <w:jc w:val="center"/>
              <w:rPr>
                <w:rFonts w:ascii="Times New Roman" w:eastAsia="Times New Roman" w:hAnsi="Times New Roman" w:cs="Times New Roman"/>
                <w:color w:val="000000"/>
                <w:sz w:val="21"/>
                <w:szCs w:val="21"/>
              </w:rPr>
            </w:pPr>
            <w:r w:rsidRPr="00ED4380">
              <w:rPr>
                <w:rFonts w:ascii="Times New Roman" w:eastAsia="Times New Roman" w:hAnsi="Times New Roman" w:cs="Times New Roman"/>
                <w:color w:val="000000"/>
                <w:sz w:val="21"/>
                <w:szCs w:val="21"/>
              </w:rPr>
              <w:t>$0.10</w:t>
            </w:r>
          </w:p>
        </w:tc>
        <w:tc>
          <w:tcPr>
            <w:tcW w:w="1559" w:type="dxa"/>
            <w:tcBorders>
              <w:top w:val="nil"/>
              <w:left w:val="nil"/>
              <w:bottom w:val="single" w:sz="4" w:space="0" w:color="auto"/>
              <w:right w:val="single" w:sz="4" w:space="0" w:color="auto"/>
            </w:tcBorders>
            <w:shd w:val="clear" w:color="auto" w:fill="auto"/>
            <w:noWrap/>
            <w:vAlign w:val="center"/>
            <w:hideMark/>
          </w:tcPr>
          <w:p w:rsidR="006A4FDF" w:rsidRPr="00ED4380" w:rsidRDefault="006A4FDF" w:rsidP="00D92726">
            <w:pPr>
              <w:jc w:val="center"/>
              <w:rPr>
                <w:rFonts w:ascii="Times New Roman" w:eastAsia="Times New Roman" w:hAnsi="Times New Roman" w:cs="Times New Roman"/>
                <w:color w:val="000000"/>
                <w:sz w:val="21"/>
                <w:szCs w:val="21"/>
              </w:rPr>
            </w:pPr>
            <w:r w:rsidRPr="00ED4380">
              <w:rPr>
                <w:rFonts w:ascii="Times New Roman" w:eastAsia="Times New Roman" w:hAnsi="Times New Roman" w:cs="Times New Roman"/>
                <w:color w:val="000000"/>
                <w:sz w:val="21"/>
                <w:szCs w:val="21"/>
              </w:rPr>
              <w:t>$0.10</w:t>
            </w:r>
          </w:p>
        </w:tc>
        <w:tc>
          <w:tcPr>
            <w:tcW w:w="1962" w:type="dxa"/>
            <w:gridSpan w:val="2"/>
            <w:tcBorders>
              <w:top w:val="nil"/>
              <w:left w:val="nil"/>
              <w:bottom w:val="single" w:sz="4" w:space="0" w:color="auto"/>
              <w:right w:val="single" w:sz="4" w:space="0" w:color="auto"/>
            </w:tcBorders>
            <w:shd w:val="clear" w:color="auto" w:fill="auto"/>
            <w:noWrap/>
            <w:vAlign w:val="center"/>
            <w:hideMark/>
          </w:tcPr>
          <w:p w:rsidR="006A4FDF" w:rsidRPr="00ED4380" w:rsidRDefault="006A4FDF" w:rsidP="00D92726">
            <w:pPr>
              <w:jc w:val="center"/>
              <w:rPr>
                <w:rFonts w:ascii="Times New Roman" w:eastAsia="Times New Roman" w:hAnsi="Times New Roman" w:cs="Times New Roman"/>
                <w:color w:val="000000"/>
                <w:sz w:val="21"/>
                <w:szCs w:val="21"/>
              </w:rPr>
            </w:pPr>
            <w:r w:rsidRPr="00ED4380">
              <w:rPr>
                <w:rFonts w:ascii="Times New Roman" w:eastAsia="Times New Roman" w:hAnsi="Times New Roman" w:cs="Times New Roman"/>
                <w:color w:val="000000"/>
                <w:sz w:val="21"/>
                <w:szCs w:val="21"/>
              </w:rPr>
              <w:t>$0.10</w:t>
            </w:r>
          </w:p>
        </w:tc>
      </w:tr>
      <w:tr w:rsidR="006A4FDF" w:rsidRPr="00ED4380" w:rsidTr="00D92726">
        <w:trPr>
          <w:trHeight w:val="360"/>
        </w:trPr>
        <w:tc>
          <w:tcPr>
            <w:tcW w:w="372" w:type="dxa"/>
            <w:vMerge/>
            <w:tcBorders>
              <w:top w:val="nil"/>
              <w:left w:val="single" w:sz="4" w:space="0" w:color="auto"/>
              <w:bottom w:val="single" w:sz="4" w:space="0" w:color="auto"/>
              <w:right w:val="nil"/>
            </w:tcBorders>
            <w:vAlign w:val="center"/>
            <w:hideMark/>
          </w:tcPr>
          <w:p w:rsidR="006A4FDF" w:rsidRPr="00ED4380" w:rsidRDefault="006A4FDF" w:rsidP="00D92726">
            <w:pPr>
              <w:rPr>
                <w:rFonts w:ascii="Times New Roman" w:eastAsia="Times New Roman" w:hAnsi="Times New Roman" w:cs="Times New Roman"/>
                <w:b/>
                <w:bCs/>
                <w:color w:val="000000"/>
                <w:sz w:val="21"/>
                <w:szCs w:val="21"/>
              </w:rPr>
            </w:pPr>
          </w:p>
        </w:tc>
        <w:tc>
          <w:tcPr>
            <w:tcW w:w="1613" w:type="dxa"/>
            <w:tcBorders>
              <w:top w:val="nil"/>
              <w:left w:val="single" w:sz="4" w:space="0" w:color="auto"/>
              <w:bottom w:val="single" w:sz="4" w:space="0" w:color="auto"/>
              <w:right w:val="single" w:sz="4" w:space="0" w:color="auto"/>
            </w:tcBorders>
            <w:shd w:val="clear" w:color="auto" w:fill="auto"/>
            <w:noWrap/>
            <w:vAlign w:val="center"/>
            <w:hideMark/>
          </w:tcPr>
          <w:p w:rsidR="006A4FDF" w:rsidRPr="00ED4380" w:rsidRDefault="006A4FDF" w:rsidP="00D92726">
            <w:pPr>
              <w:jc w:val="center"/>
              <w:rPr>
                <w:rFonts w:ascii="Times New Roman" w:eastAsia="Times New Roman" w:hAnsi="Times New Roman" w:cs="Times New Roman"/>
                <w:b/>
                <w:bCs/>
                <w:color w:val="000000"/>
                <w:sz w:val="21"/>
                <w:szCs w:val="21"/>
              </w:rPr>
            </w:pPr>
            <w:r w:rsidRPr="00ED4380">
              <w:rPr>
                <w:rFonts w:ascii="Times New Roman" w:eastAsia="Times New Roman" w:hAnsi="Times New Roman" w:cs="Times New Roman"/>
                <w:b/>
                <w:bCs/>
                <w:color w:val="000000"/>
                <w:sz w:val="21"/>
                <w:szCs w:val="21"/>
              </w:rPr>
              <w:t>FEFE</w:t>
            </w:r>
          </w:p>
        </w:tc>
        <w:tc>
          <w:tcPr>
            <w:tcW w:w="1843" w:type="dxa"/>
            <w:tcBorders>
              <w:top w:val="nil"/>
              <w:left w:val="nil"/>
              <w:bottom w:val="single" w:sz="4" w:space="0" w:color="auto"/>
              <w:right w:val="single" w:sz="4" w:space="0" w:color="auto"/>
            </w:tcBorders>
            <w:shd w:val="clear" w:color="auto" w:fill="auto"/>
            <w:noWrap/>
            <w:vAlign w:val="center"/>
            <w:hideMark/>
          </w:tcPr>
          <w:p w:rsidR="006A4FDF" w:rsidRPr="00ED4380" w:rsidRDefault="006A4FDF" w:rsidP="00D92726">
            <w:pPr>
              <w:jc w:val="center"/>
              <w:rPr>
                <w:rFonts w:ascii="Times New Roman" w:eastAsia="Times New Roman" w:hAnsi="Times New Roman" w:cs="Times New Roman"/>
                <w:color w:val="000000"/>
                <w:sz w:val="21"/>
                <w:szCs w:val="21"/>
              </w:rPr>
            </w:pPr>
            <w:r w:rsidRPr="00ED4380">
              <w:rPr>
                <w:rFonts w:ascii="Times New Roman" w:eastAsia="Times New Roman" w:hAnsi="Times New Roman" w:cs="Times New Roman"/>
                <w:color w:val="000000"/>
                <w:sz w:val="21"/>
                <w:szCs w:val="21"/>
              </w:rPr>
              <w:t>N/A</w:t>
            </w:r>
          </w:p>
        </w:tc>
        <w:tc>
          <w:tcPr>
            <w:tcW w:w="1559" w:type="dxa"/>
            <w:tcBorders>
              <w:top w:val="nil"/>
              <w:left w:val="nil"/>
              <w:bottom w:val="single" w:sz="4" w:space="0" w:color="auto"/>
              <w:right w:val="single" w:sz="4" w:space="0" w:color="auto"/>
            </w:tcBorders>
            <w:shd w:val="clear" w:color="auto" w:fill="auto"/>
            <w:noWrap/>
            <w:vAlign w:val="center"/>
            <w:hideMark/>
          </w:tcPr>
          <w:p w:rsidR="006A4FDF" w:rsidRPr="00ED4380" w:rsidRDefault="006A4FDF" w:rsidP="00D92726">
            <w:pPr>
              <w:jc w:val="center"/>
              <w:rPr>
                <w:rFonts w:ascii="Times New Roman" w:eastAsia="Times New Roman" w:hAnsi="Times New Roman" w:cs="Times New Roman"/>
                <w:color w:val="000000"/>
                <w:sz w:val="21"/>
                <w:szCs w:val="21"/>
              </w:rPr>
            </w:pPr>
            <w:r w:rsidRPr="00ED4380">
              <w:rPr>
                <w:rFonts w:ascii="Times New Roman" w:eastAsia="Times New Roman" w:hAnsi="Times New Roman" w:cs="Times New Roman"/>
                <w:color w:val="000000"/>
                <w:sz w:val="21"/>
                <w:szCs w:val="21"/>
              </w:rPr>
              <w:t>N/A</w:t>
            </w:r>
          </w:p>
        </w:tc>
        <w:tc>
          <w:tcPr>
            <w:tcW w:w="1559" w:type="dxa"/>
            <w:tcBorders>
              <w:top w:val="nil"/>
              <w:left w:val="nil"/>
              <w:bottom w:val="single" w:sz="4" w:space="0" w:color="auto"/>
              <w:right w:val="single" w:sz="4" w:space="0" w:color="auto"/>
            </w:tcBorders>
            <w:shd w:val="clear" w:color="auto" w:fill="auto"/>
            <w:noWrap/>
            <w:vAlign w:val="center"/>
            <w:hideMark/>
          </w:tcPr>
          <w:p w:rsidR="006A4FDF" w:rsidRPr="00ED4380" w:rsidRDefault="006A4FDF" w:rsidP="00D92726">
            <w:pPr>
              <w:jc w:val="center"/>
              <w:rPr>
                <w:rFonts w:ascii="Times New Roman" w:eastAsia="Times New Roman" w:hAnsi="Times New Roman" w:cs="Times New Roman"/>
                <w:color w:val="000000"/>
                <w:sz w:val="21"/>
                <w:szCs w:val="21"/>
              </w:rPr>
            </w:pPr>
            <w:r w:rsidRPr="00ED4380">
              <w:rPr>
                <w:rFonts w:ascii="Times New Roman" w:eastAsia="Times New Roman" w:hAnsi="Times New Roman" w:cs="Times New Roman"/>
                <w:color w:val="000000"/>
                <w:sz w:val="21"/>
                <w:szCs w:val="21"/>
              </w:rPr>
              <w:t>$0.1591</w:t>
            </w:r>
          </w:p>
        </w:tc>
        <w:tc>
          <w:tcPr>
            <w:tcW w:w="1962" w:type="dxa"/>
            <w:gridSpan w:val="2"/>
            <w:tcBorders>
              <w:top w:val="nil"/>
              <w:left w:val="nil"/>
              <w:bottom w:val="single" w:sz="4" w:space="0" w:color="auto"/>
              <w:right w:val="single" w:sz="4" w:space="0" w:color="auto"/>
            </w:tcBorders>
            <w:shd w:val="clear" w:color="auto" w:fill="auto"/>
            <w:noWrap/>
            <w:vAlign w:val="center"/>
            <w:hideMark/>
          </w:tcPr>
          <w:p w:rsidR="006A4FDF" w:rsidRPr="00ED4380" w:rsidRDefault="006A4FDF" w:rsidP="00D92726">
            <w:pPr>
              <w:jc w:val="center"/>
              <w:rPr>
                <w:rFonts w:ascii="Times New Roman" w:eastAsia="Times New Roman" w:hAnsi="Times New Roman" w:cs="Times New Roman"/>
                <w:color w:val="000000"/>
                <w:sz w:val="21"/>
                <w:szCs w:val="21"/>
              </w:rPr>
            </w:pPr>
            <w:r w:rsidRPr="00ED4380">
              <w:rPr>
                <w:rFonts w:ascii="Times New Roman" w:eastAsia="Times New Roman" w:hAnsi="Times New Roman" w:cs="Times New Roman"/>
                <w:color w:val="000000"/>
                <w:sz w:val="21"/>
                <w:szCs w:val="21"/>
              </w:rPr>
              <w:t>$0.1591</w:t>
            </w:r>
          </w:p>
        </w:tc>
      </w:tr>
      <w:tr w:rsidR="006A4FDF" w:rsidRPr="00ED4380" w:rsidTr="00D92726">
        <w:trPr>
          <w:trHeight w:val="4266"/>
        </w:trPr>
        <w:tc>
          <w:tcPr>
            <w:tcW w:w="372" w:type="dxa"/>
            <w:vMerge/>
            <w:tcBorders>
              <w:top w:val="nil"/>
              <w:left w:val="single" w:sz="4" w:space="0" w:color="auto"/>
              <w:bottom w:val="single" w:sz="4" w:space="0" w:color="auto"/>
              <w:right w:val="nil"/>
            </w:tcBorders>
            <w:vAlign w:val="center"/>
            <w:hideMark/>
          </w:tcPr>
          <w:p w:rsidR="006A4FDF" w:rsidRPr="00ED4380" w:rsidRDefault="006A4FDF" w:rsidP="00D92726">
            <w:pPr>
              <w:rPr>
                <w:rFonts w:ascii="Times New Roman" w:eastAsia="Times New Roman" w:hAnsi="Times New Roman" w:cs="Times New Roman"/>
                <w:b/>
                <w:bCs/>
                <w:color w:val="000000"/>
                <w:sz w:val="21"/>
                <w:szCs w:val="21"/>
              </w:rPr>
            </w:pPr>
          </w:p>
        </w:tc>
        <w:tc>
          <w:tcPr>
            <w:tcW w:w="1613" w:type="dxa"/>
            <w:tcBorders>
              <w:top w:val="nil"/>
              <w:left w:val="single" w:sz="4" w:space="0" w:color="auto"/>
              <w:bottom w:val="single" w:sz="4" w:space="0" w:color="auto"/>
              <w:right w:val="single" w:sz="4" w:space="0" w:color="auto"/>
            </w:tcBorders>
            <w:shd w:val="clear" w:color="auto" w:fill="auto"/>
            <w:noWrap/>
            <w:vAlign w:val="center"/>
            <w:hideMark/>
          </w:tcPr>
          <w:p w:rsidR="006A4FDF" w:rsidRPr="00ED4380" w:rsidRDefault="006A4FDF" w:rsidP="00D92726">
            <w:pPr>
              <w:jc w:val="center"/>
              <w:rPr>
                <w:rFonts w:ascii="Times New Roman" w:eastAsia="Times New Roman" w:hAnsi="Times New Roman" w:cs="Times New Roman"/>
                <w:b/>
                <w:bCs/>
                <w:color w:val="000000"/>
                <w:sz w:val="21"/>
                <w:szCs w:val="21"/>
              </w:rPr>
            </w:pPr>
            <w:r w:rsidRPr="00ED4380">
              <w:rPr>
                <w:rFonts w:ascii="Times New Roman" w:eastAsia="Times New Roman" w:hAnsi="Times New Roman" w:cs="Times New Roman"/>
                <w:b/>
                <w:bCs/>
                <w:color w:val="000000"/>
                <w:sz w:val="21"/>
                <w:szCs w:val="21"/>
              </w:rPr>
              <w:t>IVA Zona Occidental</w:t>
            </w:r>
          </w:p>
        </w:tc>
        <w:tc>
          <w:tcPr>
            <w:tcW w:w="1843" w:type="dxa"/>
            <w:tcBorders>
              <w:top w:val="nil"/>
              <w:left w:val="nil"/>
              <w:bottom w:val="single" w:sz="4" w:space="0" w:color="auto"/>
              <w:right w:val="single" w:sz="4" w:space="0" w:color="auto"/>
            </w:tcBorders>
            <w:shd w:val="clear" w:color="auto" w:fill="auto"/>
            <w:vAlign w:val="center"/>
            <w:hideMark/>
          </w:tcPr>
          <w:p w:rsidR="006A4FDF" w:rsidRPr="00ED4380" w:rsidRDefault="006A4FDF" w:rsidP="00D92726">
            <w:pPr>
              <w:jc w:val="center"/>
              <w:rPr>
                <w:rFonts w:ascii="Times New Roman" w:eastAsia="Times New Roman" w:hAnsi="Times New Roman" w:cs="Times New Roman"/>
                <w:color w:val="000000"/>
                <w:sz w:val="21"/>
                <w:szCs w:val="21"/>
              </w:rPr>
            </w:pPr>
            <w:r w:rsidRPr="00ED4380">
              <w:rPr>
                <w:rFonts w:ascii="Times New Roman" w:eastAsia="Times New Roman" w:hAnsi="Times New Roman" w:cs="Times New Roman"/>
                <w:color w:val="000000"/>
                <w:sz w:val="21"/>
                <w:szCs w:val="21"/>
              </w:rPr>
              <w:t xml:space="preserve">Resulta de aplicar la tasa de 13 % a la sumatoria del precio FOB del producto, ajuste de calidad, flete marítimo, seguro marítimo, pérdidas en tránsito, costo de internación, margen mayorista, margen minorista, flete de zona occidental e IEC zona occidental </w:t>
            </w:r>
          </w:p>
        </w:tc>
        <w:tc>
          <w:tcPr>
            <w:tcW w:w="1559" w:type="dxa"/>
            <w:tcBorders>
              <w:top w:val="nil"/>
              <w:left w:val="nil"/>
              <w:bottom w:val="single" w:sz="4" w:space="0" w:color="auto"/>
              <w:right w:val="single" w:sz="4" w:space="0" w:color="auto"/>
            </w:tcBorders>
            <w:shd w:val="clear" w:color="auto" w:fill="auto"/>
            <w:vAlign w:val="center"/>
            <w:hideMark/>
          </w:tcPr>
          <w:p w:rsidR="006A4FDF" w:rsidRPr="00ED4380" w:rsidRDefault="006A4FDF" w:rsidP="00D92726">
            <w:pPr>
              <w:jc w:val="center"/>
              <w:rPr>
                <w:rFonts w:ascii="Times New Roman" w:eastAsia="Times New Roman" w:hAnsi="Times New Roman" w:cs="Times New Roman"/>
                <w:color w:val="000000"/>
                <w:sz w:val="21"/>
                <w:szCs w:val="21"/>
              </w:rPr>
            </w:pPr>
            <w:r w:rsidRPr="00ED4380">
              <w:rPr>
                <w:rFonts w:ascii="Times New Roman" w:eastAsia="Times New Roman" w:hAnsi="Times New Roman" w:cs="Times New Roman"/>
                <w:color w:val="000000"/>
                <w:sz w:val="21"/>
                <w:szCs w:val="21"/>
              </w:rPr>
              <w:t xml:space="preserve">Resulta de aplicar la tasa de 13 % a la sumatoria del precio FOB del producto, ajuste de calidad, flete marítimo, seguro marítimo, pérdidas en tránsito, costo de internación, margen mayorista, margen minorista, flete de zona occidental e IEC zona occidental </w:t>
            </w:r>
          </w:p>
        </w:tc>
        <w:tc>
          <w:tcPr>
            <w:tcW w:w="1559" w:type="dxa"/>
            <w:tcBorders>
              <w:top w:val="nil"/>
              <w:left w:val="nil"/>
              <w:bottom w:val="single" w:sz="4" w:space="0" w:color="auto"/>
              <w:right w:val="single" w:sz="4" w:space="0" w:color="auto"/>
            </w:tcBorders>
            <w:shd w:val="clear" w:color="auto" w:fill="auto"/>
            <w:vAlign w:val="center"/>
            <w:hideMark/>
          </w:tcPr>
          <w:p w:rsidR="006A4FDF" w:rsidRPr="00ED4380" w:rsidRDefault="006A4FDF" w:rsidP="00D92726">
            <w:pPr>
              <w:jc w:val="center"/>
              <w:rPr>
                <w:rFonts w:ascii="Times New Roman" w:eastAsia="Times New Roman" w:hAnsi="Times New Roman" w:cs="Times New Roman"/>
                <w:color w:val="000000"/>
                <w:sz w:val="21"/>
                <w:szCs w:val="21"/>
              </w:rPr>
            </w:pPr>
            <w:r w:rsidRPr="00ED4380">
              <w:rPr>
                <w:rFonts w:ascii="Times New Roman" w:eastAsia="Times New Roman" w:hAnsi="Times New Roman" w:cs="Times New Roman"/>
                <w:color w:val="000000"/>
                <w:sz w:val="21"/>
                <w:szCs w:val="21"/>
              </w:rPr>
              <w:t xml:space="preserve">Resulta de aplicar la tasa de 13 % a la sumatoria del precio FOB del producto, ajuste de calidad, flete marítimo, seguro marítimo, pérdidas en tránsito, costo de internación, margen mayorista, margen minorista, flete de zona occidental, IEC zona occidental y  FEFE </w:t>
            </w:r>
          </w:p>
        </w:tc>
        <w:tc>
          <w:tcPr>
            <w:tcW w:w="1962" w:type="dxa"/>
            <w:gridSpan w:val="2"/>
            <w:tcBorders>
              <w:top w:val="nil"/>
              <w:left w:val="nil"/>
              <w:bottom w:val="single" w:sz="4" w:space="0" w:color="auto"/>
              <w:right w:val="single" w:sz="4" w:space="0" w:color="auto"/>
            </w:tcBorders>
            <w:shd w:val="clear" w:color="auto" w:fill="auto"/>
            <w:vAlign w:val="center"/>
            <w:hideMark/>
          </w:tcPr>
          <w:p w:rsidR="006A4FDF" w:rsidRPr="00ED4380" w:rsidRDefault="006A4FDF" w:rsidP="00D92726">
            <w:pPr>
              <w:jc w:val="center"/>
              <w:rPr>
                <w:rFonts w:ascii="Times New Roman" w:eastAsia="Times New Roman" w:hAnsi="Times New Roman" w:cs="Times New Roman"/>
                <w:color w:val="000000"/>
                <w:sz w:val="21"/>
                <w:szCs w:val="21"/>
              </w:rPr>
            </w:pPr>
            <w:r w:rsidRPr="00ED4380">
              <w:rPr>
                <w:rFonts w:ascii="Times New Roman" w:eastAsia="Times New Roman" w:hAnsi="Times New Roman" w:cs="Times New Roman"/>
                <w:color w:val="000000"/>
                <w:sz w:val="21"/>
                <w:szCs w:val="21"/>
              </w:rPr>
              <w:t xml:space="preserve">Resulta de aplicar la tasa de 13 % a la sumatoria del precio FOB del producto, ajuste de calidad, flete marítimo, seguro marítimo, pérdidas en tránsito, costo de internación, margen mayorista, margen minorista, flete de zona occidental, IEC zona occidental y  FEFE </w:t>
            </w:r>
          </w:p>
        </w:tc>
      </w:tr>
      <w:tr w:rsidR="006A4FDF" w:rsidRPr="00ED4380" w:rsidTr="00D92726">
        <w:trPr>
          <w:trHeight w:val="1050"/>
        </w:trPr>
        <w:tc>
          <w:tcPr>
            <w:tcW w:w="372" w:type="dxa"/>
            <w:tcBorders>
              <w:top w:val="nil"/>
              <w:left w:val="single" w:sz="4" w:space="0" w:color="auto"/>
              <w:bottom w:val="single" w:sz="4" w:space="0" w:color="auto"/>
              <w:right w:val="nil"/>
            </w:tcBorders>
            <w:shd w:val="clear" w:color="auto" w:fill="auto"/>
            <w:noWrap/>
            <w:vAlign w:val="bottom"/>
            <w:hideMark/>
          </w:tcPr>
          <w:p w:rsidR="006A4FDF" w:rsidRPr="00ED4380" w:rsidRDefault="006A4FDF" w:rsidP="00D92726">
            <w:pPr>
              <w:rPr>
                <w:rFonts w:ascii="Times New Roman" w:eastAsia="Times New Roman" w:hAnsi="Times New Roman" w:cs="Times New Roman"/>
                <w:color w:val="000000"/>
                <w:sz w:val="21"/>
                <w:szCs w:val="21"/>
              </w:rPr>
            </w:pPr>
            <w:r w:rsidRPr="00ED4380">
              <w:rPr>
                <w:rFonts w:ascii="Times New Roman" w:eastAsia="Times New Roman" w:hAnsi="Times New Roman" w:cs="Times New Roman"/>
                <w:color w:val="000000"/>
                <w:sz w:val="21"/>
                <w:szCs w:val="21"/>
              </w:rPr>
              <w:t> </w:t>
            </w:r>
          </w:p>
        </w:tc>
        <w:tc>
          <w:tcPr>
            <w:tcW w:w="1613" w:type="dxa"/>
            <w:tcBorders>
              <w:top w:val="nil"/>
              <w:left w:val="single" w:sz="4" w:space="0" w:color="auto"/>
              <w:bottom w:val="single" w:sz="4" w:space="0" w:color="auto"/>
              <w:right w:val="single" w:sz="4" w:space="0" w:color="auto"/>
            </w:tcBorders>
            <w:shd w:val="clear" w:color="auto" w:fill="auto"/>
            <w:noWrap/>
            <w:vAlign w:val="center"/>
            <w:hideMark/>
          </w:tcPr>
          <w:p w:rsidR="006A4FDF" w:rsidRPr="00ED4380" w:rsidRDefault="006A4FDF" w:rsidP="00D92726">
            <w:pPr>
              <w:jc w:val="center"/>
              <w:rPr>
                <w:rFonts w:ascii="Times New Roman" w:eastAsia="Times New Roman" w:hAnsi="Times New Roman" w:cs="Times New Roman"/>
                <w:b/>
                <w:bCs/>
                <w:color w:val="000000"/>
                <w:sz w:val="21"/>
                <w:szCs w:val="21"/>
              </w:rPr>
            </w:pPr>
            <w:r w:rsidRPr="00ED4380">
              <w:rPr>
                <w:rFonts w:ascii="Times New Roman" w:eastAsia="Times New Roman" w:hAnsi="Times New Roman" w:cs="Times New Roman"/>
                <w:b/>
                <w:bCs/>
                <w:color w:val="000000"/>
                <w:sz w:val="21"/>
                <w:szCs w:val="21"/>
              </w:rPr>
              <w:t>Precio de referencia Zona Occidental</w:t>
            </w:r>
          </w:p>
        </w:tc>
        <w:tc>
          <w:tcPr>
            <w:tcW w:w="1843" w:type="dxa"/>
            <w:tcBorders>
              <w:top w:val="nil"/>
              <w:left w:val="nil"/>
              <w:bottom w:val="single" w:sz="4" w:space="0" w:color="auto"/>
              <w:right w:val="single" w:sz="4" w:space="0" w:color="auto"/>
            </w:tcBorders>
            <w:shd w:val="clear" w:color="auto" w:fill="auto"/>
            <w:vAlign w:val="center"/>
            <w:hideMark/>
          </w:tcPr>
          <w:p w:rsidR="006A4FDF" w:rsidRPr="00ED4380" w:rsidRDefault="006A4FDF" w:rsidP="00D92726">
            <w:pPr>
              <w:jc w:val="center"/>
              <w:rPr>
                <w:rFonts w:ascii="Times New Roman" w:eastAsia="Times New Roman" w:hAnsi="Times New Roman" w:cs="Times New Roman"/>
                <w:color w:val="000000"/>
                <w:sz w:val="21"/>
                <w:szCs w:val="21"/>
              </w:rPr>
            </w:pPr>
            <w:r w:rsidRPr="00ED4380">
              <w:rPr>
                <w:rFonts w:ascii="Times New Roman" w:eastAsia="Times New Roman" w:hAnsi="Times New Roman" w:cs="Times New Roman"/>
                <w:color w:val="000000"/>
                <w:sz w:val="21"/>
                <w:szCs w:val="21"/>
              </w:rPr>
              <w:t>Sumatoria de todos los eslabones de la fórmula anteriores</w:t>
            </w:r>
          </w:p>
        </w:tc>
        <w:tc>
          <w:tcPr>
            <w:tcW w:w="1559" w:type="dxa"/>
            <w:tcBorders>
              <w:top w:val="nil"/>
              <w:left w:val="nil"/>
              <w:bottom w:val="single" w:sz="4" w:space="0" w:color="auto"/>
              <w:right w:val="single" w:sz="4" w:space="0" w:color="auto"/>
            </w:tcBorders>
            <w:shd w:val="clear" w:color="auto" w:fill="auto"/>
            <w:vAlign w:val="center"/>
            <w:hideMark/>
          </w:tcPr>
          <w:p w:rsidR="006A4FDF" w:rsidRPr="00ED4380" w:rsidRDefault="006A4FDF" w:rsidP="00D92726">
            <w:pPr>
              <w:jc w:val="center"/>
              <w:rPr>
                <w:rFonts w:ascii="Times New Roman" w:eastAsia="Times New Roman" w:hAnsi="Times New Roman" w:cs="Times New Roman"/>
                <w:color w:val="000000"/>
                <w:sz w:val="21"/>
                <w:szCs w:val="21"/>
              </w:rPr>
            </w:pPr>
            <w:r w:rsidRPr="00ED4380">
              <w:rPr>
                <w:rFonts w:ascii="Times New Roman" w:eastAsia="Times New Roman" w:hAnsi="Times New Roman" w:cs="Times New Roman"/>
                <w:color w:val="000000"/>
                <w:sz w:val="21"/>
                <w:szCs w:val="21"/>
              </w:rPr>
              <w:t>Sumatoria de todos los eslabones de la fórmula anteriores</w:t>
            </w:r>
          </w:p>
        </w:tc>
        <w:tc>
          <w:tcPr>
            <w:tcW w:w="1559" w:type="dxa"/>
            <w:tcBorders>
              <w:top w:val="nil"/>
              <w:left w:val="nil"/>
              <w:bottom w:val="single" w:sz="4" w:space="0" w:color="auto"/>
              <w:right w:val="single" w:sz="4" w:space="0" w:color="auto"/>
            </w:tcBorders>
            <w:shd w:val="clear" w:color="auto" w:fill="auto"/>
            <w:vAlign w:val="center"/>
            <w:hideMark/>
          </w:tcPr>
          <w:p w:rsidR="006A4FDF" w:rsidRPr="00ED4380" w:rsidRDefault="006A4FDF" w:rsidP="00D92726">
            <w:pPr>
              <w:jc w:val="center"/>
              <w:rPr>
                <w:rFonts w:ascii="Times New Roman" w:eastAsia="Times New Roman" w:hAnsi="Times New Roman" w:cs="Times New Roman"/>
                <w:color w:val="000000"/>
                <w:sz w:val="21"/>
                <w:szCs w:val="21"/>
              </w:rPr>
            </w:pPr>
            <w:r w:rsidRPr="00ED4380">
              <w:rPr>
                <w:rFonts w:ascii="Times New Roman" w:eastAsia="Times New Roman" w:hAnsi="Times New Roman" w:cs="Times New Roman"/>
                <w:color w:val="000000"/>
                <w:sz w:val="21"/>
                <w:szCs w:val="21"/>
              </w:rPr>
              <w:t>Sumatoria de todos los eslabones de la fórmula anteriores</w:t>
            </w:r>
          </w:p>
        </w:tc>
        <w:tc>
          <w:tcPr>
            <w:tcW w:w="1962" w:type="dxa"/>
            <w:gridSpan w:val="2"/>
            <w:tcBorders>
              <w:top w:val="nil"/>
              <w:left w:val="nil"/>
              <w:bottom w:val="single" w:sz="4" w:space="0" w:color="auto"/>
              <w:right w:val="single" w:sz="4" w:space="0" w:color="auto"/>
            </w:tcBorders>
            <w:shd w:val="clear" w:color="auto" w:fill="auto"/>
            <w:vAlign w:val="center"/>
            <w:hideMark/>
          </w:tcPr>
          <w:p w:rsidR="006A4FDF" w:rsidRPr="00ED4380" w:rsidRDefault="006A4FDF" w:rsidP="00D92726">
            <w:pPr>
              <w:jc w:val="center"/>
              <w:rPr>
                <w:rFonts w:ascii="Times New Roman" w:eastAsia="Times New Roman" w:hAnsi="Times New Roman" w:cs="Times New Roman"/>
                <w:color w:val="000000"/>
                <w:sz w:val="21"/>
                <w:szCs w:val="21"/>
              </w:rPr>
            </w:pPr>
            <w:r w:rsidRPr="00ED4380">
              <w:rPr>
                <w:rFonts w:ascii="Times New Roman" w:eastAsia="Times New Roman" w:hAnsi="Times New Roman" w:cs="Times New Roman"/>
                <w:color w:val="000000"/>
                <w:sz w:val="21"/>
                <w:szCs w:val="21"/>
              </w:rPr>
              <w:t>Sumatoria de todos los eslabones de la fórmula anteriores</w:t>
            </w:r>
          </w:p>
        </w:tc>
      </w:tr>
    </w:tbl>
    <w:p w:rsidR="006A4FDF" w:rsidRPr="00ED4380" w:rsidRDefault="006A4FDF" w:rsidP="006A4FDF">
      <w:pPr>
        <w:rPr>
          <w:rFonts w:ascii="Times New Roman" w:hAnsi="Times New Roman" w:cs="Times New Roman"/>
          <w:b/>
          <w:sz w:val="21"/>
          <w:szCs w:val="21"/>
        </w:rPr>
      </w:pPr>
    </w:p>
    <w:p w:rsidR="006A4FDF" w:rsidRPr="00ED4380" w:rsidRDefault="006A4FDF" w:rsidP="006A4FDF">
      <w:pPr>
        <w:rPr>
          <w:rFonts w:ascii="Times New Roman" w:hAnsi="Times New Roman" w:cs="Times New Roman"/>
          <w:b/>
          <w:sz w:val="21"/>
          <w:szCs w:val="21"/>
        </w:rPr>
      </w:pPr>
    </w:p>
    <w:p w:rsidR="006A4FDF" w:rsidRPr="00ED4380" w:rsidRDefault="006A4FDF" w:rsidP="006A4FDF">
      <w:pPr>
        <w:rPr>
          <w:rFonts w:ascii="Times New Roman" w:hAnsi="Times New Roman" w:cs="Times New Roman"/>
          <w:b/>
          <w:sz w:val="21"/>
          <w:szCs w:val="21"/>
        </w:rPr>
      </w:pPr>
    </w:p>
    <w:p w:rsidR="006A4FDF" w:rsidRPr="00ED4380" w:rsidRDefault="006A4FDF" w:rsidP="006A4FDF">
      <w:pPr>
        <w:rPr>
          <w:rFonts w:ascii="Times New Roman" w:hAnsi="Times New Roman" w:cs="Times New Roman"/>
          <w:b/>
          <w:sz w:val="21"/>
          <w:szCs w:val="21"/>
        </w:rPr>
      </w:pPr>
    </w:p>
    <w:p w:rsidR="006A4FDF" w:rsidRPr="00ED4380" w:rsidRDefault="006A4FDF" w:rsidP="006A4FDF">
      <w:pPr>
        <w:rPr>
          <w:rFonts w:ascii="Times New Roman" w:hAnsi="Times New Roman" w:cs="Times New Roman"/>
          <w:b/>
          <w:sz w:val="21"/>
          <w:szCs w:val="21"/>
        </w:rPr>
      </w:pPr>
    </w:p>
    <w:p w:rsidR="006A4FDF" w:rsidRPr="00ED4380" w:rsidRDefault="006A4FDF" w:rsidP="006A4FDF">
      <w:pPr>
        <w:rPr>
          <w:rFonts w:ascii="Times New Roman" w:hAnsi="Times New Roman" w:cs="Times New Roman"/>
          <w:b/>
          <w:sz w:val="21"/>
          <w:szCs w:val="21"/>
        </w:rPr>
      </w:pPr>
    </w:p>
    <w:p w:rsidR="006A4FDF" w:rsidRPr="00ED4380" w:rsidRDefault="006A4FDF" w:rsidP="006A4FDF">
      <w:pPr>
        <w:rPr>
          <w:rFonts w:ascii="Times New Roman" w:hAnsi="Times New Roman" w:cs="Times New Roman"/>
          <w:b/>
          <w:sz w:val="21"/>
          <w:szCs w:val="21"/>
        </w:rPr>
      </w:pPr>
    </w:p>
    <w:p w:rsidR="006A4FDF" w:rsidRPr="00ED4380" w:rsidRDefault="006A4FDF" w:rsidP="006A4FDF">
      <w:pPr>
        <w:rPr>
          <w:rFonts w:ascii="Times New Roman" w:hAnsi="Times New Roman" w:cs="Times New Roman"/>
          <w:b/>
          <w:sz w:val="21"/>
          <w:szCs w:val="21"/>
        </w:rPr>
      </w:pPr>
    </w:p>
    <w:p w:rsidR="006A4FDF" w:rsidRPr="00ED4380" w:rsidRDefault="006A4FDF" w:rsidP="006A4FDF">
      <w:pPr>
        <w:rPr>
          <w:rFonts w:ascii="Times New Roman" w:hAnsi="Times New Roman" w:cs="Times New Roman"/>
          <w:b/>
          <w:sz w:val="21"/>
          <w:szCs w:val="21"/>
        </w:rPr>
      </w:pPr>
    </w:p>
    <w:p w:rsidR="006A4FDF" w:rsidRPr="00ED4380" w:rsidRDefault="006A4FDF" w:rsidP="006A4FDF">
      <w:pPr>
        <w:rPr>
          <w:rFonts w:ascii="Times New Roman" w:hAnsi="Times New Roman" w:cs="Times New Roman"/>
          <w:b/>
          <w:sz w:val="21"/>
          <w:szCs w:val="21"/>
        </w:rPr>
      </w:pPr>
    </w:p>
    <w:p w:rsidR="006A4FDF" w:rsidRPr="00ED4380" w:rsidRDefault="006A4FDF" w:rsidP="006A4FDF">
      <w:pPr>
        <w:rPr>
          <w:rFonts w:ascii="Times New Roman" w:hAnsi="Times New Roman" w:cs="Times New Roman"/>
          <w:b/>
          <w:sz w:val="21"/>
          <w:szCs w:val="21"/>
        </w:rPr>
      </w:pPr>
    </w:p>
    <w:p w:rsidR="006A4FDF" w:rsidRPr="00ED4380" w:rsidRDefault="006A4FDF" w:rsidP="006A4FDF">
      <w:pPr>
        <w:rPr>
          <w:rFonts w:ascii="Times New Roman" w:hAnsi="Times New Roman" w:cs="Times New Roman"/>
          <w:b/>
          <w:sz w:val="21"/>
          <w:szCs w:val="21"/>
        </w:rPr>
      </w:pPr>
    </w:p>
    <w:p w:rsidR="006A4FDF" w:rsidRPr="00ED4380" w:rsidRDefault="006A4FDF" w:rsidP="006A4FDF">
      <w:pPr>
        <w:rPr>
          <w:rFonts w:ascii="Times New Roman" w:hAnsi="Times New Roman" w:cs="Times New Roman"/>
          <w:b/>
          <w:sz w:val="21"/>
          <w:szCs w:val="21"/>
        </w:rPr>
      </w:pPr>
    </w:p>
    <w:p w:rsidR="006A4FDF" w:rsidRPr="00ED4380" w:rsidRDefault="006A4FDF" w:rsidP="006A4FDF">
      <w:pPr>
        <w:rPr>
          <w:rFonts w:ascii="Times New Roman" w:hAnsi="Times New Roman" w:cs="Times New Roman"/>
          <w:b/>
          <w:sz w:val="21"/>
          <w:szCs w:val="21"/>
        </w:rPr>
      </w:pPr>
    </w:p>
    <w:p w:rsidR="006A4FDF" w:rsidRPr="00ED4380" w:rsidRDefault="006A4FDF" w:rsidP="006A4FDF">
      <w:pPr>
        <w:rPr>
          <w:rFonts w:ascii="Times New Roman" w:hAnsi="Times New Roman" w:cs="Times New Roman"/>
          <w:sz w:val="21"/>
          <w:szCs w:val="21"/>
        </w:rPr>
      </w:pPr>
    </w:p>
    <w:tbl>
      <w:tblPr>
        <w:tblW w:w="0" w:type="auto"/>
        <w:tblInd w:w="70" w:type="dxa"/>
        <w:tblLayout w:type="fixed"/>
        <w:tblCellMar>
          <w:left w:w="70" w:type="dxa"/>
          <w:right w:w="70" w:type="dxa"/>
        </w:tblCellMar>
        <w:tblLook w:val="04A0"/>
      </w:tblPr>
      <w:tblGrid>
        <w:gridCol w:w="372"/>
        <w:gridCol w:w="1613"/>
        <w:gridCol w:w="1843"/>
        <w:gridCol w:w="1559"/>
        <w:gridCol w:w="1559"/>
        <w:gridCol w:w="1962"/>
      </w:tblGrid>
      <w:tr w:rsidR="006A4FDF" w:rsidRPr="00ED4380" w:rsidTr="00D92726">
        <w:trPr>
          <w:trHeight w:val="750"/>
        </w:trPr>
        <w:tc>
          <w:tcPr>
            <w:tcW w:w="372" w:type="dxa"/>
            <w:tcBorders>
              <w:top w:val="nil"/>
              <w:left w:val="nil"/>
              <w:bottom w:val="nil"/>
              <w:right w:val="nil"/>
            </w:tcBorders>
            <w:shd w:val="clear" w:color="auto" w:fill="auto"/>
            <w:noWrap/>
            <w:vAlign w:val="bottom"/>
            <w:hideMark/>
          </w:tcPr>
          <w:p w:rsidR="006A4FDF" w:rsidRPr="00ED4380" w:rsidRDefault="006A4FDF" w:rsidP="00D92726">
            <w:pPr>
              <w:rPr>
                <w:rFonts w:ascii="Times New Roman" w:eastAsia="Times New Roman" w:hAnsi="Times New Roman" w:cs="Times New Roman"/>
                <w:color w:val="000000"/>
                <w:sz w:val="21"/>
                <w:szCs w:val="21"/>
              </w:rPr>
            </w:pPr>
          </w:p>
        </w:tc>
        <w:tc>
          <w:tcPr>
            <w:tcW w:w="8536"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6A4FDF" w:rsidRPr="00ED4380" w:rsidRDefault="006A4FDF" w:rsidP="00D92726">
            <w:pPr>
              <w:jc w:val="center"/>
              <w:rPr>
                <w:rFonts w:ascii="Times New Roman" w:eastAsia="Times New Roman" w:hAnsi="Times New Roman" w:cs="Times New Roman"/>
                <w:b/>
                <w:bCs/>
                <w:color w:val="000000"/>
                <w:sz w:val="21"/>
                <w:szCs w:val="21"/>
              </w:rPr>
            </w:pPr>
            <w:r w:rsidRPr="00ED4380">
              <w:rPr>
                <w:rFonts w:ascii="Times New Roman" w:eastAsia="Times New Roman" w:hAnsi="Times New Roman" w:cs="Times New Roman"/>
                <w:b/>
                <w:bCs/>
                <w:color w:val="000000"/>
                <w:sz w:val="21"/>
                <w:szCs w:val="21"/>
              </w:rPr>
              <w:t>Precios de referencia para los combustibles líquidos Zona Oriental</w:t>
            </w:r>
          </w:p>
        </w:tc>
      </w:tr>
      <w:tr w:rsidR="006A4FDF" w:rsidRPr="00ED4380" w:rsidTr="00D92726">
        <w:trPr>
          <w:trHeight w:val="915"/>
        </w:trPr>
        <w:tc>
          <w:tcPr>
            <w:tcW w:w="372" w:type="dxa"/>
            <w:tcBorders>
              <w:top w:val="nil"/>
              <w:left w:val="nil"/>
              <w:bottom w:val="nil"/>
              <w:right w:val="nil"/>
            </w:tcBorders>
            <w:shd w:val="clear" w:color="auto" w:fill="auto"/>
            <w:noWrap/>
            <w:vAlign w:val="bottom"/>
            <w:hideMark/>
          </w:tcPr>
          <w:p w:rsidR="006A4FDF" w:rsidRPr="00ED4380" w:rsidRDefault="006A4FDF" w:rsidP="00D92726">
            <w:pPr>
              <w:rPr>
                <w:rFonts w:ascii="Times New Roman" w:eastAsia="Times New Roman" w:hAnsi="Times New Roman" w:cs="Times New Roman"/>
                <w:color w:val="000000"/>
                <w:sz w:val="21"/>
                <w:szCs w:val="21"/>
              </w:rPr>
            </w:pPr>
          </w:p>
        </w:tc>
        <w:tc>
          <w:tcPr>
            <w:tcW w:w="1613" w:type="dxa"/>
            <w:tcBorders>
              <w:top w:val="single" w:sz="4" w:space="0" w:color="auto"/>
              <w:left w:val="single" w:sz="4" w:space="0" w:color="auto"/>
              <w:bottom w:val="single" w:sz="4" w:space="0" w:color="auto"/>
              <w:right w:val="single" w:sz="4" w:space="0" w:color="auto"/>
            </w:tcBorders>
            <w:shd w:val="clear" w:color="000000" w:fill="B8CCE4"/>
            <w:noWrap/>
            <w:vAlign w:val="center"/>
            <w:hideMark/>
          </w:tcPr>
          <w:p w:rsidR="006A4FDF" w:rsidRPr="00ED4380" w:rsidRDefault="006A4FDF" w:rsidP="00D92726">
            <w:pPr>
              <w:jc w:val="center"/>
              <w:rPr>
                <w:rFonts w:ascii="Times New Roman" w:eastAsia="Times New Roman" w:hAnsi="Times New Roman" w:cs="Times New Roman"/>
                <w:b/>
                <w:bCs/>
                <w:color w:val="000000"/>
                <w:sz w:val="21"/>
                <w:szCs w:val="21"/>
              </w:rPr>
            </w:pPr>
            <w:r w:rsidRPr="00ED4380">
              <w:rPr>
                <w:rFonts w:ascii="Times New Roman" w:eastAsia="Times New Roman" w:hAnsi="Times New Roman" w:cs="Times New Roman"/>
                <w:b/>
                <w:bCs/>
                <w:color w:val="000000"/>
                <w:sz w:val="21"/>
                <w:szCs w:val="21"/>
              </w:rPr>
              <w:t>Detalle</w:t>
            </w:r>
          </w:p>
        </w:tc>
        <w:tc>
          <w:tcPr>
            <w:tcW w:w="1843" w:type="dxa"/>
            <w:tcBorders>
              <w:top w:val="single" w:sz="4" w:space="0" w:color="auto"/>
              <w:left w:val="nil"/>
              <w:bottom w:val="single" w:sz="4" w:space="0" w:color="auto"/>
              <w:right w:val="single" w:sz="4" w:space="0" w:color="auto"/>
            </w:tcBorders>
            <w:shd w:val="clear" w:color="000000" w:fill="B8CCE4"/>
            <w:vAlign w:val="center"/>
            <w:hideMark/>
          </w:tcPr>
          <w:p w:rsidR="006A4FDF" w:rsidRPr="00ED4380" w:rsidRDefault="006A4FDF" w:rsidP="00D92726">
            <w:pPr>
              <w:jc w:val="center"/>
              <w:rPr>
                <w:rFonts w:ascii="Times New Roman" w:eastAsia="Times New Roman" w:hAnsi="Times New Roman" w:cs="Times New Roman"/>
                <w:b/>
                <w:bCs/>
                <w:color w:val="000000"/>
                <w:sz w:val="21"/>
                <w:szCs w:val="21"/>
              </w:rPr>
            </w:pPr>
            <w:r w:rsidRPr="00ED4380">
              <w:rPr>
                <w:rFonts w:ascii="Times New Roman" w:eastAsia="Times New Roman" w:hAnsi="Times New Roman" w:cs="Times New Roman"/>
                <w:b/>
                <w:bCs/>
                <w:color w:val="000000"/>
                <w:sz w:val="21"/>
                <w:szCs w:val="21"/>
              </w:rPr>
              <w:t>Diésel</w:t>
            </w:r>
          </w:p>
        </w:tc>
        <w:tc>
          <w:tcPr>
            <w:tcW w:w="1559" w:type="dxa"/>
            <w:tcBorders>
              <w:top w:val="single" w:sz="4" w:space="0" w:color="auto"/>
              <w:left w:val="nil"/>
              <w:bottom w:val="single" w:sz="4" w:space="0" w:color="auto"/>
              <w:right w:val="single" w:sz="4" w:space="0" w:color="auto"/>
            </w:tcBorders>
            <w:shd w:val="clear" w:color="000000" w:fill="B8CCE4"/>
            <w:vAlign w:val="center"/>
            <w:hideMark/>
          </w:tcPr>
          <w:p w:rsidR="006A4FDF" w:rsidRPr="00ED4380" w:rsidRDefault="006A4FDF" w:rsidP="00D92726">
            <w:pPr>
              <w:jc w:val="center"/>
              <w:rPr>
                <w:rFonts w:ascii="Times New Roman" w:eastAsia="Times New Roman" w:hAnsi="Times New Roman" w:cs="Times New Roman"/>
                <w:b/>
                <w:bCs/>
                <w:color w:val="000000"/>
                <w:sz w:val="21"/>
                <w:szCs w:val="21"/>
              </w:rPr>
            </w:pPr>
            <w:r w:rsidRPr="00ED4380">
              <w:rPr>
                <w:rFonts w:ascii="Times New Roman" w:eastAsia="Times New Roman" w:hAnsi="Times New Roman" w:cs="Times New Roman"/>
                <w:b/>
                <w:bCs/>
                <w:color w:val="000000"/>
                <w:sz w:val="21"/>
                <w:szCs w:val="21"/>
              </w:rPr>
              <w:t>Diésel bajo en azufre</w:t>
            </w:r>
          </w:p>
        </w:tc>
        <w:tc>
          <w:tcPr>
            <w:tcW w:w="1559" w:type="dxa"/>
            <w:tcBorders>
              <w:top w:val="single" w:sz="4" w:space="0" w:color="auto"/>
              <w:left w:val="nil"/>
              <w:bottom w:val="single" w:sz="4" w:space="0" w:color="auto"/>
              <w:right w:val="single" w:sz="4" w:space="0" w:color="auto"/>
            </w:tcBorders>
            <w:shd w:val="clear" w:color="000000" w:fill="B8CCE4"/>
            <w:vAlign w:val="center"/>
            <w:hideMark/>
          </w:tcPr>
          <w:p w:rsidR="006A4FDF" w:rsidRPr="00ED4380" w:rsidRDefault="006A4FDF" w:rsidP="00D92726">
            <w:pPr>
              <w:jc w:val="center"/>
              <w:rPr>
                <w:rFonts w:ascii="Times New Roman" w:eastAsia="Times New Roman" w:hAnsi="Times New Roman" w:cs="Times New Roman"/>
                <w:b/>
                <w:bCs/>
                <w:color w:val="000000"/>
                <w:sz w:val="21"/>
                <w:szCs w:val="21"/>
              </w:rPr>
            </w:pPr>
            <w:r w:rsidRPr="00ED4380">
              <w:rPr>
                <w:rFonts w:ascii="Times New Roman" w:eastAsia="Times New Roman" w:hAnsi="Times New Roman" w:cs="Times New Roman"/>
                <w:b/>
                <w:bCs/>
                <w:color w:val="000000"/>
                <w:sz w:val="21"/>
                <w:szCs w:val="21"/>
              </w:rPr>
              <w:t>Gasolina Regular</w:t>
            </w:r>
          </w:p>
        </w:tc>
        <w:tc>
          <w:tcPr>
            <w:tcW w:w="1962" w:type="dxa"/>
            <w:tcBorders>
              <w:top w:val="single" w:sz="4" w:space="0" w:color="auto"/>
              <w:left w:val="nil"/>
              <w:bottom w:val="single" w:sz="4" w:space="0" w:color="auto"/>
              <w:right w:val="single" w:sz="4" w:space="0" w:color="auto"/>
            </w:tcBorders>
            <w:shd w:val="clear" w:color="000000" w:fill="B8CCE4"/>
            <w:vAlign w:val="center"/>
            <w:hideMark/>
          </w:tcPr>
          <w:p w:rsidR="006A4FDF" w:rsidRPr="00ED4380" w:rsidRDefault="006A4FDF" w:rsidP="00D92726">
            <w:pPr>
              <w:jc w:val="center"/>
              <w:rPr>
                <w:rFonts w:ascii="Times New Roman" w:eastAsia="Times New Roman" w:hAnsi="Times New Roman" w:cs="Times New Roman"/>
                <w:b/>
                <w:bCs/>
                <w:color w:val="000000"/>
                <w:sz w:val="21"/>
                <w:szCs w:val="21"/>
              </w:rPr>
            </w:pPr>
            <w:r w:rsidRPr="00ED4380">
              <w:rPr>
                <w:rFonts w:ascii="Times New Roman" w:eastAsia="Times New Roman" w:hAnsi="Times New Roman" w:cs="Times New Roman"/>
                <w:b/>
                <w:bCs/>
                <w:color w:val="000000"/>
                <w:sz w:val="21"/>
                <w:szCs w:val="21"/>
              </w:rPr>
              <w:t>Gasolina Especial</w:t>
            </w:r>
          </w:p>
        </w:tc>
      </w:tr>
      <w:tr w:rsidR="006A4FDF" w:rsidRPr="00ED4380" w:rsidTr="00D92726">
        <w:trPr>
          <w:trHeight w:val="660"/>
        </w:trPr>
        <w:tc>
          <w:tcPr>
            <w:tcW w:w="372"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6A4FDF" w:rsidRPr="00ED4380" w:rsidRDefault="006A4FDF" w:rsidP="00D92726">
            <w:pPr>
              <w:jc w:val="center"/>
              <w:rPr>
                <w:rFonts w:ascii="Times New Roman" w:eastAsia="Times New Roman" w:hAnsi="Times New Roman" w:cs="Times New Roman"/>
                <w:b/>
                <w:bCs/>
                <w:color w:val="000000"/>
                <w:sz w:val="21"/>
                <w:szCs w:val="21"/>
              </w:rPr>
            </w:pPr>
            <w:r w:rsidRPr="00ED4380">
              <w:rPr>
                <w:rFonts w:ascii="Times New Roman" w:eastAsia="Times New Roman" w:hAnsi="Times New Roman" w:cs="Times New Roman"/>
                <w:b/>
                <w:bCs/>
                <w:color w:val="000000"/>
                <w:sz w:val="21"/>
                <w:szCs w:val="21"/>
              </w:rPr>
              <w:t>Precio CIF</w:t>
            </w:r>
          </w:p>
        </w:tc>
        <w:tc>
          <w:tcPr>
            <w:tcW w:w="1613" w:type="dxa"/>
            <w:tcBorders>
              <w:top w:val="nil"/>
              <w:left w:val="nil"/>
              <w:bottom w:val="single" w:sz="4" w:space="0" w:color="auto"/>
              <w:right w:val="single" w:sz="4" w:space="0" w:color="auto"/>
            </w:tcBorders>
            <w:shd w:val="clear" w:color="auto" w:fill="auto"/>
            <w:noWrap/>
            <w:vAlign w:val="center"/>
            <w:hideMark/>
          </w:tcPr>
          <w:p w:rsidR="006A4FDF" w:rsidRPr="00ED4380" w:rsidRDefault="006A4FDF" w:rsidP="00D92726">
            <w:pPr>
              <w:jc w:val="center"/>
              <w:rPr>
                <w:rFonts w:ascii="Times New Roman" w:eastAsia="Times New Roman" w:hAnsi="Times New Roman" w:cs="Times New Roman"/>
                <w:b/>
                <w:bCs/>
                <w:color w:val="000000"/>
                <w:sz w:val="21"/>
                <w:szCs w:val="21"/>
              </w:rPr>
            </w:pPr>
            <w:r w:rsidRPr="00ED4380">
              <w:rPr>
                <w:rFonts w:ascii="Times New Roman" w:eastAsia="Times New Roman" w:hAnsi="Times New Roman" w:cs="Times New Roman"/>
                <w:b/>
                <w:bCs/>
                <w:color w:val="000000"/>
                <w:sz w:val="21"/>
                <w:szCs w:val="21"/>
              </w:rPr>
              <w:t>Precio FOB</w:t>
            </w:r>
          </w:p>
        </w:tc>
        <w:tc>
          <w:tcPr>
            <w:tcW w:w="1843" w:type="dxa"/>
            <w:tcBorders>
              <w:top w:val="nil"/>
              <w:left w:val="nil"/>
              <w:bottom w:val="single" w:sz="4" w:space="0" w:color="auto"/>
              <w:right w:val="single" w:sz="4" w:space="0" w:color="auto"/>
            </w:tcBorders>
            <w:shd w:val="clear" w:color="auto" w:fill="auto"/>
            <w:vAlign w:val="center"/>
            <w:hideMark/>
          </w:tcPr>
          <w:p w:rsidR="006A4FDF" w:rsidRPr="00ED4380" w:rsidRDefault="006A4FDF" w:rsidP="00D92726">
            <w:pPr>
              <w:jc w:val="center"/>
              <w:rPr>
                <w:rFonts w:ascii="Times New Roman" w:eastAsia="Times New Roman" w:hAnsi="Times New Roman" w:cs="Times New Roman"/>
                <w:color w:val="000000"/>
                <w:sz w:val="21"/>
                <w:szCs w:val="21"/>
              </w:rPr>
            </w:pPr>
            <w:r w:rsidRPr="00ED4380">
              <w:rPr>
                <w:rFonts w:ascii="Times New Roman" w:eastAsia="Times New Roman" w:hAnsi="Times New Roman" w:cs="Times New Roman"/>
                <w:color w:val="000000"/>
                <w:sz w:val="21"/>
                <w:szCs w:val="21"/>
              </w:rPr>
              <w:t>CONFIDENCIAL</w:t>
            </w:r>
          </w:p>
        </w:tc>
        <w:tc>
          <w:tcPr>
            <w:tcW w:w="1559" w:type="dxa"/>
            <w:tcBorders>
              <w:top w:val="nil"/>
              <w:left w:val="nil"/>
              <w:bottom w:val="single" w:sz="4" w:space="0" w:color="auto"/>
              <w:right w:val="single" w:sz="4" w:space="0" w:color="auto"/>
            </w:tcBorders>
            <w:shd w:val="clear" w:color="auto" w:fill="auto"/>
            <w:vAlign w:val="center"/>
            <w:hideMark/>
          </w:tcPr>
          <w:p w:rsidR="006A4FDF" w:rsidRPr="00ED4380" w:rsidRDefault="006A4FDF" w:rsidP="00D92726">
            <w:pPr>
              <w:jc w:val="center"/>
              <w:rPr>
                <w:rFonts w:ascii="Times New Roman" w:eastAsia="Times New Roman" w:hAnsi="Times New Roman" w:cs="Times New Roman"/>
                <w:color w:val="000000"/>
                <w:sz w:val="21"/>
                <w:szCs w:val="21"/>
              </w:rPr>
            </w:pPr>
            <w:r w:rsidRPr="00ED4380">
              <w:rPr>
                <w:rFonts w:ascii="Times New Roman" w:eastAsia="Times New Roman" w:hAnsi="Times New Roman" w:cs="Times New Roman"/>
                <w:color w:val="000000"/>
                <w:sz w:val="21"/>
                <w:szCs w:val="21"/>
              </w:rPr>
              <w:t>CONFIDENCIAL</w:t>
            </w:r>
          </w:p>
        </w:tc>
        <w:tc>
          <w:tcPr>
            <w:tcW w:w="1559" w:type="dxa"/>
            <w:tcBorders>
              <w:top w:val="nil"/>
              <w:left w:val="nil"/>
              <w:bottom w:val="single" w:sz="4" w:space="0" w:color="auto"/>
              <w:right w:val="single" w:sz="4" w:space="0" w:color="auto"/>
            </w:tcBorders>
            <w:shd w:val="clear" w:color="auto" w:fill="auto"/>
            <w:vAlign w:val="center"/>
            <w:hideMark/>
          </w:tcPr>
          <w:p w:rsidR="006A4FDF" w:rsidRPr="00ED4380" w:rsidRDefault="006A4FDF" w:rsidP="00D92726">
            <w:pPr>
              <w:jc w:val="center"/>
              <w:rPr>
                <w:rFonts w:ascii="Times New Roman" w:eastAsia="Times New Roman" w:hAnsi="Times New Roman" w:cs="Times New Roman"/>
                <w:color w:val="000000"/>
                <w:sz w:val="21"/>
                <w:szCs w:val="21"/>
              </w:rPr>
            </w:pPr>
            <w:r w:rsidRPr="00ED4380">
              <w:rPr>
                <w:rFonts w:ascii="Times New Roman" w:eastAsia="Times New Roman" w:hAnsi="Times New Roman" w:cs="Times New Roman"/>
                <w:color w:val="000000"/>
                <w:sz w:val="21"/>
                <w:szCs w:val="21"/>
              </w:rPr>
              <w:t>CONFIDENCIAL</w:t>
            </w:r>
          </w:p>
        </w:tc>
        <w:tc>
          <w:tcPr>
            <w:tcW w:w="1962" w:type="dxa"/>
            <w:tcBorders>
              <w:top w:val="nil"/>
              <w:left w:val="nil"/>
              <w:bottom w:val="single" w:sz="4" w:space="0" w:color="auto"/>
              <w:right w:val="single" w:sz="4" w:space="0" w:color="auto"/>
            </w:tcBorders>
            <w:shd w:val="clear" w:color="auto" w:fill="auto"/>
            <w:vAlign w:val="center"/>
            <w:hideMark/>
          </w:tcPr>
          <w:p w:rsidR="006A4FDF" w:rsidRPr="00ED4380" w:rsidRDefault="006A4FDF" w:rsidP="00D92726">
            <w:pPr>
              <w:jc w:val="center"/>
              <w:rPr>
                <w:rFonts w:ascii="Times New Roman" w:eastAsia="Times New Roman" w:hAnsi="Times New Roman" w:cs="Times New Roman"/>
                <w:color w:val="000000"/>
                <w:sz w:val="21"/>
                <w:szCs w:val="21"/>
              </w:rPr>
            </w:pPr>
            <w:r w:rsidRPr="00ED4380">
              <w:rPr>
                <w:rFonts w:ascii="Times New Roman" w:eastAsia="Times New Roman" w:hAnsi="Times New Roman" w:cs="Times New Roman"/>
                <w:color w:val="000000"/>
                <w:sz w:val="21"/>
                <w:szCs w:val="21"/>
              </w:rPr>
              <w:t>CONFIDENCIAL</w:t>
            </w:r>
          </w:p>
        </w:tc>
      </w:tr>
      <w:tr w:rsidR="006A4FDF" w:rsidRPr="00ED4380" w:rsidTr="00D92726">
        <w:trPr>
          <w:trHeight w:val="2355"/>
        </w:trPr>
        <w:tc>
          <w:tcPr>
            <w:tcW w:w="372" w:type="dxa"/>
            <w:vMerge/>
            <w:tcBorders>
              <w:top w:val="single" w:sz="4" w:space="0" w:color="auto"/>
              <w:left w:val="single" w:sz="4" w:space="0" w:color="auto"/>
              <w:bottom w:val="single" w:sz="4" w:space="0" w:color="auto"/>
              <w:right w:val="single" w:sz="4" w:space="0" w:color="auto"/>
            </w:tcBorders>
            <w:vAlign w:val="center"/>
            <w:hideMark/>
          </w:tcPr>
          <w:p w:rsidR="006A4FDF" w:rsidRPr="00ED4380" w:rsidRDefault="006A4FDF" w:rsidP="00D92726">
            <w:pPr>
              <w:rPr>
                <w:rFonts w:ascii="Times New Roman" w:eastAsia="Times New Roman" w:hAnsi="Times New Roman" w:cs="Times New Roman"/>
                <w:b/>
                <w:bCs/>
                <w:color w:val="000000"/>
                <w:sz w:val="21"/>
                <w:szCs w:val="21"/>
              </w:rPr>
            </w:pPr>
          </w:p>
        </w:tc>
        <w:tc>
          <w:tcPr>
            <w:tcW w:w="1613" w:type="dxa"/>
            <w:tcBorders>
              <w:top w:val="nil"/>
              <w:left w:val="nil"/>
              <w:bottom w:val="single" w:sz="4" w:space="0" w:color="auto"/>
              <w:right w:val="single" w:sz="4" w:space="0" w:color="auto"/>
            </w:tcBorders>
            <w:shd w:val="clear" w:color="auto" w:fill="auto"/>
            <w:noWrap/>
            <w:vAlign w:val="center"/>
            <w:hideMark/>
          </w:tcPr>
          <w:p w:rsidR="006A4FDF" w:rsidRPr="00ED4380" w:rsidRDefault="006A4FDF" w:rsidP="00D92726">
            <w:pPr>
              <w:jc w:val="center"/>
              <w:rPr>
                <w:rFonts w:ascii="Times New Roman" w:eastAsia="Times New Roman" w:hAnsi="Times New Roman" w:cs="Times New Roman"/>
                <w:b/>
                <w:bCs/>
                <w:color w:val="000000"/>
                <w:sz w:val="21"/>
                <w:szCs w:val="21"/>
              </w:rPr>
            </w:pPr>
            <w:r w:rsidRPr="00ED4380">
              <w:rPr>
                <w:rFonts w:ascii="Times New Roman" w:eastAsia="Times New Roman" w:hAnsi="Times New Roman" w:cs="Times New Roman"/>
                <w:b/>
                <w:bCs/>
                <w:color w:val="000000"/>
                <w:sz w:val="21"/>
                <w:szCs w:val="21"/>
              </w:rPr>
              <w:t>Ajuste de calidad</w:t>
            </w:r>
          </w:p>
        </w:tc>
        <w:tc>
          <w:tcPr>
            <w:tcW w:w="1843" w:type="dxa"/>
            <w:tcBorders>
              <w:top w:val="nil"/>
              <w:left w:val="nil"/>
              <w:bottom w:val="single" w:sz="4" w:space="0" w:color="auto"/>
              <w:right w:val="single" w:sz="4" w:space="0" w:color="auto"/>
            </w:tcBorders>
            <w:shd w:val="clear" w:color="auto" w:fill="auto"/>
            <w:vAlign w:val="center"/>
            <w:hideMark/>
          </w:tcPr>
          <w:p w:rsidR="006A4FDF" w:rsidRPr="00ED4380" w:rsidRDefault="006A4FDF" w:rsidP="00D92726">
            <w:pPr>
              <w:jc w:val="center"/>
              <w:rPr>
                <w:rFonts w:ascii="Times New Roman" w:eastAsia="Times New Roman" w:hAnsi="Times New Roman" w:cs="Times New Roman"/>
                <w:color w:val="000000"/>
                <w:sz w:val="21"/>
                <w:szCs w:val="21"/>
              </w:rPr>
            </w:pPr>
            <w:r w:rsidRPr="00ED4380">
              <w:rPr>
                <w:rFonts w:ascii="Times New Roman" w:eastAsia="Times New Roman" w:hAnsi="Times New Roman" w:cs="Times New Roman"/>
                <w:color w:val="000000"/>
                <w:sz w:val="21"/>
                <w:szCs w:val="21"/>
              </w:rPr>
              <w:t xml:space="preserve">Costo del aditivo multiplicado por la cantidad porcentual para que un galón de diésel con índice de </w:t>
            </w:r>
            <w:proofErr w:type="spellStart"/>
            <w:r w:rsidRPr="00ED4380">
              <w:rPr>
                <w:rFonts w:ascii="Times New Roman" w:eastAsia="Times New Roman" w:hAnsi="Times New Roman" w:cs="Times New Roman"/>
                <w:color w:val="000000"/>
                <w:sz w:val="21"/>
                <w:szCs w:val="21"/>
              </w:rPr>
              <w:t>cetano</w:t>
            </w:r>
            <w:proofErr w:type="spellEnd"/>
            <w:r w:rsidRPr="00ED4380">
              <w:rPr>
                <w:rFonts w:ascii="Times New Roman" w:eastAsia="Times New Roman" w:hAnsi="Times New Roman" w:cs="Times New Roman"/>
                <w:color w:val="000000"/>
                <w:sz w:val="21"/>
                <w:szCs w:val="21"/>
              </w:rPr>
              <w:t xml:space="preserve"> 40 llegue al valor de 45</w:t>
            </w:r>
          </w:p>
        </w:tc>
        <w:tc>
          <w:tcPr>
            <w:tcW w:w="1559" w:type="dxa"/>
            <w:tcBorders>
              <w:top w:val="nil"/>
              <w:left w:val="nil"/>
              <w:bottom w:val="single" w:sz="4" w:space="0" w:color="auto"/>
              <w:right w:val="single" w:sz="4" w:space="0" w:color="auto"/>
            </w:tcBorders>
            <w:shd w:val="clear" w:color="auto" w:fill="auto"/>
            <w:vAlign w:val="center"/>
            <w:hideMark/>
          </w:tcPr>
          <w:p w:rsidR="006A4FDF" w:rsidRPr="00ED4380" w:rsidRDefault="006A4FDF" w:rsidP="00D92726">
            <w:pPr>
              <w:jc w:val="center"/>
              <w:rPr>
                <w:rFonts w:ascii="Times New Roman" w:eastAsia="Times New Roman" w:hAnsi="Times New Roman" w:cs="Times New Roman"/>
                <w:color w:val="000000"/>
                <w:sz w:val="21"/>
                <w:szCs w:val="21"/>
              </w:rPr>
            </w:pPr>
            <w:r w:rsidRPr="00ED4380">
              <w:rPr>
                <w:rFonts w:ascii="Times New Roman" w:eastAsia="Times New Roman" w:hAnsi="Times New Roman" w:cs="Times New Roman"/>
                <w:color w:val="000000"/>
                <w:sz w:val="21"/>
                <w:szCs w:val="21"/>
              </w:rPr>
              <w:t xml:space="preserve">Costo del aditivo multiplicado por la cantidad porcentual para que un galón de diésel con índice de </w:t>
            </w:r>
            <w:proofErr w:type="spellStart"/>
            <w:r w:rsidRPr="00ED4380">
              <w:rPr>
                <w:rFonts w:ascii="Times New Roman" w:eastAsia="Times New Roman" w:hAnsi="Times New Roman" w:cs="Times New Roman"/>
                <w:color w:val="000000"/>
                <w:sz w:val="21"/>
                <w:szCs w:val="21"/>
              </w:rPr>
              <w:t>cetano</w:t>
            </w:r>
            <w:proofErr w:type="spellEnd"/>
            <w:r w:rsidRPr="00ED4380">
              <w:rPr>
                <w:rFonts w:ascii="Times New Roman" w:eastAsia="Times New Roman" w:hAnsi="Times New Roman" w:cs="Times New Roman"/>
                <w:color w:val="000000"/>
                <w:sz w:val="21"/>
                <w:szCs w:val="21"/>
              </w:rPr>
              <w:t xml:space="preserve"> 40 llegue al valor de 45</w:t>
            </w:r>
          </w:p>
        </w:tc>
        <w:tc>
          <w:tcPr>
            <w:tcW w:w="1559" w:type="dxa"/>
            <w:tcBorders>
              <w:top w:val="nil"/>
              <w:left w:val="nil"/>
              <w:bottom w:val="single" w:sz="4" w:space="0" w:color="auto"/>
              <w:right w:val="single" w:sz="4" w:space="0" w:color="auto"/>
            </w:tcBorders>
            <w:shd w:val="clear" w:color="auto" w:fill="auto"/>
            <w:vAlign w:val="center"/>
            <w:hideMark/>
          </w:tcPr>
          <w:p w:rsidR="006A4FDF" w:rsidRPr="00ED4380" w:rsidRDefault="006A4FDF" w:rsidP="00D92726">
            <w:pPr>
              <w:jc w:val="center"/>
              <w:rPr>
                <w:rFonts w:ascii="Times New Roman" w:eastAsia="Times New Roman" w:hAnsi="Times New Roman" w:cs="Times New Roman"/>
                <w:color w:val="000000"/>
                <w:sz w:val="21"/>
                <w:szCs w:val="21"/>
              </w:rPr>
            </w:pPr>
            <w:r w:rsidRPr="00ED4380">
              <w:rPr>
                <w:rFonts w:ascii="Times New Roman" w:eastAsia="Times New Roman" w:hAnsi="Times New Roman" w:cs="Times New Roman"/>
                <w:color w:val="000000"/>
                <w:sz w:val="21"/>
                <w:szCs w:val="21"/>
              </w:rPr>
              <w:t xml:space="preserve">0.028*(Promedio 6 meses Precio </w:t>
            </w:r>
            <w:proofErr w:type="spellStart"/>
            <w:r w:rsidRPr="00ED4380">
              <w:rPr>
                <w:rFonts w:ascii="Times New Roman" w:eastAsia="Times New Roman" w:hAnsi="Times New Roman" w:cs="Times New Roman"/>
                <w:color w:val="000000"/>
                <w:sz w:val="21"/>
                <w:szCs w:val="21"/>
              </w:rPr>
              <w:t>Platt’s</w:t>
            </w:r>
            <w:proofErr w:type="spellEnd"/>
            <w:r w:rsidRPr="00ED4380">
              <w:rPr>
                <w:rFonts w:ascii="Times New Roman" w:eastAsia="Times New Roman" w:hAnsi="Times New Roman" w:cs="Times New Roman"/>
                <w:color w:val="000000"/>
                <w:sz w:val="21"/>
                <w:szCs w:val="21"/>
              </w:rPr>
              <w:t xml:space="preserve"> UNL-87 – Promedio 6 meses Precio </w:t>
            </w:r>
            <w:proofErr w:type="spellStart"/>
            <w:r w:rsidRPr="00ED4380">
              <w:rPr>
                <w:rFonts w:ascii="Times New Roman" w:eastAsia="Times New Roman" w:hAnsi="Times New Roman" w:cs="Times New Roman"/>
                <w:color w:val="000000"/>
                <w:sz w:val="21"/>
                <w:szCs w:val="21"/>
              </w:rPr>
              <w:t>Platt’s</w:t>
            </w:r>
            <w:proofErr w:type="spellEnd"/>
            <w:r w:rsidRPr="00ED4380">
              <w:rPr>
                <w:rFonts w:ascii="Times New Roman" w:eastAsia="Times New Roman" w:hAnsi="Times New Roman" w:cs="Times New Roman"/>
                <w:color w:val="000000"/>
                <w:sz w:val="21"/>
                <w:szCs w:val="21"/>
              </w:rPr>
              <w:t xml:space="preserve"> Butano normal </w:t>
            </w:r>
            <w:proofErr w:type="spellStart"/>
            <w:r w:rsidRPr="00ED4380">
              <w:rPr>
                <w:rFonts w:ascii="Times New Roman" w:eastAsia="Times New Roman" w:hAnsi="Times New Roman" w:cs="Times New Roman"/>
                <w:color w:val="000000"/>
                <w:sz w:val="21"/>
                <w:szCs w:val="21"/>
              </w:rPr>
              <w:t>Mt.</w:t>
            </w:r>
            <w:proofErr w:type="spellEnd"/>
            <w:r w:rsidRPr="00ED4380">
              <w:rPr>
                <w:rFonts w:ascii="Times New Roman" w:eastAsia="Times New Roman" w:hAnsi="Times New Roman" w:cs="Times New Roman"/>
                <w:color w:val="000000"/>
                <w:sz w:val="21"/>
                <w:szCs w:val="21"/>
              </w:rPr>
              <w:t xml:space="preserve"> </w:t>
            </w:r>
            <w:proofErr w:type="spellStart"/>
            <w:r w:rsidRPr="00ED4380">
              <w:rPr>
                <w:rFonts w:ascii="Times New Roman" w:eastAsia="Times New Roman" w:hAnsi="Times New Roman" w:cs="Times New Roman"/>
                <w:color w:val="000000"/>
                <w:sz w:val="21"/>
                <w:szCs w:val="21"/>
              </w:rPr>
              <w:t>Belvieu</w:t>
            </w:r>
            <w:proofErr w:type="spellEnd"/>
            <w:r w:rsidRPr="00ED4380">
              <w:rPr>
                <w:rFonts w:ascii="Times New Roman" w:eastAsia="Times New Roman" w:hAnsi="Times New Roman" w:cs="Times New Roman"/>
                <w:color w:val="000000"/>
                <w:sz w:val="21"/>
                <w:szCs w:val="21"/>
              </w:rPr>
              <w:t xml:space="preserve">) + ((Promedio 6 meses Precio </w:t>
            </w:r>
            <w:proofErr w:type="spellStart"/>
            <w:r w:rsidRPr="00ED4380">
              <w:rPr>
                <w:rFonts w:ascii="Times New Roman" w:eastAsia="Times New Roman" w:hAnsi="Times New Roman" w:cs="Times New Roman"/>
                <w:color w:val="000000"/>
                <w:sz w:val="21"/>
                <w:szCs w:val="21"/>
              </w:rPr>
              <w:t>Platt’s</w:t>
            </w:r>
            <w:proofErr w:type="spellEnd"/>
            <w:r w:rsidRPr="00ED4380">
              <w:rPr>
                <w:rFonts w:ascii="Times New Roman" w:eastAsia="Times New Roman" w:hAnsi="Times New Roman" w:cs="Times New Roman"/>
                <w:color w:val="000000"/>
                <w:sz w:val="21"/>
                <w:szCs w:val="21"/>
              </w:rPr>
              <w:t xml:space="preserve"> UNL-87  – Promedio 6 meses Precio </w:t>
            </w:r>
            <w:proofErr w:type="spellStart"/>
            <w:r w:rsidRPr="00ED4380">
              <w:rPr>
                <w:rFonts w:ascii="Times New Roman" w:eastAsia="Times New Roman" w:hAnsi="Times New Roman" w:cs="Times New Roman"/>
                <w:color w:val="000000"/>
                <w:sz w:val="21"/>
                <w:szCs w:val="21"/>
              </w:rPr>
              <w:t>Platt’s</w:t>
            </w:r>
            <w:proofErr w:type="spellEnd"/>
            <w:r w:rsidRPr="00ED4380">
              <w:rPr>
                <w:rFonts w:ascii="Times New Roman" w:eastAsia="Times New Roman" w:hAnsi="Times New Roman" w:cs="Times New Roman"/>
                <w:color w:val="000000"/>
                <w:sz w:val="21"/>
                <w:szCs w:val="21"/>
              </w:rPr>
              <w:t xml:space="preserve"> UNL-93)/6)*2</w:t>
            </w:r>
          </w:p>
        </w:tc>
        <w:tc>
          <w:tcPr>
            <w:tcW w:w="1962" w:type="dxa"/>
            <w:tcBorders>
              <w:top w:val="nil"/>
              <w:left w:val="nil"/>
              <w:bottom w:val="single" w:sz="4" w:space="0" w:color="auto"/>
              <w:right w:val="single" w:sz="4" w:space="0" w:color="auto"/>
            </w:tcBorders>
            <w:shd w:val="clear" w:color="auto" w:fill="auto"/>
            <w:vAlign w:val="center"/>
            <w:hideMark/>
          </w:tcPr>
          <w:p w:rsidR="006A4FDF" w:rsidRPr="00ED4380" w:rsidRDefault="006A4FDF" w:rsidP="00D92726">
            <w:pPr>
              <w:jc w:val="center"/>
              <w:rPr>
                <w:rFonts w:ascii="Times New Roman" w:eastAsia="Times New Roman" w:hAnsi="Times New Roman" w:cs="Times New Roman"/>
                <w:color w:val="000000"/>
                <w:sz w:val="21"/>
                <w:szCs w:val="21"/>
              </w:rPr>
            </w:pPr>
            <w:r w:rsidRPr="00ED4380">
              <w:rPr>
                <w:rFonts w:ascii="Times New Roman" w:eastAsia="Times New Roman" w:hAnsi="Times New Roman" w:cs="Times New Roman"/>
                <w:color w:val="000000"/>
                <w:sz w:val="21"/>
                <w:szCs w:val="21"/>
              </w:rPr>
              <w:t xml:space="preserve">0.028*(Promedio 6 meses Precio </w:t>
            </w:r>
            <w:proofErr w:type="spellStart"/>
            <w:r w:rsidRPr="00ED4380">
              <w:rPr>
                <w:rFonts w:ascii="Times New Roman" w:eastAsia="Times New Roman" w:hAnsi="Times New Roman" w:cs="Times New Roman"/>
                <w:color w:val="000000"/>
                <w:sz w:val="21"/>
                <w:szCs w:val="21"/>
              </w:rPr>
              <w:t>Platt’s</w:t>
            </w:r>
            <w:proofErr w:type="spellEnd"/>
            <w:r w:rsidRPr="00ED4380">
              <w:rPr>
                <w:rFonts w:ascii="Times New Roman" w:eastAsia="Times New Roman" w:hAnsi="Times New Roman" w:cs="Times New Roman"/>
                <w:color w:val="000000"/>
                <w:sz w:val="21"/>
                <w:szCs w:val="21"/>
              </w:rPr>
              <w:t xml:space="preserve"> UNL-87 – Promedio 6 meses Precio </w:t>
            </w:r>
            <w:proofErr w:type="spellStart"/>
            <w:r w:rsidRPr="00ED4380">
              <w:rPr>
                <w:rFonts w:ascii="Times New Roman" w:eastAsia="Times New Roman" w:hAnsi="Times New Roman" w:cs="Times New Roman"/>
                <w:color w:val="000000"/>
                <w:sz w:val="21"/>
                <w:szCs w:val="21"/>
              </w:rPr>
              <w:t>Platt’s</w:t>
            </w:r>
            <w:proofErr w:type="spellEnd"/>
            <w:r w:rsidRPr="00ED4380">
              <w:rPr>
                <w:rFonts w:ascii="Times New Roman" w:eastAsia="Times New Roman" w:hAnsi="Times New Roman" w:cs="Times New Roman"/>
                <w:color w:val="000000"/>
                <w:sz w:val="21"/>
                <w:szCs w:val="21"/>
              </w:rPr>
              <w:t xml:space="preserve"> Butano normal </w:t>
            </w:r>
            <w:proofErr w:type="spellStart"/>
            <w:r w:rsidRPr="00ED4380">
              <w:rPr>
                <w:rFonts w:ascii="Times New Roman" w:eastAsia="Times New Roman" w:hAnsi="Times New Roman" w:cs="Times New Roman"/>
                <w:color w:val="000000"/>
                <w:sz w:val="21"/>
                <w:szCs w:val="21"/>
              </w:rPr>
              <w:t>Mt.</w:t>
            </w:r>
            <w:proofErr w:type="spellEnd"/>
            <w:r w:rsidRPr="00ED4380">
              <w:rPr>
                <w:rFonts w:ascii="Times New Roman" w:eastAsia="Times New Roman" w:hAnsi="Times New Roman" w:cs="Times New Roman"/>
                <w:color w:val="000000"/>
                <w:sz w:val="21"/>
                <w:szCs w:val="21"/>
              </w:rPr>
              <w:t xml:space="preserve"> </w:t>
            </w:r>
            <w:proofErr w:type="spellStart"/>
            <w:r w:rsidRPr="00ED4380">
              <w:rPr>
                <w:rFonts w:ascii="Times New Roman" w:eastAsia="Times New Roman" w:hAnsi="Times New Roman" w:cs="Times New Roman"/>
                <w:color w:val="000000"/>
                <w:sz w:val="21"/>
                <w:szCs w:val="21"/>
              </w:rPr>
              <w:t>Belvieu</w:t>
            </w:r>
            <w:proofErr w:type="spellEnd"/>
            <w:r w:rsidRPr="00ED4380">
              <w:rPr>
                <w:rFonts w:ascii="Times New Roman" w:eastAsia="Times New Roman" w:hAnsi="Times New Roman" w:cs="Times New Roman"/>
                <w:color w:val="000000"/>
                <w:sz w:val="21"/>
                <w:szCs w:val="21"/>
              </w:rPr>
              <w:t xml:space="preserve">) + ((Promedio 6 meses Precio </w:t>
            </w:r>
            <w:proofErr w:type="spellStart"/>
            <w:r w:rsidRPr="00ED4380">
              <w:rPr>
                <w:rFonts w:ascii="Times New Roman" w:eastAsia="Times New Roman" w:hAnsi="Times New Roman" w:cs="Times New Roman"/>
                <w:color w:val="000000"/>
                <w:sz w:val="21"/>
                <w:szCs w:val="21"/>
              </w:rPr>
              <w:t>Platt’s</w:t>
            </w:r>
            <w:proofErr w:type="spellEnd"/>
            <w:r w:rsidRPr="00ED4380">
              <w:rPr>
                <w:rFonts w:ascii="Times New Roman" w:eastAsia="Times New Roman" w:hAnsi="Times New Roman" w:cs="Times New Roman"/>
                <w:color w:val="000000"/>
                <w:sz w:val="21"/>
                <w:szCs w:val="21"/>
              </w:rPr>
              <w:t xml:space="preserve"> UNL-87  – Promedio 6 meses Precio </w:t>
            </w:r>
            <w:proofErr w:type="spellStart"/>
            <w:r w:rsidRPr="00ED4380">
              <w:rPr>
                <w:rFonts w:ascii="Times New Roman" w:eastAsia="Times New Roman" w:hAnsi="Times New Roman" w:cs="Times New Roman"/>
                <w:color w:val="000000"/>
                <w:sz w:val="21"/>
                <w:szCs w:val="21"/>
              </w:rPr>
              <w:t>Platt’s</w:t>
            </w:r>
            <w:proofErr w:type="spellEnd"/>
            <w:r w:rsidRPr="00ED4380">
              <w:rPr>
                <w:rFonts w:ascii="Times New Roman" w:eastAsia="Times New Roman" w:hAnsi="Times New Roman" w:cs="Times New Roman"/>
                <w:color w:val="000000"/>
                <w:sz w:val="21"/>
                <w:szCs w:val="21"/>
              </w:rPr>
              <w:t xml:space="preserve"> UNL-93)/6)*4       </w:t>
            </w:r>
          </w:p>
        </w:tc>
      </w:tr>
      <w:tr w:rsidR="006A4FDF" w:rsidRPr="00ED4380" w:rsidTr="00D92726">
        <w:trPr>
          <w:trHeight w:val="1485"/>
        </w:trPr>
        <w:tc>
          <w:tcPr>
            <w:tcW w:w="372" w:type="dxa"/>
            <w:vMerge/>
            <w:tcBorders>
              <w:top w:val="single" w:sz="4" w:space="0" w:color="auto"/>
              <w:left w:val="single" w:sz="4" w:space="0" w:color="auto"/>
              <w:bottom w:val="single" w:sz="4" w:space="0" w:color="auto"/>
              <w:right w:val="single" w:sz="4" w:space="0" w:color="auto"/>
            </w:tcBorders>
            <w:vAlign w:val="center"/>
            <w:hideMark/>
          </w:tcPr>
          <w:p w:rsidR="006A4FDF" w:rsidRPr="00ED4380" w:rsidRDefault="006A4FDF" w:rsidP="00D92726">
            <w:pPr>
              <w:rPr>
                <w:rFonts w:ascii="Times New Roman" w:eastAsia="Times New Roman" w:hAnsi="Times New Roman" w:cs="Times New Roman"/>
                <w:b/>
                <w:bCs/>
                <w:color w:val="000000"/>
                <w:sz w:val="21"/>
                <w:szCs w:val="21"/>
              </w:rPr>
            </w:pPr>
          </w:p>
        </w:tc>
        <w:tc>
          <w:tcPr>
            <w:tcW w:w="1613" w:type="dxa"/>
            <w:tcBorders>
              <w:top w:val="nil"/>
              <w:left w:val="nil"/>
              <w:bottom w:val="single" w:sz="4" w:space="0" w:color="auto"/>
              <w:right w:val="single" w:sz="4" w:space="0" w:color="auto"/>
            </w:tcBorders>
            <w:shd w:val="clear" w:color="auto" w:fill="auto"/>
            <w:noWrap/>
            <w:vAlign w:val="center"/>
            <w:hideMark/>
          </w:tcPr>
          <w:p w:rsidR="006A4FDF" w:rsidRPr="00ED4380" w:rsidRDefault="006A4FDF" w:rsidP="00D92726">
            <w:pPr>
              <w:jc w:val="center"/>
              <w:rPr>
                <w:rFonts w:ascii="Times New Roman" w:eastAsia="Times New Roman" w:hAnsi="Times New Roman" w:cs="Times New Roman"/>
                <w:b/>
                <w:bCs/>
                <w:color w:val="000000"/>
                <w:sz w:val="21"/>
                <w:szCs w:val="21"/>
              </w:rPr>
            </w:pPr>
            <w:r w:rsidRPr="00ED4380">
              <w:rPr>
                <w:rFonts w:ascii="Times New Roman" w:eastAsia="Times New Roman" w:hAnsi="Times New Roman" w:cs="Times New Roman"/>
                <w:b/>
                <w:bCs/>
                <w:color w:val="000000"/>
                <w:sz w:val="21"/>
                <w:szCs w:val="21"/>
              </w:rPr>
              <w:t>Flete Marítimo</w:t>
            </w:r>
          </w:p>
        </w:tc>
        <w:tc>
          <w:tcPr>
            <w:tcW w:w="3402" w:type="dxa"/>
            <w:gridSpan w:val="2"/>
            <w:tcBorders>
              <w:top w:val="single" w:sz="4" w:space="0" w:color="auto"/>
              <w:left w:val="nil"/>
              <w:bottom w:val="single" w:sz="4" w:space="0" w:color="auto"/>
              <w:right w:val="single" w:sz="4" w:space="0" w:color="auto"/>
            </w:tcBorders>
            <w:shd w:val="clear" w:color="auto" w:fill="auto"/>
            <w:noWrap/>
            <w:vAlign w:val="center"/>
            <w:hideMark/>
          </w:tcPr>
          <w:p w:rsidR="006A4FDF" w:rsidRPr="00ED4380" w:rsidRDefault="006A4FDF" w:rsidP="00D92726">
            <w:pPr>
              <w:jc w:val="center"/>
              <w:rPr>
                <w:rFonts w:ascii="Times New Roman" w:eastAsia="Times New Roman" w:hAnsi="Times New Roman" w:cs="Times New Roman"/>
                <w:color w:val="000000"/>
                <w:sz w:val="21"/>
                <w:szCs w:val="21"/>
              </w:rPr>
            </w:pPr>
            <w:r w:rsidRPr="00ED4380">
              <w:rPr>
                <w:rFonts w:ascii="Times New Roman" w:hAnsi="Times New Roman" w:cs="Times New Roman"/>
                <w:noProof/>
                <w:sz w:val="21"/>
                <w:szCs w:val="21"/>
              </w:rPr>
              <w:drawing>
                <wp:anchor distT="0" distB="0" distL="114300" distR="114300" simplePos="0" relativeHeight="251664384" behindDoc="1" locked="0" layoutInCell="1" allowOverlap="1">
                  <wp:simplePos x="0" y="0"/>
                  <wp:positionH relativeFrom="column">
                    <wp:posOffset>-5080</wp:posOffset>
                  </wp:positionH>
                  <wp:positionV relativeFrom="paragraph">
                    <wp:posOffset>132715</wp:posOffset>
                  </wp:positionV>
                  <wp:extent cx="2035175" cy="682625"/>
                  <wp:effectExtent l="0" t="0" r="3175" b="3175"/>
                  <wp:wrapThrough wrapText="bothSides">
                    <wp:wrapPolygon edited="0">
                      <wp:start x="0" y="0"/>
                      <wp:lineTo x="0" y="21098"/>
                      <wp:lineTo x="21432" y="21098"/>
                      <wp:lineTo x="21432" y="0"/>
                      <wp:lineTo x="0" y="0"/>
                    </wp:wrapPolygon>
                  </wp:wrapThrough>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8495" t="43769" r="15360" b="31694"/>
                          <a:stretch/>
                        </pic:blipFill>
                        <pic:spPr bwMode="auto">
                          <a:xfrm>
                            <a:off x="0" y="0"/>
                            <a:ext cx="2035175" cy="682625"/>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p>
        </w:tc>
        <w:tc>
          <w:tcPr>
            <w:tcW w:w="352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4FDF" w:rsidRPr="00ED4380" w:rsidRDefault="006A4FDF" w:rsidP="00D92726">
            <w:pPr>
              <w:jc w:val="center"/>
              <w:rPr>
                <w:rFonts w:ascii="Times New Roman" w:eastAsia="Times New Roman" w:hAnsi="Times New Roman" w:cs="Times New Roman"/>
                <w:color w:val="000000"/>
                <w:sz w:val="21"/>
                <w:szCs w:val="21"/>
              </w:rPr>
            </w:pPr>
            <w:r w:rsidRPr="00ED4380">
              <w:rPr>
                <w:rFonts w:ascii="Times New Roman" w:hAnsi="Times New Roman" w:cs="Times New Roman"/>
                <w:noProof/>
                <w:sz w:val="21"/>
                <w:szCs w:val="21"/>
              </w:rPr>
              <w:drawing>
                <wp:anchor distT="0" distB="0" distL="114300" distR="114300" simplePos="0" relativeHeight="251660288" behindDoc="1" locked="0" layoutInCell="1" allowOverlap="1">
                  <wp:simplePos x="0" y="0"/>
                  <wp:positionH relativeFrom="column">
                    <wp:posOffset>63500</wp:posOffset>
                  </wp:positionH>
                  <wp:positionV relativeFrom="paragraph">
                    <wp:posOffset>-1905</wp:posOffset>
                  </wp:positionV>
                  <wp:extent cx="1820545" cy="953770"/>
                  <wp:effectExtent l="0" t="0" r="8255" b="0"/>
                  <wp:wrapThrough wrapText="bothSides">
                    <wp:wrapPolygon edited="0">
                      <wp:start x="0" y="0"/>
                      <wp:lineTo x="0" y="21140"/>
                      <wp:lineTo x="21472" y="21140"/>
                      <wp:lineTo x="21472" y="0"/>
                      <wp:lineTo x="0" y="0"/>
                    </wp:wrapPolygon>
                  </wp:wrapThrough>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7383" t="51104" r="22847" b="21135"/>
                          <a:stretch/>
                        </pic:blipFill>
                        <pic:spPr bwMode="auto">
                          <a:xfrm>
                            <a:off x="0" y="0"/>
                            <a:ext cx="1820545" cy="95377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p>
        </w:tc>
      </w:tr>
      <w:tr w:rsidR="006A4FDF" w:rsidRPr="00ED4380" w:rsidTr="00D92726">
        <w:trPr>
          <w:trHeight w:val="1200"/>
        </w:trPr>
        <w:tc>
          <w:tcPr>
            <w:tcW w:w="372" w:type="dxa"/>
            <w:vMerge/>
            <w:tcBorders>
              <w:top w:val="single" w:sz="4" w:space="0" w:color="auto"/>
              <w:left w:val="single" w:sz="4" w:space="0" w:color="auto"/>
              <w:bottom w:val="single" w:sz="4" w:space="0" w:color="auto"/>
              <w:right w:val="single" w:sz="4" w:space="0" w:color="auto"/>
            </w:tcBorders>
            <w:vAlign w:val="center"/>
            <w:hideMark/>
          </w:tcPr>
          <w:p w:rsidR="006A4FDF" w:rsidRPr="00ED4380" w:rsidRDefault="006A4FDF" w:rsidP="00D92726">
            <w:pPr>
              <w:rPr>
                <w:rFonts w:ascii="Times New Roman" w:eastAsia="Times New Roman" w:hAnsi="Times New Roman" w:cs="Times New Roman"/>
                <w:b/>
                <w:bCs/>
                <w:color w:val="000000"/>
                <w:sz w:val="21"/>
                <w:szCs w:val="21"/>
              </w:rPr>
            </w:pPr>
          </w:p>
        </w:tc>
        <w:tc>
          <w:tcPr>
            <w:tcW w:w="1613" w:type="dxa"/>
            <w:tcBorders>
              <w:top w:val="nil"/>
              <w:left w:val="nil"/>
              <w:bottom w:val="single" w:sz="4" w:space="0" w:color="auto"/>
              <w:right w:val="single" w:sz="4" w:space="0" w:color="auto"/>
            </w:tcBorders>
            <w:shd w:val="clear" w:color="auto" w:fill="auto"/>
            <w:noWrap/>
            <w:vAlign w:val="center"/>
            <w:hideMark/>
          </w:tcPr>
          <w:p w:rsidR="006A4FDF" w:rsidRPr="00ED4380" w:rsidRDefault="006A4FDF" w:rsidP="00D92726">
            <w:pPr>
              <w:jc w:val="center"/>
              <w:rPr>
                <w:rFonts w:ascii="Times New Roman" w:eastAsia="Times New Roman" w:hAnsi="Times New Roman" w:cs="Times New Roman"/>
                <w:b/>
                <w:bCs/>
                <w:color w:val="000000"/>
                <w:sz w:val="21"/>
                <w:szCs w:val="21"/>
              </w:rPr>
            </w:pPr>
            <w:r w:rsidRPr="00ED4380">
              <w:rPr>
                <w:rFonts w:ascii="Times New Roman" w:eastAsia="Times New Roman" w:hAnsi="Times New Roman" w:cs="Times New Roman"/>
                <w:b/>
                <w:bCs/>
                <w:color w:val="000000"/>
                <w:sz w:val="21"/>
                <w:szCs w:val="21"/>
              </w:rPr>
              <w:t>Seguro Marítimo</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6A4FDF" w:rsidRPr="00ED4380" w:rsidRDefault="006A4FDF" w:rsidP="00D92726">
            <w:pPr>
              <w:jc w:val="center"/>
              <w:rPr>
                <w:rFonts w:ascii="Times New Roman" w:eastAsia="Times New Roman" w:hAnsi="Times New Roman" w:cs="Times New Roman"/>
                <w:color w:val="000000"/>
                <w:sz w:val="21"/>
                <w:szCs w:val="21"/>
              </w:rPr>
            </w:pPr>
            <w:r w:rsidRPr="00ED4380">
              <w:rPr>
                <w:rFonts w:ascii="Times New Roman" w:eastAsia="Times New Roman" w:hAnsi="Times New Roman" w:cs="Times New Roman"/>
                <w:color w:val="000000"/>
                <w:sz w:val="21"/>
                <w:szCs w:val="21"/>
              </w:rPr>
              <w:t xml:space="preserve">Resulta de aplicar la tasa de 0.0375 % a la sumatoria del precio FOB del producto y el flete marítimo. </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6A4FDF" w:rsidRPr="00ED4380" w:rsidRDefault="006A4FDF" w:rsidP="00D92726">
            <w:pPr>
              <w:jc w:val="center"/>
              <w:rPr>
                <w:rFonts w:ascii="Times New Roman" w:eastAsia="Times New Roman" w:hAnsi="Times New Roman" w:cs="Times New Roman"/>
                <w:color w:val="000000"/>
                <w:sz w:val="21"/>
                <w:szCs w:val="21"/>
              </w:rPr>
            </w:pPr>
            <w:r w:rsidRPr="00ED4380">
              <w:rPr>
                <w:rFonts w:ascii="Times New Roman" w:eastAsia="Times New Roman" w:hAnsi="Times New Roman" w:cs="Times New Roman"/>
                <w:color w:val="000000"/>
                <w:sz w:val="21"/>
                <w:szCs w:val="21"/>
              </w:rPr>
              <w:t xml:space="preserve">Resulta de aplicar la tasa de 0.0375 % a la sumatoria del precio FOB del producto y el flete marítimo. </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6A4FDF" w:rsidRPr="00ED4380" w:rsidRDefault="006A4FDF" w:rsidP="00D92726">
            <w:pPr>
              <w:jc w:val="center"/>
              <w:rPr>
                <w:rFonts w:ascii="Times New Roman" w:eastAsia="Times New Roman" w:hAnsi="Times New Roman" w:cs="Times New Roman"/>
                <w:color w:val="000000"/>
                <w:sz w:val="21"/>
                <w:szCs w:val="21"/>
              </w:rPr>
            </w:pPr>
            <w:r w:rsidRPr="00ED4380">
              <w:rPr>
                <w:rFonts w:ascii="Times New Roman" w:eastAsia="Times New Roman" w:hAnsi="Times New Roman" w:cs="Times New Roman"/>
                <w:color w:val="000000"/>
                <w:sz w:val="21"/>
                <w:szCs w:val="21"/>
              </w:rPr>
              <w:t xml:space="preserve">Resulta de aplicar la tasa de 0.0375 % a la sumatoria del precio FOB del producto y el flete marítimo. </w:t>
            </w:r>
          </w:p>
        </w:tc>
        <w:tc>
          <w:tcPr>
            <w:tcW w:w="1962" w:type="dxa"/>
            <w:tcBorders>
              <w:top w:val="single" w:sz="4" w:space="0" w:color="auto"/>
              <w:left w:val="nil"/>
              <w:bottom w:val="single" w:sz="4" w:space="0" w:color="auto"/>
              <w:right w:val="single" w:sz="4" w:space="0" w:color="auto"/>
            </w:tcBorders>
            <w:shd w:val="clear" w:color="auto" w:fill="auto"/>
            <w:vAlign w:val="center"/>
            <w:hideMark/>
          </w:tcPr>
          <w:p w:rsidR="006A4FDF" w:rsidRPr="00ED4380" w:rsidRDefault="006A4FDF" w:rsidP="00D92726">
            <w:pPr>
              <w:jc w:val="center"/>
              <w:rPr>
                <w:rFonts w:ascii="Times New Roman" w:eastAsia="Times New Roman" w:hAnsi="Times New Roman" w:cs="Times New Roman"/>
                <w:color w:val="000000"/>
                <w:sz w:val="21"/>
                <w:szCs w:val="21"/>
              </w:rPr>
            </w:pPr>
            <w:r w:rsidRPr="00ED4380">
              <w:rPr>
                <w:rFonts w:ascii="Times New Roman" w:eastAsia="Times New Roman" w:hAnsi="Times New Roman" w:cs="Times New Roman"/>
                <w:color w:val="000000"/>
                <w:sz w:val="21"/>
                <w:szCs w:val="21"/>
              </w:rPr>
              <w:t xml:space="preserve">Resulta de aplicar la tasa de 0.0375 % a la sumatoria del precio FOB del producto y el flete marítimo. </w:t>
            </w:r>
          </w:p>
        </w:tc>
      </w:tr>
      <w:tr w:rsidR="006A4FDF" w:rsidRPr="00ED4380" w:rsidTr="00D92726">
        <w:trPr>
          <w:trHeight w:val="1545"/>
        </w:trPr>
        <w:tc>
          <w:tcPr>
            <w:tcW w:w="372" w:type="dxa"/>
            <w:vMerge/>
            <w:tcBorders>
              <w:top w:val="single" w:sz="4" w:space="0" w:color="auto"/>
              <w:left w:val="single" w:sz="4" w:space="0" w:color="auto"/>
              <w:bottom w:val="single" w:sz="4" w:space="0" w:color="auto"/>
              <w:right w:val="single" w:sz="4" w:space="0" w:color="auto"/>
            </w:tcBorders>
            <w:vAlign w:val="center"/>
            <w:hideMark/>
          </w:tcPr>
          <w:p w:rsidR="006A4FDF" w:rsidRPr="00ED4380" w:rsidRDefault="006A4FDF" w:rsidP="00D92726">
            <w:pPr>
              <w:rPr>
                <w:rFonts w:ascii="Times New Roman" w:eastAsia="Times New Roman" w:hAnsi="Times New Roman" w:cs="Times New Roman"/>
                <w:b/>
                <w:bCs/>
                <w:color w:val="000000"/>
                <w:sz w:val="21"/>
                <w:szCs w:val="21"/>
              </w:rPr>
            </w:pPr>
          </w:p>
        </w:tc>
        <w:tc>
          <w:tcPr>
            <w:tcW w:w="1613" w:type="dxa"/>
            <w:tcBorders>
              <w:top w:val="nil"/>
              <w:left w:val="nil"/>
              <w:bottom w:val="single" w:sz="4" w:space="0" w:color="auto"/>
              <w:right w:val="single" w:sz="4" w:space="0" w:color="auto"/>
            </w:tcBorders>
            <w:shd w:val="clear" w:color="auto" w:fill="auto"/>
            <w:noWrap/>
            <w:vAlign w:val="center"/>
            <w:hideMark/>
          </w:tcPr>
          <w:p w:rsidR="006A4FDF" w:rsidRPr="00ED4380" w:rsidRDefault="006A4FDF" w:rsidP="00D92726">
            <w:pPr>
              <w:jc w:val="center"/>
              <w:rPr>
                <w:rFonts w:ascii="Times New Roman" w:eastAsia="Times New Roman" w:hAnsi="Times New Roman" w:cs="Times New Roman"/>
                <w:b/>
                <w:bCs/>
                <w:color w:val="000000"/>
                <w:sz w:val="21"/>
                <w:szCs w:val="21"/>
              </w:rPr>
            </w:pPr>
            <w:r w:rsidRPr="00ED4380">
              <w:rPr>
                <w:rFonts w:ascii="Times New Roman" w:eastAsia="Times New Roman" w:hAnsi="Times New Roman" w:cs="Times New Roman"/>
                <w:b/>
                <w:bCs/>
                <w:color w:val="000000"/>
                <w:sz w:val="21"/>
                <w:szCs w:val="21"/>
              </w:rPr>
              <w:t>Pérdidas en tránsito</w:t>
            </w:r>
          </w:p>
        </w:tc>
        <w:tc>
          <w:tcPr>
            <w:tcW w:w="1843" w:type="dxa"/>
            <w:tcBorders>
              <w:top w:val="nil"/>
              <w:left w:val="nil"/>
              <w:bottom w:val="single" w:sz="4" w:space="0" w:color="auto"/>
              <w:right w:val="single" w:sz="4" w:space="0" w:color="auto"/>
            </w:tcBorders>
            <w:shd w:val="clear" w:color="auto" w:fill="auto"/>
            <w:vAlign w:val="center"/>
            <w:hideMark/>
          </w:tcPr>
          <w:p w:rsidR="006A4FDF" w:rsidRPr="00ED4380" w:rsidRDefault="006A4FDF" w:rsidP="00D92726">
            <w:pPr>
              <w:jc w:val="center"/>
              <w:rPr>
                <w:rFonts w:ascii="Times New Roman" w:eastAsia="Times New Roman" w:hAnsi="Times New Roman" w:cs="Times New Roman"/>
                <w:color w:val="000000"/>
                <w:sz w:val="21"/>
                <w:szCs w:val="21"/>
              </w:rPr>
            </w:pPr>
            <w:r w:rsidRPr="00ED4380">
              <w:rPr>
                <w:rFonts w:ascii="Times New Roman" w:eastAsia="Times New Roman" w:hAnsi="Times New Roman" w:cs="Times New Roman"/>
                <w:color w:val="000000"/>
                <w:sz w:val="21"/>
                <w:szCs w:val="21"/>
              </w:rPr>
              <w:t>Resultan de aplicar la tasa de 0.13% a la sumatoria del precio FOB del producto, el flete marítimo y el seguro marítimo.</w:t>
            </w:r>
          </w:p>
        </w:tc>
        <w:tc>
          <w:tcPr>
            <w:tcW w:w="1559" w:type="dxa"/>
            <w:tcBorders>
              <w:top w:val="nil"/>
              <w:left w:val="nil"/>
              <w:bottom w:val="single" w:sz="4" w:space="0" w:color="auto"/>
              <w:right w:val="single" w:sz="4" w:space="0" w:color="auto"/>
            </w:tcBorders>
            <w:shd w:val="clear" w:color="auto" w:fill="auto"/>
            <w:vAlign w:val="center"/>
            <w:hideMark/>
          </w:tcPr>
          <w:p w:rsidR="006A4FDF" w:rsidRPr="00ED4380" w:rsidRDefault="006A4FDF" w:rsidP="00D92726">
            <w:pPr>
              <w:jc w:val="center"/>
              <w:rPr>
                <w:rFonts w:ascii="Times New Roman" w:eastAsia="Times New Roman" w:hAnsi="Times New Roman" w:cs="Times New Roman"/>
                <w:color w:val="000000"/>
                <w:sz w:val="21"/>
                <w:szCs w:val="21"/>
              </w:rPr>
            </w:pPr>
            <w:r w:rsidRPr="00ED4380">
              <w:rPr>
                <w:rFonts w:ascii="Times New Roman" w:eastAsia="Times New Roman" w:hAnsi="Times New Roman" w:cs="Times New Roman"/>
                <w:color w:val="000000"/>
                <w:sz w:val="21"/>
                <w:szCs w:val="21"/>
              </w:rPr>
              <w:t>Resultan de aplicar la tasa de 0.13% a la sumatoria del precio FOB del producto, el flete marítimo y el seguro marítimo.</w:t>
            </w:r>
          </w:p>
        </w:tc>
        <w:tc>
          <w:tcPr>
            <w:tcW w:w="1559" w:type="dxa"/>
            <w:tcBorders>
              <w:top w:val="nil"/>
              <w:left w:val="nil"/>
              <w:bottom w:val="single" w:sz="4" w:space="0" w:color="auto"/>
              <w:right w:val="single" w:sz="4" w:space="0" w:color="auto"/>
            </w:tcBorders>
            <w:shd w:val="clear" w:color="auto" w:fill="auto"/>
            <w:vAlign w:val="center"/>
            <w:hideMark/>
          </w:tcPr>
          <w:p w:rsidR="006A4FDF" w:rsidRPr="00ED4380" w:rsidRDefault="006A4FDF" w:rsidP="00D92726">
            <w:pPr>
              <w:jc w:val="center"/>
              <w:rPr>
                <w:rFonts w:ascii="Times New Roman" w:eastAsia="Times New Roman" w:hAnsi="Times New Roman" w:cs="Times New Roman"/>
                <w:color w:val="000000"/>
                <w:sz w:val="21"/>
                <w:szCs w:val="21"/>
              </w:rPr>
            </w:pPr>
            <w:r w:rsidRPr="00ED4380">
              <w:rPr>
                <w:rFonts w:ascii="Times New Roman" w:eastAsia="Times New Roman" w:hAnsi="Times New Roman" w:cs="Times New Roman"/>
                <w:color w:val="000000"/>
                <w:sz w:val="21"/>
                <w:szCs w:val="21"/>
              </w:rPr>
              <w:t>Resultan de aplicar la tasa de 0.13% a la sumatoria del precio FOB del producto, el flete marítimo y el seguro marítimo.</w:t>
            </w:r>
          </w:p>
        </w:tc>
        <w:tc>
          <w:tcPr>
            <w:tcW w:w="1962" w:type="dxa"/>
            <w:tcBorders>
              <w:top w:val="nil"/>
              <w:left w:val="nil"/>
              <w:bottom w:val="single" w:sz="4" w:space="0" w:color="auto"/>
              <w:right w:val="single" w:sz="4" w:space="0" w:color="auto"/>
            </w:tcBorders>
            <w:shd w:val="clear" w:color="auto" w:fill="auto"/>
            <w:vAlign w:val="center"/>
            <w:hideMark/>
          </w:tcPr>
          <w:p w:rsidR="006A4FDF" w:rsidRPr="00ED4380" w:rsidRDefault="006A4FDF" w:rsidP="00D92726">
            <w:pPr>
              <w:jc w:val="center"/>
              <w:rPr>
                <w:rFonts w:ascii="Times New Roman" w:eastAsia="Times New Roman" w:hAnsi="Times New Roman" w:cs="Times New Roman"/>
                <w:color w:val="000000"/>
                <w:sz w:val="21"/>
                <w:szCs w:val="21"/>
              </w:rPr>
            </w:pPr>
            <w:r w:rsidRPr="00ED4380">
              <w:rPr>
                <w:rFonts w:ascii="Times New Roman" w:eastAsia="Times New Roman" w:hAnsi="Times New Roman" w:cs="Times New Roman"/>
                <w:color w:val="000000"/>
                <w:sz w:val="21"/>
                <w:szCs w:val="21"/>
              </w:rPr>
              <w:t>Resultan de aplicar la tasa de 0.13% a la sumatoria del precio FOB del producto, el flete marítimo y el seguro marítimo.</w:t>
            </w:r>
          </w:p>
        </w:tc>
      </w:tr>
      <w:tr w:rsidR="006A4FDF" w:rsidRPr="00ED4380" w:rsidTr="00D92726">
        <w:trPr>
          <w:trHeight w:val="555"/>
        </w:trPr>
        <w:tc>
          <w:tcPr>
            <w:tcW w:w="372" w:type="dxa"/>
            <w:tcBorders>
              <w:top w:val="nil"/>
              <w:left w:val="single" w:sz="4" w:space="0" w:color="auto"/>
              <w:bottom w:val="single" w:sz="4" w:space="0" w:color="auto"/>
              <w:right w:val="single" w:sz="4" w:space="0" w:color="auto"/>
            </w:tcBorders>
            <w:shd w:val="clear" w:color="auto" w:fill="auto"/>
            <w:noWrap/>
            <w:vAlign w:val="bottom"/>
            <w:hideMark/>
          </w:tcPr>
          <w:p w:rsidR="006A4FDF" w:rsidRPr="00ED4380" w:rsidRDefault="006A4FDF" w:rsidP="00D92726">
            <w:pPr>
              <w:rPr>
                <w:rFonts w:ascii="Times New Roman" w:eastAsia="Times New Roman" w:hAnsi="Times New Roman" w:cs="Times New Roman"/>
                <w:color w:val="000000"/>
                <w:sz w:val="21"/>
                <w:szCs w:val="21"/>
              </w:rPr>
            </w:pPr>
            <w:r w:rsidRPr="00ED4380">
              <w:rPr>
                <w:rFonts w:ascii="Times New Roman" w:eastAsia="Times New Roman" w:hAnsi="Times New Roman" w:cs="Times New Roman"/>
                <w:color w:val="000000"/>
                <w:sz w:val="21"/>
                <w:szCs w:val="21"/>
              </w:rPr>
              <w:t> </w:t>
            </w:r>
          </w:p>
        </w:tc>
        <w:tc>
          <w:tcPr>
            <w:tcW w:w="1613" w:type="dxa"/>
            <w:tcBorders>
              <w:top w:val="nil"/>
              <w:left w:val="nil"/>
              <w:bottom w:val="single" w:sz="4" w:space="0" w:color="auto"/>
              <w:right w:val="single" w:sz="4" w:space="0" w:color="auto"/>
            </w:tcBorders>
            <w:shd w:val="clear" w:color="auto" w:fill="auto"/>
            <w:noWrap/>
            <w:vAlign w:val="center"/>
            <w:hideMark/>
          </w:tcPr>
          <w:p w:rsidR="006A4FDF" w:rsidRPr="00ED4380" w:rsidRDefault="006A4FDF" w:rsidP="00D92726">
            <w:pPr>
              <w:jc w:val="center"/>
              <w:rPr>
                <w:rFonts w:ascii="Times New Roman" w:eastAsia="Times New Roman" w:hAnsi="Times New Roman" w:cs="Times New Roman"/>
                <w:b/>
                <w:bCs/>
                <w:color w:val="000000"/>
                <w:sz w:val="21"/>
                <w:szCs w:val="21"/>
              </w:rPr>
            </w:pPr>
            <w:r w:rsidRPr="00ED4380">
              <w:rPr>
                <w:rFonts w:ascii="Times New Roman" w:eastAsia="Times New Roman" w:hAnsi="Times New Roman" w:cs="Times New Roman"/>
                <w:b/>
                <w:bCs/>
                <w:color w:val="000000"/>
                <w:sz w:val="21"/>
                <w:szCs w:val="21"/>
              </w:rPr>
              <w:t>Costo de internación</w:t>
            </w:r>
          </w:p>
        </w:tc>
        <w:tc>
          <w:tcPr>
            <w:tcW w:w="1843" w:type="dxa"/>
            <w:tcBorders>
              <w:top w:val="nil"/>
              <w:left w:val="nil"/>
              <w:bottom w:val="single" w:sz="4" w:space="0" w:color="auto"/>
              <w:right w:val="single" w:sz="4" w:space="0" w:color="auto"/>
            </w:tcBorders>
            <w:shd w:val="clear" w:color="auto" w:fill="auto"/>
            <w:noWrap/>
            <w:vAlign w:val="center"/>
            <w:hideMark/>
          </w:tcPr>
          <w:p w:rsidR="006A4FDF" w:rsidRPr="00ED4380" w:rsidRDefault="006A4FDF" w:rsidP="00D92726">
            <w:pPr>
              <w:jc w:val="center"/>
              <w:rPr>
                <w:rFonts w:ascii="Times New Roman" w:eastAsia="Times New Roman" w:hAnsi="Times New Roman" w:cs="Times New Roman"/>
                <w:color w:val="000000"/>
                <w:sz w:val="21"/>
                <w:szCs w:val="21"/>
              </w:rPr>
            </w:pPr>
            <w:r w:rsidRPr="00ED4380">
              <w:rPr>
                <w:rFonts w:ascii="Times New Roman" w:eastAsia="Times New Roman" w:hAnsi="Times New Roman" w:cs="Times New Roman"/>
                <w:color w:val="000000"/>
                <w:sz w:val="21"/>
                <w:szCs w:val="21"/>
              </w:rPr>
              <w:t>$0.0300</w:t>
            </w:r>
          </w:p>
        </w:tc>
        <w:tc>
          <w:tcPr>
            <w:tcW w:w="1559" w:type="dxa"/>
            <w:tcBorders>
              <w:top w:val="nil"/>
              <w:left w:val="nil"/>
              <w:bottom w:val="single" w:sz="4" w:space="0" w:color="auto"/>
              <w:right w:val="single" w:sz="4" w:space="0" w:color="auto"/>
            </w:tcBorders>
            <w:shd w:val="clear" w:color="auto" w:fill="auto"/>
            <w:noWrap/>
            <w:vAlign w:val="center"/>
            <w:hideMark/>
          </w:tcPr>
          <w:p w:rsidR="006A4FDF" w:rsidRPr="00ED4380" w:rsidRDefault="006A4FDF" w:rsidP="00D92726">
            <w:pPr>
              <w:jc w:val="center"/>
              <w:rPr>
                <w:rFonts w:ascii="Times New Roman" w:eastAsia="Times New Roman" w:hAnsi="Times New Roman" w:cs="Times New Roman"/>
                <w:color w:val="000000"/>
                <w:sz w:val="21"/>
                <w:szCs w:val="21"/>
              </w:rPr>
            </w:pPr>
            <w:r w:rsidRPr="00ED4380">
              <w:rPr>
                <w:rFonts w:ascii="Times New Roman" w:eastAsia="Times New Roman" w:hAnsi="Times New Roman" w:cs="Times New Roman"/>
                <w:color w:val="000000"/>
                <w:sz w:val="21"/>
                <w:szCs w:val="21"/>
              </w:rPr>
              <w:t>$0.0300</w:t>
            </w:r>
          </w:p>
        </w:tc>
        <w:tc>
          <w:tcPr>
            <w:tcW w:w="1559" w:type="dxa"/>
            <w:tcBorders>
              <w:top w:val="nil"/>
              <w:left w:val="nil"/>
              <w:bottom w:val="single" w:sz="4" w:space="0" w:color="auto"/>
              <w:right w:val="single" w:sz="4" w:space="0" w:color="auto"/>
            </w:tcBorders>
            <w:shd w:val="clear" w:color="auto" w:fill="auto"/>
            <w:noWrap/>
            <w:vAlign w:val="center"/>
            <w:hideMark/>
          </w:tcPr>
          <w:p w:rsidR="006A4FDF" w:rsidRPr="00ED4380" w:rsidRDefault="006A4FDF" w:rsidP="00D92726">
            <w:pPr>
              <w:jc w:val="center"/>
              <w:rPr>
                <w:rFonts w:ascii="Times New Roman" w:eastAsia="Times New Roman" w:hAnsi="Times New Roman" w:cs="Times New Roman"/>
                <w:color w:val="000000"/>
                <w:sz w:val="21"/>
                <w:szCs w:val="21"/>
              </w:rPr>
            </w:pPr>
            <w:r w:rsidRPr="00ED4380">
              <w:rPr>
                <w:rFonts w:ascii="Times New Roman" w:eastAsia="Times New Roman" w:hAnsi="Times New Roman" w:cs="Times New Roman"/>
                <w:color w:val="000000"/>
                <w:sz w:val="21"/>
                <w:szCs w:val="21"/>
              </w:rPr>
              <w:t>$0.0300</w:t>
            </w:r>
          </w:p>
        </w:tc>
        <w:tc>
          <w:tcPr>
            <w:tcW w:w="1962" w:type="dxa"/>
            <w:tcBorders>
              <w:top w:val="nil"/>
              <w:left w:val="nil"/>
              <w:bottom w:val="single" w:sz="4" w:space="0" w:color="auto"/>
              <w:right w:val="single" w:sz="4" w:space="0" w:color="auto"/>
            </w:tcBorders>
            <w:shd w:val="clear" w:color="auto" w:fill="auto"/>
            <w:noWrap/>
            <w:vAlign w:val="center"/>
            <w:hideMark/>
          </w:tcPr>
          <w:p w:rsidR="006A4FDF" w:rsidRPr="00ED4380" w:rsidRDefault="006A4FDF" w:rsidP="00D92726">
            <w:pPr>
              <w:jc w:val="center"/>
              <w:rPr>
                <w:rFonts w:ascii="Times New Roman" w:eastAsia="Times New Roman" w:hAnsi="Times New Roman" w:cs="Times New Roman"/>
                <w:color w:val="000000"/>
                <w:sz w:val="21"/>
                <w:szCs w:val="21"/>
              </w:rPr>
            </w:pPr>
            <w:r w:rsidRPr="00ED4380">
              <w:rPr>
                <w:rFonts w:ascii="Times New Roman" w:eastAsia="Times New Roman" w:hAnsi="Times New Roman" w:cs="Times New Roman"/>
                <w:color w:val="000000"/>
                <w:sz w:val="21"/>
                <w:szCs w:val="21"/>
              </w:rPr>
              <w:t>$0.0300</w:t>
            </w:r>
          </w:p>
        </w:tc>
      </w:tr>
      <w:tr w:rsidR="006A4FDF" w:rsidRPr="00ED4380" w:rsidTr="00D92726">
        <w:trPr>
          <w:trHeight w:val="510"/>
        </w:trPr>
        <w:tc>
          <w:tcPr>
            <w:tcW w:w="372"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rsidR="006A4FDF" w:rsidRPr="00ED4380" w:rsidRDefault="006A4FDF" w:rsidP="00D92726">
            <w:pPr>
              <w:jc w:val="center"/>
              <w:rPr>
                <w:rFonts w:ascii="Times New Roman" w:eastAsia="Times New Roman" w:hAnsi="Times New Roman" w:cs="Times New Roman"/>
                <w:b/>
                <w:bCs/>
                <w:color w:val="000000"/>
                <w:sz w:val="21"/>
                <w:szCs w:val="21"/>
              </w:rPr>
            </w:pPr>
            <w:r w:rsidRPr="00ED4380">
              <w:rPr>
                <w:rFonts w:ascii="Times New Roman" w:eastAsia="Times New Roman" w:hAnsi="Times New Roman" w:cs="Times New Roman"/>
                <w:b/>
                <w:bCs/>
                <w:color w:val="000000"/>
                <w:sz w:val="21"/>
                <w:szCs w:val="21"/>
              </w:rPr>
              <w:t>Márgenes</w:t>
            </w:r>
          </w:p>
        </w:tc>
        <w:tc>
          <w:tcPr>
            <w:tcW w:w="1613" w:type="dxa"/>
            <w:tcBorders>
              <w:top w:val="nil"/>
              <w:left w:val="nil"/>
              <w:bottom w:val="single" w:sz="4" w:space="0" w:color="auto"/>
              <w:right w:val="single" w:sz="4" w:space="0" w:color="auto"/>
            </w:tcBorders>
            <w:shd w:val="clear" w:color="auto" w:fill="auto"/>
            <w:noWrap/>
            <w:vAlign w:val="center"/>
            <w:hideMark/>
          </w:tcPr>
          <w:p w:rsidR="006A4FDF" w:rsidRPr="00ED4380" w:rsidRDefault="006A4FDF" w:rsidP="00D92726">
            <w:pPr>
              <w:jc w:val="center"/>
              <w:rPr>
                <w:rFonts w:ascii="Times New Roman" w:eastAsia="Times New Roman" w:hAnsi="Times New Roman" w:cs="Times New Roman"/>
                <w:b/>
                <w:bCs/>
                <w:color w:val="000000"/>
                <w:sz w:val="21"/>
                <w:szCs w:val="21"/>
              </w:rPr>
            </w:pPr>
            <w:r w:rsidRPr="00ED4380">
              <w:rPr>
                <w:rFonts w:ascii="Times New Roman" w:eastAsia="Times New Roman" w:hAnsi="Times New Roman" w:cs="Times New Roman"/>
                <w:b/>
                <w:bCs/>
                <w:color w:val="000000"/>
                <w:sz w:val="21"/>
                <w:szCs w:val="21"/>
              </w:rPr>
              <w:t>Margen minorista</w:t>
            </w:r>
          </w:p>
        </w:tc>
        <w:tc>
          <w:tcPr>
            <w:tcW w:w="1843" w:type="dxa"/>
            <w:tcBorders>
              <w:top w:val="nil"/>
              <w:left w:val="nil"/>
              <w:bottom w:val="single" w:sz="4" w:space="0" w:color="auto"/>
              <w:right w:val="single" w:sz="4" w:space="0" w:color="auto"/>
            </w:tcBorders>
            <w:shd w:val="clear" w:color="auto" w:fill="auto"/>
            <w:vAlign w:val="center"/>
            <w:hideMark/>
          </w:tcPr>
          <w:p w:rsidR="006A4FDF" w:rsidRPr="00ED4380" w:rsidRDefault="006A4FDF" w:rsidP="00D92726">
            <w:pPr>
              <w:jc w:val="center"/>
              <w:rPr>
                <w:rFonts w:ascii="Times New Roman" w:eastAsia="Times New Roman" w:hAnsi="Times New Roman" w:cs="Times New Roman"/>
                <w:color w:val="000000"/>
                <w:sz w:val="21"/>
                <w:szCs w:val="21"/>
              </w:rPr>
            </w:pPr>
            <w:r w:rsidRPr="00ED4380">
              <w:rPr>
                <w:rFonts w:ascii="Times New Roman" w:eastAsia="Times New Roman" w:hAnsi="Times New Roman" w:cs="Times New Roman"/>
                <w:color w:val="000000"/>
                <w:sz w:val="21"/>
                <w:szCs w:val="21"/>
              </w:rPr>
              <w:t>CONFIDENCIAL</w:t>
            </w:r>
          </w:p>
        </w:tc>
        <w:tc>
          <w:tcPr>
            <w:tcW w:w="1559" w:type="dxa"/>
            <w:tcBorders>
              <w:top w:val="nil"/>
              <w:left w:val="nil"/>
              <w:bottom w:val="single" w:sz="4" w:space="0" w:color="auto"/>
              <w:right w:val="single" w:sz="4" w:space="0" w:color="auto"/>
            </w:tcBorders>
            <w:shd w:val="clear" w:color="auto" w:fill="auto"/>
            <w:vAlign w:val="center"/>
            <w:hideMark/>
          </w:tcPr>
          <w:p w:rsidR="006A4FDF" w:rsidRPr="00ED4380" w:rsidRDefault="006A4FDF" w:rsidP="00D92726">
            <w:pPr>
              <w:jc w:val="center"/>
              <w:rPr>
                <w:rFonts w:ascii="Times New Roman" w:eastAsia="Times New Roman" w:hAnsi="Times New Roman" w:cs="Times New Roman"/>
                <w:color w:val="000000"/>
                <w:sz w:val="21"/>
                <w:szCs w:val="21"/>
              </w:rPr>
            </w:pPr>
            <w:r w:rsidRPr="00ED4380">
              <w:rPr>
                <w:rFonts w:ascii="Times New Roman" w:eastAsia="Times New Roman" w:hAnsi="Times New Roman" w:cs="Times New Roman"/>
                <w:color w:val="000000"/>
                <w:sz w:val="21"/>
                <w:szCs w:val="21"/>
              </w:rPr>
              <w:t>CONFIDENCIAL</w:t>
            </w:r>
          </w:p>
        </w:tc>
        <w:tc>
          <w:tcPr>
            <w:tcW w:w="1559" w:type="dxa"/>
            <w:tcBorders>
              <w:top w:val="nil"/>
              <w:left w:val="nil"/>
              <w:bottom w:val="single" w:sz="4" w:space="0" w:color="auto"/>
              <w:right w:val="single" w:sz="4" w:space="0" w:color="auto"/>
            </w:tcBorders>
            <w:shd w:val="clear" w:color="auto" w:fill="auto"/>
            <w:vAlign w:val="center"/>
            <w:hideMark/>
          </w:tcPr>
          <w:p w:rsidR="006A4FDF" w:rsidRPr="00ED4380" w:rsidRDefault="006A4FDF" w:rsidP="00D92726">
            <w:pPr>
              <w:jc w:val="center"/>
              <w:rPr>
                <w:rFonts w:ascii="Times New Roman" w:eastAsia="Times New Roman" w:hAnsi="Times New Roman" w:cs="Times New Roman"/>
                <w:color w:val="000000"/>
                <w:sz w:val="21"/>
                <w:szCs w:val="21"/>
              </w:rPr>
            </w:pPr>
            <w:r w:rsidRPr="00ED4380">
              <w:rPr>
                <w:rFonts w:ascii="Times New Roman" w:eastAsia="Times New Roman" w:hAnsi="Times New Roman" w:cs="Times New Roman"/>
                <w:color w:val="000000"/>
                <w:sz w:val="21"/>
                <w:szCs w:val="21"/>
              </w:rPr>
              <w:t>CONFIDENCIAL</w:t>
            </w:r>
          </w:p>
        </w:tc>
        <w:tc>
          <w:tcPr>
            <w:tcW w:w="1962" w:type="dxa"/>
            <w:tcBorders>
              <w:top w:val="nil"/>
              <w:left w:val="nil"/>
              <w:bottom w:val="single" w:sz="4" w:space="0" w:color="auto"/>
              <w:right w:val="single" w:sz="4" w:space="0" w:color="auto"/>
            </w:tcBorders>
            <w:shd w:val="clear" w:color="auto" w:fill="auto"/>
            <w:vAlign w:val="center"/>
            <w:hideMark/>
          </w:tcPr>
          <w:p w:rsidR="006A4FDF" w:rsidRPr="00ED4380" w:rsidRDefault="006A4FDF" w:rsidP="00D92726">
            <w:pPr>
              <w:jc w:val="center"/>
              <w:rPr>
                <w:rFonts w:ascii="Times New Roman" w:eastAsia="Times New Roman" w:hAnsi="Times New Roman" w:cs="Times New Roman"/>
                <w:color w:val="000000"/>
                <w:sz w:val="21"/>
                <w:szCs w:val="21"/>
              </w:rPr>
            </w:pPr>
            <w:r w:rsidRPr="00ED4380">
              <w:rPr>
                <w:rFonts w:ascii="Times New Roman" w:eastAsia="Times New Roman" w:hAnsi="Times New Roman" w:cs="Times New Roman"/>
                <w:color w:val="000000"/>
                <w:sz w:val="21"/>
                <w:szCs w:val="21"/>
              </w:rPr>
              <w:t>CONFIDENCIAL</w:t>
            </w:r>
          </w:p>
        </w:tc>
      </w:tr>
      <w:tr w:rsidR="006A4FDF" w:rsidRPr="00ED4380" w:rsidTr="00D92726">
        <w:trPr>
          <w:trHeight w:val="525"/>
        </w:trPr>
        <w:tc>
          <w:tcPr>
            <w:tcW w:w="372" w:type="dxa"/>
            <w:vMerge/>
            <w:tcBorders>
              <w:top w:val="nil"/>
              <w:left w:val="single" w:sz="4" w:space="0" w:color="auto"/>
              <w:bottom w:val="single" w:sz="4" w:space="0" w:color="auto"/>
              <w:right w:val="single" w:sz="4" w:space="0" w:color="auto"/>
            </w:tcBorders>
            <w:vAlign w:val="center"/>
            <w:hideMark/>
          </w:tcPr>
          <w:p w:rsidR="006A4FDF" w:rsidRPr="00ED4380" w:rsidRDefault="006A4FDF" w:rsidP="00D92726">
            <w:pPr>
              <w:rPr>
                <w:rFonts w:ascii="Times New Roman" w:eastAsia="Times New Roman" w:hAnsi="Times New Roman" w:cs="Times New Roman"/>
                <w:b/>
                <w:bCs/>
                <w:color w:val="000000"/>
                <w:sz w:val="21"/>
                <w:szCs w:val="21"/>
              </w:rPr>
            </w:pPr>
          </w:p>
        </w:tc>
        <w:tc>
          <w:tcPr>
            <w:tcW w:w="1613" w:type="dxa"/>
            <w:tcBorders>
              <w:top w:val="nil"/>
              <w:left w:val="nil"/>
              <w:bottom w:val="single" w:sz="4" w:space="0" w:color="auto"/>
              <w:right w:val="single" w:sz="4" w:space="0" w:color="auto"/>
            </w:tcBorders>
            <w:shd w:val="clear" w:color="auto" w:fill="auto"/>
            <w:noWrap/>
            <w:vAlign w:val="center"/>
            <w:hideMark/>
          </w:tcPr>
          <w:p w:rsidR="006A4FDF" w:rsidRPr="00ED4380" w:rsidRDefault="006A4FDF" w:rsidP="00D92726">
            <w:pPr>
              <w:jc w:val="center"/>
              <w:rPr>
                <w:rFonts w:ascii="Times New Roman" w:eastAsia="Times New Roman" w:hAnsi="Times New Roman" w:cs="Times New Roman"/>
                <w:b/>
                <w:bCs/>
                <w:color w:val="000000"/>
                <w:sz w:val="21"/>
                <w:szCs w:val="21"/>
              </w:rPr>
            </w:pPr>
            <w:r w:rsidRPr="00ED4380">
              <w:rPr>
                <w:rFonts w:ascii="Times New Roman" w:eastAsia="Times New Roman" w:hAnsi="Times New Roman" w:cs="Times New Roman"/>
                <w:b/>
                <w:bCs/>
                <w:color w:val="000000"/>
                <w:sz w:val="21"/>
                <w:szCs w:val="21"/>
              </w:rPr>
              <w:t>Margen mayorista</w:t>
            </w:r>
          </w:p>
        </w:tc>
        <w:tc>
          <w:tcPr>
            <w:tcW w:w="1843" w:type="dxa"/>
            <w:tcBorders>
              <w:top w:val="nil"/>
              <w:left w:val="nil"/>
              <w:bottom w:val="single" w:sz="4" w:space="0" w:color="auto"/>
              <w:right w:val="single" w:sz="4" w:space="0" w:color="auto"/>
            </w:tcBorders>
            <w:shd w:val="clear" w:color="auto" w:fill="auto"/>
            <w:vAlign w:val="center"/>
            <w:hideMark/>
          </w:tcPr>
          <w:p w:rsidR="006A4FDF" w:rsidRPr="00ED4380" w:rsidRDefault="006A4FDF" w:rsidP="00D92726">
            <w:pPr>
              <w:jc w:val="center"/>
              <w:rPr>
                <w:rFonts w:ascii="Times New Roman" w:eastAsia="Times New Roman" w:hAnsi="Times New Roman" w:cs="Times New Roman"/>
                <w:color w:val="000000"/>
                <w:sz w:val="21"/>
                <w:szCs w:val="21"/>
              </w:rPr>
            </w:pPr>
            <w:r w:rsidRPr="00ED4380">
              <w:rPr>
                <w:rFonts w:ascii="Times New Roman" w:eastAsia="Times New Roman" w:hAnsi="Times New Roman" w:cs="Times New Roman"/>
                <w:color w:val="000000"/>
                <w:sz w:val="21"/>
                <w:szCs w:val="21"/>
              </w:rPr>
              <w:t>CONFIDENCIAL</w:t>
            </w:r>
          </w:p>
        </w:tc>
        <w:tc>
          <w:tcPr>
            <w:tcW w:w="1559" w:type="dxa"/>
            <w:tcBorders>
              <w:top w:val="nil"/>
              <w:left w:val="nil"/>
              <w:bottom w:val="single" w:sz="4" w:space="0" w:color="auto"/>
              <w:right w:val="single" w:sz="4" w:space="0" w:color="auto"/>
            </w:tcBorders>
            <w:shd w:val="clear" w:color="auto" w:fill="auto"/>
            <w:vAlign w:val="center"/>
            <w:hideMark/>
          </w:tcPr>
          <w:p w:rsidR="006A4FDF" w:rsidRPr="00ED4380" w:rsidRDefault="006A4FDF" w:rsidP="00D92726">
            <w:pPr>
              <w:jc w:val="center"/>
              <w:rPr>
                <w:rFonts w:ascii="Times New Roman" w:eastAsia="Times New Roman" w:hAnsi="Times New Roman" w:cs="Times New Roman"/>
                <w:color w:val="000000"/>
                <w:sz w:val="21"/>
                <w:szCs w:val="21"/>
              </w:rPr>
            </w:pPr>
            <w:r w:rsidRPr="00ED4380">
              <w:rPr>
                <w:rFonts w:ascii="Times New Roman" w:eastAsia="Times New Roman" w:hAnsi="Times New Roman" w:cs="Times New Roman"/>
                <w:color w:val="000000"/>
                <w:sz w:val="21"/>
                <w:szCs w:val="21"/>
              </w:rPr>
              <w:t>CONFIDENCIAL</w:t>
            </w:r>
          </w:p>
        </w:tc>
        <w:tc>
          <w:tcPr>
            <w:tcW w:w="1559" w:type="dxa"/>
            <w:tcBorders>
              <w:top w:val="nil"/>
              <w:left w:val="nil"/>
              <w:bottom w:val="single" w:sz="4" w:space="0" w:color="auto"/>
              <w:right w:val="single" w:sz="4" w:space="0" w:color="auto"/>
            </w:tcBorders>
            <w:shd w:val="clear" w:color="auto" w:fill="auto"/>
            <w:vAlign w:val="center"/>
            <w:hideMark/>
          </w:tcPr>
          <w:p w:rsidR="006A4FDF" w:rsidRPr="00ED4380" w:rsidRDefault="006A4FDF" w:rsidP="00D92726">
            <w:pPr>
              <w:jc w:val="center"/>
              <w:rPr>
                <w:rFonts w:ascii="Times New Roman" w:eastAsia="Times New Roman" w:hAnsi="Times New Roman" w:cs="Times New Roman"/>
                <w:color w:val="000000"/>
                <w:sz w:val="21"/>
                <w:szCs w:val="21"/>
              </w:rPr>
            </w:pPr>
            <w:r w:rsidRPr="00ED4380">
              <w:rPr>
                <w:rFonts w:ascii="Times New Roman" w:eastAsia="Times New Roman" w:hAnsi="Times New Roman" w:cs="Times New Roman"/>
                <w:color w:val="000000"/>
                <w:sz w:val="21"/>
                <w:szCs w:val="21"/>
              </w:rPr>
              <w:t>CONFIDENCIAL</w:t>
            </w:r>
          </w:p>
        </w:tc>
        <w:tc>
          <w:tcPr>
            <w:tcW w:w="1962" w:type="dxa"/>
            <w:tcBorders>
              <w:top w:val="nil"/>
              <w:left w:val="nil"/>
              <w:bottom w:val="single" w:sz="4" w:space="0" w:color="auto"/>
              <w:right w:val="single" w:sz="4" w:space="0" w:color="auto"/>
            </w:tcBorders>
            <w:shd w:val="clear" w:color="auto" w:fill="auto"/>
            <w:vAlign w:val="center"/>
            <w:hideMark/>
          </w:tcPr>
          <w:p w:rsidR="006A4FDF" w:rsidRPr="00ED4380" w:rsidRDefault="006A4FDF" w:rsidP="00D92726">
            <w:pPr>
              <w:jc w:val="center"/>
              <w:rPr>
                <w:rFonts w:ascii="Times New Roman" w:eastAsia="Times New Roman" w:hAnsi="Times New Roman" w:cs="Times New Roman"/>
                <w:color w:val="000000"/>
                <w:sz w:val="21"/>
                <w:szCs w:val="21"/>
              </w:rPr>
            </w:pPr>
            <w:r w:rsidRPr="00ED4380">
              <w:rPr>
                <w:rFonts w:ascii="Times New Roman" w:eastAsia="Times New Roman" w:hAnsi="Times New Roman" w:cs="Times New Roman"/>
                <w:color w:val="000000"/>
                <w:sz w:val="21"/>
                <w:szCs w:val="21"/>
              </w:rPr>
              <w:t>CONFIDENCIAL</w:t>
            </w:r>
          </w:p>
        </w:tc>
      </w:tr>
      <w:tr w:rsidR="006A4FDF" w:rsidRPr="00ED4380" w:rsidTr="00D92726">
        <w:trPr>
          <w:trHeight w:val="400"/>
        </w:trPr>
        <w:tc>
          <w:tcPr>
            <w:tcW w:w="372" w:type="dxa"/>
            <w:tcBorders>
              <w:top w:val="nil"/>
              <w:left w:val="single" w:sz="4" w:space="0" w:color="auto"/>
              <w:bottom w:val="single" w:sz="4" w:space="0" w:color="auto"/>
              <w:right w:val="single" w:sz="4" w:space="0" w:color="auto"/>
            </w:tcBorders>
            <w:shd w:val="clear" w:color="auto" w:fill="auto"/>
            <w:noWrap/>
            <w:vAlign w:val="bottom"/>
            <w:hideMark/>
          </w:tcPr>
          <w:p w:rsidR="006A4FDF" w:rsidRPr="00ED4380" w:rsidRDefault="006A4FDF" w:rsidP="00D92726">
            <w:pPr>
              <w:rPr>
                <w:rFonts w:ascii="Times New Roman" w:eastAsia="Times New Roman" w:hAnsi="Times New Roman" w:cs="Times New Roman"/>
                <w:color w:val="000000"/>
                <w:sz w:val="21"/>
                <w:szCs w:val="21"/>
              </w:rPr>
            </w:pPr>
            <w:r w:rsidRPr="00ED4380">
              <w:rPr>
                <w:rFonts w:ascii="Times New Roman" w:eastAsia="Times New Roman" w:hAnsi="Times New Roman" w:cs="Times New Roman"/>
                <w:color w:val="000000"/>
                <w:sz w:val="21"/>
                <w:szCs w:val="21"/>
              </w:rPr>
              <w:t> </w:t>
            </w:r>
          </w:p>
        </w:tc>
        <w:tc>
          <w:tcPr>
            <w:tcW w:w="1613" w:type="dxa"/>
            <w:tcBorders>
              <w:top w:val="nil"/>
              <w:left w:val="nil"/>
              <w:bottom w:val="single" w:sz="4" w:space="0" w:color="auto"/>
              <w:right w:val="single" w:sz="4" w:space="0" w:color="auto"/>
            </w:tcBorders>
            <w:shd w:val="clear" w:color="auto" w:fill="auto"/>
            <w:noWrap/>
            <w:vAlign w:val="center"/>
            <w:hideMark/>
          </w:tcPr>
          <w:p w:rsidR="006A4FDF" w:rsidRPr="00ED4380" w:rsidRDefault="006A4FDF" w:rsidP="00D92726">
            <w:pPr>
              <w:jc w:val="center"/>
              <w:rPr>
                <w:rFonts w:ascii="Times New Roman" w:eastAsia="Times New Roman" w:hAnsi="Times New Roman" w:cs="Times New Roman"/>
                <w:b/>
                <w:bCs/>
                <w:color w:val="000000"/>
                <w:sz w:val="21"/>
                <w:szCs w:val="21"/>
              </w:rPr>
            </w:pPr>
            <w:r w:rsidRPr="00ED4380">
              <w:rPr>
                <w:rFonts w:ascii="Times New Roman" w:eastAsia="Times New Roman" w:hAnsi="Times New Roman" w:cs="Times New Roman"/>
                <w:b/>
                <w:bCs/>
                <w:color w:val="000000"/>
                <w:sz w:val="21"/>
                <w:szCs w:val="21"/>
              </w:rPr>
              <w:t>Flete Zona Oriental</w:t>
            </w:r>
          </w:p>
        </w:tc>
        <w:tc>
          <w:tcPr>
            <w:tcW w:w="1843" w:type="dxa"/>
            <w:tcBorders>
              <w:top w:val="nil"/>
              <w:left w:val="nil"/>
              <w:bottom w:val="single" w:sz="4" w:space="0" w:color="auto"/>
              <w:right w:val="single" w:sz="4" w:space="0" w:color="auto"/>
            </w:tcBorders>
            <w:shd w:val="clear" w:color="auto" w:fill="auto"/>
            <w:noWrap/>
            <w:vAlign w:val="center"/>
            <w:hideMark/>
          </w:tcPr>
          <w:p w:rsidR="006A4FDF" w:rsidRPr="00ED4380" w:rsidRDefault="006A4FDF" w:rsidP="00D92726">
            <w:pPr>
              <w:jc w:val="center"/>
              <w:rPr>
                <w:rFonts w:ascii="Times New Roman" w:eastAsia="Times New Roman" w:hAnsi="Times New Roman" w:cs="Times New Roman"/>
                <w:color w:val="000000"/>
                <w:sz w:val="21"/>
                <w:szCs w:val="21"/>
              </w:rPr>
            </w:pPr>
            <w:r w:rsidRPr="00ED4380">
              <w:rPr>
                <w:rFonts w:ascii="Times New Roman" w:eastAsia="Times New Roman" w:hAnsi="Times New Roman" w:cs="Times New Roman"/>
                <w:color w:val="000000"/>
                <w:sz w:val="21"/>
                <w:szCs w:val="21"/>
              </w:rPr>
              <w:t>$0.074</w:t>
            </w:r>
          </w:p>
        </w:tc>
        <w:tc>
          <w:tcPr>
            <w:tcW w:w="1559" w:type="dxa"/>
            <w:tcBorders>
              <w:top w:val="nil"/>
              <w:left w:val="nil"/>
              <w:bottom w:val="single" w:sz="4" w:space="0" w:color="auto"/>
              <w:right w:val="single" w:sz="4" w:space="0" w:color="auto"/>
            </w:tcBorders>
            <w:shd w:val="clear" w:color="auto" w:fill="auto"/>
            <w:noWrap/>
            <w:vAlign w:val="center"/>
            <w:hideMark/>
          </w:tcPr>
          <w:p w:rsidR="006A4FDF" w:rsidRPr="00ED4380" w:rsidRDefault="006A4FDF" w:rsidP="00D92726">
            <w:pPr>
              <w:jc w:val="center"/>
              <w:rPr>
                <w:rFonts w:ascii="Times New Roman" w:eastAsia="Times New Roman" w:hAnsi="Times New Roman" w:cs="Times New Roman"/>
                <w:color w:val="000000"/>
                <w:sz w:val="21"/>
                <w:szCs w:val="21"/>
              </w:rPr>
            </w:pPr>
            <w:r w:rsidRPr="00ED4380">
              <w:rPr>
                <w:rFonts w:ascii="Times New Roman" w:eastAsia="Times New Roman" w:hAnsi="Times New Roman" w:cs="Times New Roman"/>
                <w:color w:val="000000"/>
                <w:sz w:val="21"/>
                <w:szCs w:val="21"/>
              </w:rPr>
              <w:t>$0.074</w:t>
            </w:r>
          </w:p>
        </w:tc>
        <w:tc>
          <w:tcPr>
            <w:tcW w:w="1559" w:type="dxa"/>
            <w:tcBorders>
              <w:top w:val="nil"/>
              <w:left w:val="nil"/>
              <w:bottom w:val="single" w:sz="4" w:space="0" w:color="auto"/>
              <w:right w:val="single" w:sz="4" w:space="0" w:color="auto"/>
            </w:tcBorders>
            <w:shd w:val="clear" w:color="auto" w:fill="auto"/>
            <w:noWrap/>
            <w:vAlign w:val="center"/>
            <w:hideMark/>
          </w:tcPr>
          <w:p w:rsidR="006A4FDF" w:rsidRPr="00ED4380" w:rsidRDefault="006A4FDF" w:rsidP="00D92726">
            <w:pPr>
              <w:jc w:val="center"/>
              <w:rPr>
                <w:rFonts w:ascii="Times New Roman" w:eastAsia="Times New Roman" w:hAnsi="Times New Roman" w:cs="Times New Roman"/>
                <w:color w:val="000000"/>
                <w:sz w:val="21"/>
                <w:szCs w:val="21"/>
              </w:rPr>
            </w:pPr>
            <w:r w:rsidRPr="00ED4380">
              <w:rPr>
                <w:rFonts w:ascii="Times New Roman" w:eastAsia="Times New Roman" w:hAnsi="Times New Roman" w:cs="Times New Roman"/>
                <w:color w:val="000000"/>
                <w:sz w:val="21"/>
                <w:szCs w:val="21"/>
              </w:rPr>
              <w:t>$0.074</w:t>
            </w:r>
          </w:p>
        </w:tc>
        <w:tc>
          <w:tcPr>
            <w:tcW w:w="1962" w:type="dxa"/>
            <w:tcBorders>
              <w:top w:val="nil"/>
              <w:left w:val="nil"/>
              <w:bottom w:val="single" w:sz="4" w:space="0" w:color="auto"/>
              <w:right w:val="single" w:sz="4" w:space="0" w:color="auto"/>
            </w:tcBorders>
            <w:shd w:val="clear" w:color="auto" w:fill="auto"/>
            <w:noWrap/>
            <w:vAlign w:val="center"/>
            <w:hideMark/>
          </w:tcPr>
          <w:p w:rsidR="006A4FDF" w:rsidRPr="00ED4380" w:rsidRDefault="006A4FDF" w:rsidP="00D92726">
            <w:pPr>
              <w:jc w:val="center"/>
              <w:rPr>
                <w:rFonts w:ascii="Times New Roman" w:eastAsia="Times New Roman" w:hAnsi="Times New Roman" w:cs="Times New Roman"/>
                <w:color w:val="000000"/>
                <w:sz w:val="21"/>
                <w:szCs w:val="21"/>
              </w:rPr>
            </w:pPr>
            <w:r w:rsidRPr="00ED4380">
              <w:rPr>
                <w:rFonts w:ascii="Times New Roman" w:eastAsia="Times New Roman" w:hAnsi="Times New Roman" w:cs="Times New Roman"/>
                <w:color w:val="000000"/>
                <w:sz w:val="21"/>
                <w:szCs w:val="21"/>
              </w:rPr>
              <w:t>$0.074</w:t>
            </w:r>
          </w:p>
        </w:tc>
      </w:tr>
      <w:tr w:rsidR="006A4FDF" w:rsidRPr="00ED4380" w:rsidTr="00D92726">
        <w:trPr>
          <w:trHeight w:val="1140"/>
        </w:trPr>
        <w:tc>
          <w:tcPr>
            <w:tcW w:w="372"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6A4FDF" w:rsidRPr="00ED4380" w:rsidRDefault="006A4FDF" w:rsidP="00D92726">
            <w:pPr>
              <w:jc w:val="center"/>
              <w:rPr>
                <w:rFonts w:ascii="Times New Roman" w:eastAsia="Times New Roman" w:hAnsi="Times New Roman" w:cs="Times New Roman"/>
                <w:b/>
                <w:bCs/>
                <w:color w:val="000000"/>
                <w:sz w:val="21"/>
                <w:szCs w:val="21"/>
              </w:rPr>
            </w:pPr>
            <w:r w:rsidRPr="00ED4380">
              <w:rPr>
                <w:rFonts w:ascii="Times New Roman" w:eastAsia="Times New Roman" w:hAnsi="Times New Roman" w:cs="Times New Roman"/>
                <w:b/>
                <w:bCs/>
                <w:color w:val="000000"/>
                <w:sz w:val="21"/>
                <w:szCs w:val="21"/>
              </w:rPr>
              <w:t>Tributos</w:t>
            </w:r>
          </w:p>
        </w:tc>
        <w:tc>
          <w:tcPr>
            <w:tcW w:w="1613" w:type="dxa"/>
            <w:tcBorders>
              <w:top w:val="nil"/>
              <w:left w:val="nil"/>
              <w:bottom w:val="single" w:sz="4" w:space="0" w:color="auto"/>
              <w:right w:val="single" w:sz="4" w:space="0" w:color="auto"/>
            </w:tcBorders>
            <w:shd w:val="clear" w:color="auto" w:fill="auto"/>
            <w:noWrap/>
            <w:vAlign w:val="center"/>
            <w:hideMark/>
          </w:tcPr>
          <w:p w:rsidR="006A4FDF" w:rsidRPr="00ED4380" w:rsidRDefault="006A4FDF" w:rsidP="00D92726">
            <w:pPr>
              <w:jc w:val="center"/>
              <w:rPr>
                <w:rFonts w:ascii="Times New Roman" w:eastAsia="Times New Roman" w:hAnsi="Times New Roman" w:cs="Times New Roman"/>
                <w:b/>
                <w:bCs/>
                <w:color w:val="000000"/>
                <w:sz w:val="21"/>
                <w:szCs w:val="21"/>
              </w:rPr>
            </w:pPr>
            <w:r w:rsidRPr="00ED4380">
              <w:rPr>
                <w:rFonts w:ascii="Times New Roman" w:eastAsia="Times New Roman" w:hAnsi="Times New Roman" w:cs="Times New Roman"/>
                <w:b/>
                <w:bCs/>
                <w:color w:val="000000"/>
                <w:sz w:val="21"/>
                <w:szCs w:val="21"/>
              </w:rPr>
              <w:t>IEC Zona Oriental</w:t>
            </w:r>
          </w:p>
        </w:tc>
        <w:tc>
          <w:tcPr>
            <w:tcW w:w="1843" w:type="dxa"/>
            <w:tcBorders>
              <w:top w:val="nil"/>
              <w:left w:val="nil"/>
              <w:bottom w:val="single" w:sz="4" w:space="0" w:color="auto"/>
              <w:right w:val="single" w:sz="4" w:space="0" w:color="auto"/>
            </w:tcBorders>
            <w:shd w:val="clear" w:color="auto" w:fill="auto"/>
            <w:vAlign w:val="center"/>
            <w:hideMark/>
          </w:tcPr>
          <w:p w:rsidR="006A4FDF" w:rsidRPr="00ED4380" w:rsidRDefault="006A4FDF" w:rsidP="00D92726">
            <w:pPr>
              <w:jc w:val="center"/>
              <w:rPr>
                <w:rFonts w:ascii="Times New Roman" w:eastAsia="Times New Roman" w:hAnsi="Times New Roman" w:cs="Times New Roman"/>
                <w:color w:val="000000"/>
                <w:sz w:val="21"/>
                <w:szCs w:val="21"/>
              </w:rPr>
            </w:pPr>
            <w:r w:rsidRPr="00ED4380">
              <w:rPr>
                <w:rFonts w:ascii="Times New Roman" w:eastAsia="Times New Roman" w:hAnsi="Times New Roman" w:cs="Times New Roman"/>
                <w:color w:val="000000"/>
                <w:sz w:val="21"/>
                <w:szCs w:val="21"/>
              </w:rPr>
              <w:t>Costo variable determinado por el precio internacional del barril del crudo del WTI</w:t>
            </w:r>
          </w:p>
        </w:tc>
        <w:tc>
          <w:tcPr>
            <w:tcW w:w="1559" w:type="dxa"/>
            <w:tcBorders>
              <w:top w:val="nil"/>
              <w:left w:val="nil"/>
              <w:bottom w:val="single" w:sz="4" w:space="0" w:color="auto"/>
              <w:right w:val="single" w:sz="4" w:space="0" w:color="auto"/>
            </w:tcBorders>
            <w:shd w:val="clear" w:color="auto" w:fill="auto"/>
            <w:vAlign w:val="center"/>
            <w:hideMark/>
          </w:tcPr>
          <w:p w:rsidR="006A4FDF" w:rsidRPr="00ED4380" w:rsidRDefault="006A4FDF" w:rsidP="00D92726">
            <w:pPr>
              <w:jc w:val="center"/>
              <w:rPr>
                <w:rFonts w:ascii="Times New Roman" w:eastAsia="Times New Roman" w:hAnsi="Times New Roman" w:cs="Times New Roman"/>
                <w:color w:val="000000"/>
                <w:sz w:val="21"/>
                <w:szCs w:val="21"/>
              </w:rPr>
            </w:pPr>
            <w:r w:rsidRPr="00ED4380">
              <w:rPr>
                <w:rFonts w:ascii="Times New Roman" w:eastAsia="Times New Roman" w:hAnsi="Times New Roman" w:cs="Times New Roman"/>
                <w:color w:val="000000"/>
                <w:sz w:val="21"/>
                <w:szCs w:val="21"/>
              </w:rPr>
              <w:t>Costo variable determinado por el precio internacional del barril del crudo del WTI</w:t>
            </w:r>
          </w:p>
        </w:tc>
        <w:tc>
          <w:tcPr>
            <w:tcW w:w="1559" w:type="dxa"/>
            <w:tcBorders>
              <w:top w:val="nil"/>
              <w:left w:val="nil"/>
              <w:bottom w:val="single" w:sz="4" w:space="0" w:color="auto"/>
              <w:right w:val="single" w:sz="4" w:space="0" w:color="auto"/>
            </w:tcBorders>
            <w:shd w:val="clear" w:color="auto" w:fill="auto"/>
            <w:vAlign w:val="center"/>
            <w:hideMark/>
          </w:tcPr>
          <w:p w:rsidR="006A4FDF" w:rsidRPr="00ED4380" w:rsidRDefault="006A4FDF" w:rsidP="00D92726">
            <w:pPr>
              <w:jc w:val="center"/>
              <w:rPr>
                <w:rFonts w:ascii="Times New Roman" w:eastAsia="Times New Roman" w:hAnsi="Times New Roman" w:cs="Times New Roman"/>
                <w:color w:val="000000"/>
                <w:sz w:val="21"/>
                <w:szCs w:val="21"/>
              </w:rPr>
            </w:pPr>
            <w:r w:rsidRPr="00ED4380">
              <w:rPr>
                <w:rFonts w:ascii="Times New Roman" w:eastAsia="Times New Roman" w:hAnsi="Times New Roman" w:cs="Times New Roman"/>
                <w:color w:val="000000"/>
                <w:sz w:val="21"/>
                <w:szCs w:val="21"/>
              </w:rPr>
              <w:t>Costo variable determinado por el precio internacional del barril del crudo del WTI</w:t>
            </w:r>
          </w:p>
        </w:tc>
        <w:tc>
          <w:tcPr>
            <w:tcW w:w="1962" w:type="dxa"/>
            <w:tcBorders>
              <w:top w:val="nil"/>
              <w:left w:val="nil"/>
              <w:bottom w:val="single" w:sz="4" w:space="0" w:color="auto"/>
              <w:right w:val="single" w:sz="4" w:space="0" w:color="auto"/>
            </w:tcBorders>
            <w:shd w:val="clear" w:color="auto" w:fill="auto"/>
            <w:vAlign w:val="center"/>
            <w:hideMark/>
          </w:tcPr>
          <w:p w:rsidR="006A4FDF" w:rsidRPr="00ED4380" w:rsidRDefault="006A4FDF" w:rsidP="00D92726">
            <w:pPr>
              <w:jc w:val="center"/>
              <w:rPr>
                <w:rFonts w:ascii="Times New Roman" w:eastAsia="Times New Roman" w:hAnsi="Times New Roman" w:cs="Times New Roman"/>
                <w:color w:val="000000"/>
                <w:sz w:val="21"/>
                <w:szCs w:val="21"/>
              </w:rPr>
            </w:pPr>
            <w:r w:rsidRPr="00ED4380">
              <w:rPr>
                <w:rFonts w:ascii="Times New Roman" w:eastAsia="Times New Roman" w:hAnsi="Times New Roman" w:cs="Times New Roman"/>
                <w:color w:val="000000"/>
                <w:sz w:val="21"/>
                <w:szCs w:val="21"/>
              </w:rPr>
              <w:t>Costo variable determinado por el precio internacional del barril del crudo del WTI</w:t>
            </w:r>
          </w:p>
        </w:tc>
      </w:tr>
      <w:tr w:rsidR="006A4FDF" w:rsidRPr="00ED4380" w:rsidTr="00D92726">
        <w:trPr>
          <w:trHeight w:val="300"/>
        </w:trPr>
        <w:tc>
          <w:tcPr>
            <w:tcW w:w="372" w:type="dxa"/>
            <w:vMerge/>
            <w:tcBorders>
              <w:top w:val="nil"/>
              <w:left w:val="single" w:sz="4" w:space="0" w:color="auto"/>
              <w:bottom w:val="single" w:sz="4" w:space="0" w:color="auto"/>
              <w:right w:val="single" w:sz="4" w:space="0" w:color="auto"/>
            </w:tcBorders>
            <w:vAlign w:val="center"/>
            <w:hideMark/>
          </w:tcPr>
          <w:p w:rsidR="006A4FDF" w:rsidRPr="00ED4380" w:rsidRDefault="006A4FDF" w:rsidP="00D92726">
            <w:pPr>
              <w:rPr>
                <w:rFonts w:ascii="Times New Roman" w:eastAsia="Times New Roman" w:hAnsi="Times New Roman" w:cs="Times New Roman"/>
                <w:b/>
                <w:bCs/>
                <w:color w:val="000000"/>
                <w:sz w:val="21"/>
                <w:szCs w:val="21"/>
              </w:rPr>
            </w:pPr>
          </w:p>
        </w:tc>
        <w:tc>
          <w:tcPr>
            <w:tcW w:w="1613" w:type="dxa"/>
            <w:tcBorders>
              <w:top w:val="nil"/>
              <w:left w:val="nil"/>
              <w:bottom w:val="single" w:sz="4" w:space="0" w:color="auto"/>
              <w:right w:val="single" w:sz="4" w:space="0" w:color="auto"/>
            </w:tcBorders>
            <w:shd w:val="clear" w:color="auto" w:fill="auto"/>
            <w:noWrap/>
            <w:vAlign w:val="center"/>
            <w:hideMark/>
          </w:tcPr>
          <w:p w:rsidR="006A4FDF" w:rsidRPr="00ED4380" w:rsidRDefault="006A4FDF" w:rsidP="00D92726">
            <w:pPr>
              <w:jc w:val="center"/>
              <w:rPr>
                <w:rFonts w:ascii="Times New Roman" w:eastAsia="Times New Roman" w:hAnsi="Times New Roman" w:cs="Times New Roman"/>
                <w:b/>
                <w:bCs/>
                <w:color w:val="000000"/>
                <w:sz w:val="21"/>
                <w:szCs w:val="21"/>
              </w:rPr>
            </w:pPr>
            <w:r w:rsidRPr="00ED4380">
              <w:rPr>
                <w:rFonts w:ascii="Times New Roman" w:eastAsia="Times New Roman" w:hAnsi="Times New Roman" w:cs="Times New Roman"/>
                <w:b/>
                <w:bCs/>
                <w:color w:val="000000"/>
                <w:sz w:val="21"/>
                <w:szCs w:val="21"/>
              </w:rPr>
              <w:t>FOVIAL</w:t>
            </w:r>
          </w:p>
        </w:tc>
        <w:tc>
          <w:tcPr>
            <w:tcW w:w="1843" w:type="dxa"/>
            <w:tcBorders>
              <w:top w:val="nil"/>
              <w:left w:val="nil"/>
              <w:bottom w:val="single" w:sz="4" w:space="0" w:color="auto"/>
              <w:right w:val="single" w:sz="4" w:space="0" w:color="auto"/>
            </w:tcBorders>
            <w:shd w:val="clear" w:color="auto" w:fill="auto"/>
            <w:noWrap/>
            <w:vAlign w:val="center"/>
            <w:hideMark/>
          </w:tcPr>
          <w:p w:rsidR="006A4FDF" w:rsidRPr="00ED4380" w:rsidRDefault="006A4FDF" w:rsidP="00D92726">
            <w:pPr>
              <w:jc w:val="center"/>
              <w:rPr>
                <w:rFonts w:ascii="Times New Roman" w:eastAsia="Times New Roman" w:hAnsi="Times New Roman" w:cs="Times New Roman"/>
                <w:color w:val="000000"/>
                <w:sz w:val="21"/>
                <w:szCs w:val="21"/>
              </w:rPr>
            </w:pPr>
            <w:r w:rsidRPr="00ED4380">
              <w:rPr>
                <w:rFonts w:ascii="Times New Roman" w:eastAsia="Times New Roman" w:hAnsi="Times New Roman" w:cs="Times New Roman"/>
                <w:color w:val="000000"/>
                <w:sz w:val="21"/>
                <w:szCs w:val="21"/>
              </w:rPr>
              <w:t>$0.20</w:t>
            </w:r>
          </w:p>
        </w:tc>
        <w:tc>
          <w:tcPr>
            <w:tcW w:w="1559" w:type="dxa"/>
            <w:tcBorders>
              <w:top w:val="nil"/>
              <w:left w:val="nil"/>
              <w:bottom w:val="single" w:sz="4" w:space="0" w:color="auto"/>
              <w:right w:val="single" w:sz="4" w:space="0" w:color="auto"/>
            </w:tcBorders>
            <w:shd w:val="clear" w:color="auto" w:fill="auto"/>
            <w:noWrap/>
            <w:vAlign w:val="center"/>
            <w:hideMark/>
          </w:tcPr>
          <w:p w:rsidR="006A4FDF" w:rsidRPr="00ED4380" w:rsidRDefault="006A4FDF" w:rsidP="00D92726">
            <w:pPr>
              <w:jc w:val="center"/>
              <w:rPr>
                <w:rFonts w:ascii="Times New Roman" w:eastAsia="Times New Roman" w:hAnsi="Times New Roman" w:cs="Times New Roman"/>
                <w:color w:val="000000"/>
                <w:sz w:val="21"/>
                <w:szCs w:val="21"/>
              </w:rPr>
            </w:pPr>
            <w:r w:rsidRPr="00ED4380">
              <w:rPr>
                <w:rFonts w:ascii="Times New Roman" w:eastAsia="Times New Roman" w:hAnsi="Times New Roman" w:cs="Times New Roman"/>
                <w:color w:val="000000"/>
                <w:sz w:val="21"/>
                <w:szCs w:val="21"/>
              </w:rPr>
              <w:t>$0.20</w:t>
            </w:r>
          </w:p>
        </w:tc>
        <w:tc>
          <w:tcPr>
            <w:tcW w:w="1559" w:type="dxa"/>
            <w:tcBorders>
              <w:top w:val="nil"/>
              <w:left w:val="nil"/>
              <w:bottom w:val="single" w:sz="4" w:space="0" w:color="auto"/>
              <w:right w:val="single" w:sz="4" w:space="0" w:color="auto"/>
            </w:tcBorders>
            <w:shd w:val="clear" w:color="auto" w:fill="auto"/>
            <w:noWrap/>
            <w:vAlign w:val="center"/>
            <w:hideMark/>
          </w:tcPr>
          <w:p w:rsidR="006A4FDF" w:rsidRPr="00ED4380" w:rsidRDefault="006A4FDF" w:rsidP="00D92726">
            <w:pPr>
              <w:jc w:val="center"/>
              <w:rPr>
                <w:rFonts w:ascii="Times New Roman" w:eastAsia="Times New Roman" w:hAnsi="Times New Roman" w:cs="Times New Roman"/>
                <w:color w:val="000000"/>
                <w:sz w:val="21"/>
                <w:szCs w:val="21"/>
              </w:rPr>
            </w:pPr>
            <w:r w:rsidRPr="00ED4380">
              <w:rPr>
                <w:rFonts w:ascii="Times New Roman" w:eastAsia="Times New Roman" w:hAnsi="Times New Roman" w:cs="Times New Roman"/>
                <w:color w:val="000000"/>
                <w:sz w:val="21"/>
                <w:szCs w:val="21"/>
              </w:rPr>
              <w:t>$0.20</w:t>
            </w:r>
          </w:p>
        </w:tc>
        <w:tc>
          <w:tcPr>
            <w:tcW w:w="1962" w:type="dxa"/>
            <w:tcBorders>
              <w:top w:val="nil"/>
              <w:left w:val="nil"/>
              <w:bottom w:val="single" w:sz="4" w:space="0" w:color="auto"/>
              <w:right w:val="single" w:sz="4" w:space="0" w:color="auto"/>
            </w:tcBorders>
            <w:shd w:val="clear" w:color="auto" w:fill="auto"/>
            <w:noWrap/>
            <w:vAlign w:val="center"/>
            <w:hideMark/>
          </w:tcPr>
          <w:p w:rsidR="006A4FDF" w:rsidRPr="00ED4380" w:rsidRDefault="006A4FDF" w:rsidP="00D92726">
            <w:pPr>
              <w:jc w:val="center"/>
              <w:rPr>
                <w:rFonts w:ascii="Times New Roman" w:eastAsia="Times New Roman" w:hAnsi="Times New Roman" w:cs="Times New Roman"/>
                <w:color w:val="000000"/>
                <w:sz w:val="21"/>
                <w:szCs w:val="21"/>
              </w:rPr>
            </w:pPr>
            <w:r w:rsidRPr="00ED4380">
              <w:rPr>
                <w:rFonts w:ascii="Times New Roman" w:eastAsia="Times New Roman" w:hAnsi="Times New Roman" w:cs="Times New Roman"/>
                <w:color w:val="000000"/>
                <w:sz w:val="21"/>
                <w:szCs w:val="21"/>
              </w:rPr>
              <w:t>$0.20</w:t>
            </w:r>
          </w:p>
        </w:tc>
      </w:tr>
      <w:tr w:rsidR="006A4FDF" w:rsidRPr="00ED4380" w:rsidTr="00D92726">
        <w:trPr>
          <w:trHeight w:val="300"/>
        </w:trPr>
        <w:tc>
          <w:tcPr>
            <w:tcW w:w="372" w:type="dxa"/>
            <w:vMerge/>
            <w:tcBorders>
              <w:top w:val="nil"/>
              <w:left w:val="single" w:sz="4" w:space="0" w:color="auto"/>
              <w:bottom w:val="single" w:sz="4" w:space="0" w:color="auto"/>
              <w:right w:val="single" w:sz="4" w:space="0" w:color="auto"/>
            </w:tcBorders>
            <w:vAlign w:val="center"/>
            <w:hideMark/>
          </w:tcPr>
          <w:p w:rsidR="006A4FDF" w:rsidRPr="00ED4380" w:rsidRDefault="006A4FDF" w:rsidP="00D92726">
            <w:pPr>
              <w:rPr>
                <w:rFonts w:ascii="Times New Roman" w:eastAsia="Times New Roman" w:hAnsi="Times New Roman" w:cs="Times New Roman"/>
                <w:b/>
                <w:bCs/>
                <w:color w:val="000000"/>
                <w:sz w:val="21"/>
                <w:szCs w:val="21"/>
              </w:rPr>
            </w:pPr>
          </w:p>
        </w:tc>
        <w:tc>
          <w:tcPr>
            <w:tcW w:w="1613" w:type="dxa"/>
            <w:tcBorders>
              <w:top w:val="nil"/>
              <w:left w:val="nil"/>
              <w:bottom w:val="single" w:sz="4" w:space="0" w:color="auto"/>
              <w:right w:val="single" w:sz="4" w:space="0" w:color="auto"/>
            </w:tcBorders>
            <w:shd w:val="clear" w:color="auto" w:fill="auto"/>
            <w:noWrap/>
            <w:vAlign w:val="center"/>
            <w:hideMark/>
          </w:tcPr>
          <w:p w:rsidR="006A4FDF" w:rsidRPr="00ED4380" w:rsidRDefault="006A4FDF" w:rsidP="00D92726">
            <w:pPr>
              <w:jc w:val="center"/>
              <w:rPr>
                <w:rFonts w:ascii="Times New Roman" w:eastAsia="Times New Roman" w:hAnsi="Times New Roman" w:cs="Times New Roman"/>
                <w:b/>
                <w:bCs/>
                <w:color w:val="000000"/>
                <w:sz w:val="21"/>
                <w:szCs w:val="21"/>
              </w:rPr>
            </w:pPr>
            <w:r w:rsidRPr="00ED4380">
              <w:rPr>
                <w:rFonts w:ascii="Times New Roman" w:eastAsia="Times New Roman" w:hAnsi="Times New Roman" w:cs="Times New Roman"/>
                <w:b/>
                <w:bCs/>
                <w:color w:val="000000"/>
                <w:sz w:val="21"/>
                <w:szCs w:val="21"/>
              </w:rPr>
              <w:t>COTRANS</w:t>
            </w:r>
          </w:p>
        </w:tc>
        <w:tc>
          <w:tcPr>
            <w:tcW w:w="1843" w:type="dxa"/>
            <w:tcBorders>
              <w:top w:val="nil"/>
              <w:left w:val="nil"/>
              <w:bottom w:val="single" w:sz="4" w:space="0" w:color="auto"/>
              <w:right w:val="single" w:sz="4" w:space="0" w:color="auto"/>
            </w:tcBorders>
            <w:shd w:val="clear" w:color="auto" w:fill="auto"/>
            <w:noWrap/>
            <w:vAlign w:val="center"/>
            <w:hideMark/>
          </w:tcPr>
          <w:p w:rsidR="006A4FDF" w:rsidRPr="00ED4380" w:rsidRDefault="006A4FDF" w:rsidP="00D92726">
            <w:pPr>
              <w:jc w:val="center"/>
              <w:rPr>
                <w:rFonts w:ascii="Times New Roman" w:eastAsia="Times New Roman" w:hAnsi="Times New Roman" w:cs="Times New Roman"/>
                <w:color w:val="000000"/>
                <w:sz w:val="21"/>
                <w:szCs w:val="21"/>
              </w:rPr>
            </w:pPr>
            <w:r w:rsidRPr="00ED4380">
              <w:rPr>
                <w:rFonts w:ascii="Times New Roman" w:eastAsia="Times New Roman" w:hAnsi="Times New Roman" w:cs="Times New Roman"/>
                <w:color w:val="000000"/>
                <w:sz w:val="21"/>
                <w:szCs w:val="21"/>
              </w:rPr>
              <w:t>$0.10</w:t>
            </w:r>
          </w:p>
        </w:tc>
        <w:tc>
          <w:tcPr>
            <w:tcW w:w="1559" w:type="dxa"/>
            <w:tcBorders>
              <w:top w:val="nil"/>
              <w:left w:val="nil"/>
              <w:bottom w:val="single" w:sz="4" w:space="0" w:color="auto"/>
              <w:right w:val="single" w:sz="4" w:space="0" w:color="auto"/>
            </w:tcBorders>
            <w:shd w:val="clear" w:color="auto" w:fill="auto"/>
            <w:noWrap/>
            <w:vAlign w:val="center"/>
            <w:hideMark/>
          </w:tcPr>
          <w:p w:rsidR="006A4FDF" w:rsidRPr="00ED4380" w:rsidRDefault="006A4FDF" w:rsidP="00D92726">
            <w:pPr>
              <w:jc w:val="center"/>
              <w:rPr>
                <w:rFonts w:ascii="Times New Roman" w:eastAsia="Times New Roman" w:hAnsi="Times New Roman" w:cs="Times New Roman"/>
                <w:color w:val="000000"/>
                <w:sz w:val="21"/>
                <w:szCs w:val="21"/>
              </w:rPr>
            </w:pPr>
            <w:r w:rsidRPr="00ED4380">
              <w:rPr>
                <w:rFonts w:ascii="Times New Roman" w:eastAsia="Times New Roman" w:hAnsi="Times New Roman" w:cs="Times New Roman"/>
                <w:color w:val="000000"/>
                <w:sz w:val="21"/>
                <w:szCs w:val="21"/>
              </w:rPr>
              <w:t>$0.10</w:t>
            </w:r>
          </w:p>
        </w:tc>
        <w:tc>
          <w:tcPr>
            <w:tcW w:w="1559" w:type="dxa"/>
            <w:tcBorders>
              <w:top w:val="nil"/>
              <w:left w:val="nil"/>
              <w:bottom w:val="single" w:sz="4" w:space="0" w:color="auto"/>
              <w:right w:val="single" w:sz="4" w:space="0" w:color="auto"/>
            </w:tcBorders>
            <w:shd w:val="clear" w:color="auto" w:fill="auto"/>
            <w:noWrap/>
            <w:vAlign w:val="center"/>
            <w:hideMark/>
          </w:tcPr>
          <w:p w:rsidR="006A4FDF" w:rsidRPr="00ED4380" w:rsidRDefault="006A4FDF" w:rsidP="00D92726">
            <w:pPr>
              <w:jc w:val="center"/>
              <w:rPr>
                <w:rFonts w:ascii="Times New Roman" w:eastAsia="Times New Roman" w:hAnsi="Times New Roman" w:cs="Times New Roman"/>
                <w:color w:val="000000"/>
                <w:sz w:val="21"/>
                <w:szCs w:val="21"/>
              </w:rPr>
            </w:pPr>
            <w:r w:rsidRPr="00ED4380">
              <w:rPr>
                <w:rFonts w:ascii="Times New Roman" w:eastAsia="Times New Roman" w:hAnsi="Times New Roman" w:cs="Times New Roman"/>
                <w:color w:val="000000"/>
                <w:sz w:val="21"/>
                <w:szCs w:val="21"/>
              </w:rPr>
              <w:t>$0.10</w:t>
            </w:r>
          </w:p>
        </w:tc>
        <w:tc>
          <w:tcPr>
            <w:tcW w:w="1962" w:type="dxa"/>
            <w:tcBorders>
              <w:top w:val="nil"/>
              <w:left w:val="nil"/>
              <w:bottom w:val="single" w:sz="4" w:space="0" w:color="auto"/>
              <w:right w:val="single" w:sz="4" w:space="0" w:color="auto"/>
            </w:tcBorders>
            <w:shd w:val="clear" w:color="auto" w:fill="auto"/>
            <w:noWrap/>
            <w:vAlign w:val="center"/>
            <w:hideMark/>
          </w:tcPr>
          <w:p w:rsidR="006A4FDF" w:rsidRPr="00ED4380" w:rsidRDefault="006A4FDF" w:rsidP="00D92726">
            <w:pPr>
              <w:jc w:val="center"/>
              <w:rPr>
                <w:rFonts w:ascii="Times New Roman" w:eastAsia="Times New Roman" w:hAnsi="Times New Roman" w:cs="Times New Roman"/>
                <w:color w:val="000000"/>
                <w:sz w:val="21"/>
                <w:szCs w:val="21"/>
              </w:rPr>
            </w:pPr>
            <w:r w:rsidRPr="00ED4380">
              <w:rPr>
                <w:rFonts w:ascii="Times New Roman" w:eastAsia="Times New Roman" w:hAnsi="Times New Roman" w:cs="Times New Roman"/>
                <w:color w:val="000000"/>
                <w:sz w:val="21"/>
                <w:szCs w:val="21"/>
              </w:rPr>
              <w:t>$0.10</w:t>
            </w:r>
          </w:p>
        </w:tc>
      </w:tr>
      <w:tr w:rsidR="006A4FDF" w:rsidRPr="00ED4380" w:rsidTr="00D92726">
        <w:trPr>
          <w:trHeight w:val="360"/>
        </w:trPr>
        <w:tc>
          <w:tcPr>
            <w:tcW w:w="372" w:type="dxa"/>
            <w:vMerge/>
            <w:tcBorders>
              <w:top w:val="nil"/>
              <w:left w:val="single" w:sz="4" w:space="0" w:color="auto"/>
              <w:bottom w:val="single" w:sz="4" w:space="0" w:color="auto"/>
              <w:right w:val="single" w:sz="4" w:space="0" w:color="auto"/>
            </w:tcBorders>
            <w:vAlign w:val="center"/>
            <w:hideMark/>
          </w:tcPr>
          <w:p w:rsidR="006A4FDF" w:rsidRPr="00ED4380" w:rsidRDefault="006A4FDF" w:rsidP="00D92726">
            <w:pPr>
              <w:rPr>
                <w:rFonts w:ascii="Times New Roman" w:eastAsia="Times New Roman" w:hAnsi="Times New Roman" w:cs="Times New Roman"/>
                <w:b/>
                <w:bCs/>
                <w:color w:val="000000"/>
                <w:sz w:val="21"/>
                <w:szCs w:val="21"/>
              </w:rPr>
            </w:pPr>
          </w:p>
        </w:tc>
        <w:tc>
          <w:tcPr>
            <w:tcW w:w="1613" w:type="dxa"/>
            <w:tcBorders>
              <w:top w:val="nil"/>
              <w:left w:val="nil"/>
              <w:bottom w:val="single" w:sz="4" w:space="0" w:color="auto"/>
              <w:right w:val="single" w:sz="4" w:space="0" w:color="auto"/>
            </w:tcBorders>
            <w:shd w:val="clear" w:color="auto" w:fill="auto"/>
            <w:noWrap/>
            <w:vAlign w:val="center"/>
            <w:hideMark/>
          </w:tcPr>
          <w:p w:rsidR="006A4FDF" w:rsidRPr="00ED4380" w:rsidRDefault="006A4FDF" w:rsidP="00D92726">
            <w:pPr>
              <w:jc w:val="center"/>
              <w:rPr>
                <w:rFonts w:ascii="Times New Roman" w:eastAsia="Times New Roman" w:hAnsi="Times New Roman" w:cs="Times New Roman"/>
                <w:b/>
                <w:bCs/>
                <w:color w:val="000000"/>
                <w:sz w:val="21"/>
                <w:szCs w:val="21"/>
              </w:rPr>
            </w:pPr>
            <w:r w:rsidRPr="00ED4380">
              <w:rPr>
                <w:rFonts w:ascii="Times New Roman" w:eastAsia="Times New Roman" w:hAnsi="Times New Roman" w:cs="Times New Roman"/>
                <w:b/>
                <w:bCs/>
                <w:color w:val="000000"/>
                <w:sz w:val="21"/>
                <w:szCs w:val="21"/>
              </w:rPr>
              <w:t>FEFE</w:t>
            </w:r>
          </w:p>
        </w:tc>
        <w:tc>
          <w:tcPr>
            <w:tcW w:w="1843" w:type="dxa"/>
            <w:tcBorders>
              <w:top w:val="nil"/>
              <w:left w:val="nil"/>
              <w:bottom w:val="single" w:sz="4" w:space="0" w:color="auto"/>
              <w:right w:val="single" w:sz="4" w:space="0" w:color="auto"/>
            </w:tcBorders>
            <w:shd w:val="clear" w:color="auto" w:fill="auto"/>
            <w:noWrap/>
            <w:vAlign w:val="center"/>
            <w:hideMark/>
          </w:tcPr>
          <w:p w:rsidR="006A4FDF" w:rsidRPr="00ED4380" w:rsidRDefault="006A4FDF" w:rsidP="00D92726">
            <w:pPr>
              <w:jc w:val="center"/>
              <w:rPr>
                <w:rFonts w:ascii="Times New Roman" w:eastAsia="Times New Roman" w:hAnsi="Times New Roman" w:cs="Times New Roman"/>
                <w:color w:val="000000"/>
                <w:sz w:val="21"/>
                <w:szCs w:val="21"/>
              </w:rPr>
            </w:pPr>
            <w:r w:rsidRPr="00ED4380">
              <w:rPr>
                <w:rFonts w:ascii="Times New Roman" w:eastAsia="Times New Roman" w:hAnsi="Times New Roman" w:cs="Times New Roman"/>
                <w:color w:val="000000"/>
                <w:sz w:val="21"/>
                <w:szCs w:val="21"/>
              </w:rPr>
              <w:t>N/A</w:t>
            </w:r>
          </w:p>
        </w:tc>
        <w:tc>
          <w:tcPr>
            <w:tcW w:w="1559" w:type="dxa"/>
            <w:tcBorders>
              <w:top w:val="nil"/>
              <w:left w:val="nil"/>
              <w:bottom w:val="single" w:sz="4" w:space="0" w:color="auto"/>
              <w:right w:val="single" w:sz="4" w:space="0" w:color="auto"/>
            </w:tcBorders>
            <w:shd w:val="clear" w:color="auto" w:fill="auto"/>
            <w:noWrap/>
            <w:vAlign w:val="center"/>
            <w:hideMark/>
          </w:tcPr>
          <w:p w:rsidR="006A4FDF" w:rsidRPr="00ED4380" w:rsidRDefault="006A4FDF" w:rsidP="00D92726">
            <w:pPr>
              <w:jc w:val="center"/>
              <w:rPr>
                <w:rFonts w:ascii="Times New Roman" w:eastAsia="Times New Roman" w:hAnsi="Times New Roman" w:cs="Times New Roman"/>
                <w:color w:val="000000"/>
                <w:sz w:val="21"/>
                <w:szCs w:val="21"/>
              </w:rPr>
            </w:pPr>
            <w:r w:rsidRPr="00ED4380">
              <w:rPr>
                <w:rFonts w:ascii="Times New Roman" w:eastAsia="Times New Roman" w:hAnsi="Times New Roman" w:cs="Times New Roman"/>
                <w:color w:val="000000"/>
                <w:sz w:val="21"/>
                <w:szCs w:val="21"/>
              </w:rPr>
              <w:t>N/A</w:t>
            </w:r>
          </w:p>
        </w:tc>
        <w:tc>
          <w:tcPr>
            <w:tcW w:w="1559" w:type="dxa"/>
            <w:tcBorders>
              <w:top w:val="nil"/>
              <w:left w:val="nil"/>
              <w:bottom w:val="single" w:sz="4" w:space="0" w:color="auto"/>
              <w:right w:val="single" w:sz="4" w:space="0" w:color="auto"/>
            </w:tcBorders>
            <w:shd w:val="clear" w:color="auto" w:fill="auto"/>
            <w:noWrap/>
            <w:vAlign w:val="center"/>
            <w:hideMark/>
          </w:tcPr>
          <w:p w:rsidR="006A4FDF" w:rsidRPr="00ED4380" w:rsidRDefault="006A4FDF" w:rsidP="00D92726">
            <w:pPr>
              <w:jc w:val="center"/>
              <w:rPr>
                <w:rFonts w:ascii="Times New Roman" w:eastAsia="Times New Roman" w:hAnsi="Times New Roman" w:cs="Times New Roman"/>
                <w:color w:val="000000"/>
                <w:sz w:val="21"/>
                <w:szCs w:val="21"/>
              </w:rPr>
            </w:pPr>
            <w:r w:rsidRPr="00ED4380">
              <w:rPr>
                <w:rFonts w:ascii="Times New Roman" w:eastAsia="Times New Roman" w:hAnsi="Times New Roman" w:cs="Times New Roman"/>
                <w:color w:val="000000"/>
                <w:sz w:val="21"/>
                <w:szCs w:val="21"/>
              </w:rPr>
              <w:t>$0.1591</w:t>
            </w:r>
          </w:p>
        </w:tc>
        <w:tc>
          <w:tcPr>
            <w:tcW w:w="1962" w:type="dxa"/>
            <w:tcBorders>
              <w:top w:val="nil"/>
              <w:left w:val="nil"/>
              <w:bottom w:val="single" w:sz="4" w:space="0" w:color="auto"/>
              <w:right w:val="single" w:sz="4" w:space="0" w:color="auto"/>
            </w:tcBorders>
            <w:shd w:val="clear" w:color="auto" w:fill="auto"/>
            <w:noWrap/>
            <w:vAlign w:val="center"/>
            <w:hideMark/>
          </w:tcPr>
          <w:p w:rsidR="006A4FDF" w:rsidRPr="00ED4380" w:rsidRDefault="006A4FDF" w:rsidP="00D92726">
            <w:pPr>
              <w:jc w:val="center"/>
              <w:rPr>
                <w:rFonts w:ascii="Times New Roman" w:eastAsia="Times New Roman" w:hAnsi="Times New Roman" w:cs="Times New Roman"/>
                <w:color w:val="000000"/>
                <w:sz w:val="21"/>
                <w:szCs w:val="21"/>
              </w:rPr>
            </w:pPr>
            <w:r w:rsidRPr="00ED4380">
              <w:rPr>
                <w:rFonts w:ascii="Times New Roman" w:eastAsia="Times New Roman" w:hAnsi="Times New Roman" w:cs="Times New Roman"/>
                <w:color w:val="000000"/>
                <w:sz w:val="21"/>
                <w:szCs w:val="21"/>
              </w:rPr>
              <w:t>$0.1591</w:t>
            </w:r>
          </w:p>
        </w:tc>
      </w:tr>
      <w:tr w:rsidR="006A4FDF" w:rsidRPr="00ED4380" w:rsidTr="00D92726">
        <w:trPr>
          <w:trHeight w:val="3405"/>
        </w:trPr>
        <w:tc>
          <w:tcPr>
            <w:tcW w:w="372" w:type="dxa"/>
            <w:vMerge/>
            <w:tcBorders>
              <w:top w:val="nil"/>
              <w:left w:val="single" w:sz="4" w:space="0" w:color="auto"/>
              <w:bottom w:val="single" w:sz="4" w:space="0" w:color="auto"/>
              <w:right w:val="single" w:sz="4" w:space="0" w:color="auto"/>
            </w:tcBorders>
            <w:vAlign w:val="center"/>
            <w:hideMark/>
          </w:tcPr>
          <w:p w:rsidR="006A4FDF" w:rsidRPr="00ED4380" w:rsidRDefault="006A4FDF" w:rsidP="00D92726">
            <w:pPr>
              <w:rPr>
                <w:rFonts w:ascii="Times New Roman" w:eastAsia="Times New Roman" w:hAnsi="Times New Roman" w:cs="Times New Roman"/>
                <w:b/>
                <w:bCs/>
                <w:color w:val="000000"/>
                <w:sz w:val="21"/>
                <w:szCs w:val="21"/>
              </w:rPr>
            </w:pPr>
          </w:p>
        </w:tc>
        <w:tc>
          <w:tcPr>
            <w:tcW w:w="1613" w:type="dxa"/>
            <w:tcBorders>
              <w:top w:val="nil"/>
              <w:left w:val="nil"/>
              <w:bottom w:val="single" w:sz="4" w:space="0" w:color="auto"/>
              <w:right w:val="single" w:sz="4" w:space="0" w:color="auto"/>
            </w:tcBorders>
            <w:shd w:val="clear" w:color="auto" w:fill="auto"/>
            <w:noWrap/>
            <w:vAlign w:val="center"/>
            <w:hideMark/>
          </w:tcPr>
          <w:p w:rsidR="006A4FDF" w:rsidRPr="00ED4380" w:rsidRDefault="006A4FDF" w:rsidP="00D92726">
            <w:pPr>
              <w:jc w:val="center"/>
              <w:rPr>
                <w:rFonts w:ascii="Times New Roman" w:eastAsia="Times New Roman" w:hAnsi="Times New Roman" w:cs="Times New Roman"/>
                <w:b/>
                <w:bCs/>
                <w:color w:val="000000"/>
                <w:sz w:val="21"/>
                <w:szCs w:val="21"/>
              </w:rPr>
            </w:pPr>
            <w:r w:rsidRPr="00ED4380">
              <w:rPr>
                <w:rFonts w:ascii="Times New Roman" w:eastAsia="Times New Roman" w:hAnsi="Times New Roman" w:cs="Times New Roman"/>
                <w:b/>
                <w:bCs/>
                <w:color w:val="000000"/>
                <w:sz w:val="21"/>
                <w:szCs w:val="21"/>
              </w:rPr>
              <w:t>IVA Zona Oriental</w:t>
            </w:r>
          </w:p>
        </w:tc>
        <w:tc>
          <w:tcPr>
            <w:tcW w:w="1843" w:type="dxa"/>
            <w:tcBorders>
              <w:top w:val="nil"/>
              <w:left w:val="nil"/>
              <w:bottom w:val="single" w:sz="4" w:space="0" w:color="auto"/>
              <w:right w:val="single" w:sz="4" w:space="0" w:color="auto"/>
            </w:tcBorders>
            <w:shd w:val="clear" w:color="auto" w:fill="auto"/>
            <w:vAlign w:val="center"/>
            <w:hideMark/>
          </w:tcPr>
          <w:p w:rsidR="006A4FDF" w:rsidRPr="00ED4380" w:rsidRDefault="006A4FDF" w:rsidP="00D92726">
            <w:pPr>
              <w:jc w:val="center"/>
              <w:rPr>
                <w:rFonts w:ascii="Times New Roman" w:eastAsia="Times New Roman" w:hAnsi="Times New Roman" w:cs="Times New Roman"/>
                <w:color w:val="000000"/>
                <w:sz w:val="21"/>
                <w:szCs w:val="21"/>
              </w:rPr>
            </w:pPr>
            <w:r w:rsidRPr="00ED4380">
              <w:rPr>
                <w:rFonts w:ascii="Times New Roman" w:eastAsia="Times New Roman" w:hAnsi="Times New Roman" w:cs="Times New Roman"/>
                <w:color w:val="000000"/>
                <w:sz w:val="21"/>
                <w:szCs w:val="21"/>
              </w:rPr>
              <w:t xml:space="preserve">Resulta de aplicar la tasa de 13 % a la sumatoria del precio FOB del producto, ajuste de calidad, flete marítimo, seguro marítimo, pérdidas en tránsito, costo de internación, margen mayorista, margen minorista, flete de zona oriental e IEC zona oriental </w:t>
            </w:r>
          </w:p>
        </w:tc>
        <w:tc>
          <w:tcPr>
            <w:tcW w:w="1559" w:type="dxa"/>
            <w:tcBorders>
              <w:top w:val="nil"/>
              <w:left w:val="nil"/>
              <w:bottom w:val="single" w:sz="4" w:space="0" w:color="auto"/>
              <w:right w:val="single" w:sz="4" w:space="0" w:color="auto"/>
            </w:tcBorders>
            <w:shd w:val="clear" w:color="auto" w:fill="auto"/>
            <w:vAlign w:val="center"/>
            <w:hideMark/>
          </w:tcPr>
          <w:p w:rsidR="006A4FDF" w:rsidRPr="00ED4380" w:rsidRDefault="006A4FDF" w:rsidP="00D92726">
            <w:pPr>
              <w:jc w:val="center"/>
              <w:rPr>
                <w:rFonts w:ascii="Times New Roman" w:eastAsia="Times New Roman" w:hAnsi="Times New Roman" w:cs="Times New Roman"/>
                <w:color w:val="000000"/>
                <w:sz w:val="21"/>
                <w:szCs w:val="21"/>
              </w:rPr>
            </w:pPr>
            <w:r w:rsidRPr="00ED4380">
              <w:rPr>
                <w:rFonts w:ascii="Times New Roman" w:eastAsia="Times New Roman" w:hAnsi="Times New Roman" w:cs="Times New Roman"/>
                <w:color w:val="000000"/>
                <w:sz w:val="21"/>
                <w:szCs w:val="21"/>
              </w:rPr>
              <w:t xml:space="preserve">Resulta de aplicar la tasa de 13 % a la sumatoria del precio FOB del producto, ajuste de calidad, flete marítimo, seguro marítimo, pérdidas en tránsito, costo de internación, margen mayorista, margen minorista, flete de zona oriental e IEC zona oriental </w:t>
            </w:r>
          </w:p>
        </w:tc>
        <w:tc>
          <w:tcPr>
            <w:tcW w:w="1559" w:type="dxa"/>
            <w:tcBorders>
              <w:top w:val="nil"/>
              <w:left w:val="nil"/>
              <w:bottom w:val="single" w:sz="4" w:space="0" w:color="auto"/>
              <w:right w:val="single" w:sz="4" w:space="0" w:color="auto"/>
            </w:tcBorders>
            <w:shd w:val="clear" w:color="auto" w:fill="auto"/>
            <w:vAlign w:val="center"/>
            <w:hideMark/>
          </w:tcPr>
          <w:p w:rsidR="006A4FDF" w:rsidRPr="00ED4380" w:rsidRDefault="006A4FDF" w:rsidP="00D92726">
            <w:pPr>
              <w:jc w:val="center"/>
              <w:rPr>
                <w:rFonts w:ascii="Times New Roman" w:eastAsia="Times New Roman" w:hAnsi="Times New Roman" w:cs="Times New Roman"/>
                <w:color w:val="000000"/>
                <w:sz w:val="21"/>
                <w:szCs w:val="21"/>
              </w:rPr>
            </w:pPr>
            <w:r w:rsidRPr="00ED4380">
              <w:rPr>
                <w:rFonts w:ascii="Times New Roman" w:eastAsia="Times New Roman" w:hAnsi="Times New Roman" w:cs="Times New Roman"/>
                <w:color w:val="000000"/>
                <w:sz w:val="21"/>
                <w:szCs w:val="21"/>
              </w:rPr>
              <w:t xml:space="preserve">Resulta de aplicar la tasa de 13 % a la sumatoria del precio FOB del producto, ajuste de calidad, flete marítimo, seguro marítimo, pérdidas en tránsito, costo de internación, margen mayorista, margen minorista, flete de zona oriental, IEC zona oriental y  FEFE </w:t>
            </w:r>
          </w:p>
        </w:tc>
        <w:tc>
          <w:tcPr>
            <w:tcW w:w="1962" w:type="dxa"/>
            <w:tcBorders>
              <w:top w:val="nil"/>
              <w:left w:val="nil"/>
              <w:bottom w:val="single" w:sz="4" w:space="0" w:color="auto"/>
              <w:right w:val="single" w:sz="4" w:space="0" w:color="auto"/>
            </w:tcBorders>
            <w:shd w:val="clear" w:color="auto" w:fill="auto"/>
            <w:vAlign w:val="center"/>
            <w:hideMark/>
          </w:tcPr>
          <w:p w:rsidR="006A4FDF" w:rsidRPr="00ED4380" w:rsidRDefault="006A4FDF" w:rsidP="00D92726">
            <w:pPr>
              <w:jc w:val="center"/>
              <w:rPr>
                <w:rFonts w:ascii="Times New Roman" w:eastAsia="Times New Roman" w:hAnsi="Times New Roman" w:cs="Times New Roman"/>
                <w:color w:val="000000"/>
                <w:sz w:val="21"/>
                <w:szCs w:val="21"/>
              </w:rPr>
            </w:pPr>
            <w:r w:rsidRPr="00ED4380">
              <w:rPr>
                <w:rFonts w:ascii="Times New Roman" w:eastAsia="Times New Roman" w:hAnsi="Times New Roman" w:cs="Times New Roman"/>
                <w:color w:val="000000"/>
                <w:sz w:val="21"/>
                <w:szCs w:val="21"/>
              </w:rPr>
              <w:t xml:space="preserve">Resulta de aplicar la tasa de 13 % a la sumatoria del precio FOB del producto, ajuste de calidad, flete marítimo, seguro marítimo, pérdidas en tránsito, costo de internación, margen mayorista, margen minorista, flete de zona oriental, IEC zona oriental y  FEFE </w:t>
            </w:r>
          </w:p>
        </w:tc>
      </w:tr>
      <w:tr w:rsidR="006A4FDF" w:rsidRPr="00ED4380" w:rsidTr="00D92726">
        <w:trPr>
          <w:trHeight w:val="1050"/>
        </w:trPr>
        <w:tc>
          <w:tcPr>
            <w:tcW w:w="372" w:type="dxa"/>
            <w:tcBorders>
              <w:top w:val="nil"/>
              <w:left w:val="single" w:sz="4" w:space="0" w:color="auto"/>
              <w:bottom w:val="single" w:sz="4" w:space="0" w:color="auto"/>
              <w:right w:val="single" w:sz="4" w:space="0" w:color="auto"/>
            </w:tcBorders>
            <w:shd w:val="clear" w:color="auto" w:fill="auto"/>
            <w:noWrap/>
            <w:vAlign w:val="bottom"/>
            <w:hideMark/>
          </w:tcPr>
          <w:p w:rsidR="006A4FDF" w:rsidRPr="00ED4380" w:rsidRDefault="006A4FDF" w:rsidP="00D92726">
            <w:pPr>
              <w:rPr>
                <w:rFonts w:ascii="Times New Roman" w:eastAsia="Times New Roman" w:hAnsi="Times New Roman" w:cs="Times New Roman"/>
                <w:color w:val="000000"/>
                <w:sz w:val="21"/>
                <w:szCs w:val="21"/>
              </w:rPr>
            </w:pPr>
            <w:r w:rsidRPr="00ED4380">
              <w:rPr>
                <w:rFonts w:ascii="Times New Roman" w:eastAsia="Times New Roman" w:hAnsi="Times New Roman" w:cs="Times New Roman"/>
                <w:color w:val="000000"/>
                <w:sz w:val="21"/>
                <w:szCs w:val="21"/>
              </w:rPr>
              <w:t> </w:t>
            </w:r>
          </w:p>
        </w:tc>
        <w:tc>
          <w:tcPr>
            <w:tcW w:w="1613" w:type="dxa"/>
            <w:tcBorders>
              <w:top w:val="nil"/>
              <w:left w:val="nil"/>
              <w:bottom w:val="single" w:sz="4" w:space="0" w:color="auto"/>
              <w:right w:val="single" w:sz="4" w:space="0" w:color="auto"/>
            </w:tcBorders>
            <w:shd w:val="clear" w:color="auto" w:fill="auto"/>
            <w:noWrap/>
            <w:vAlign w:val="center"/>
            <w:hideMark/>
          </w:tcPr>
          <w:p w:rsidR="006A4FDF" w:rsidRPr="00ED4380" w:rsidRDefault="006A4FDF" w:rsidP="00D92726">
            <w:pPr>
              <w:jc w:val="center"/>
              <w:rPr>
                <w:rFonts w:ascii="Times New Roman" w:eastAsia="Times New Roman" w:hAnsi="Times New Roman" w:cs="Times New Roman"/>
                <w:b/>
                <w:bCs/>
                <w:color w:val="000000"/>
                <w:sz w:val="21"/>
                <w:szCs w:val="21"/>
              </w:rPr>
            </w:pPr>
            <w:r w:rsidRPr="00ED4380">
              <w:rPr>
                <w:rFonts w:ascii="Times New Roman" w:eastAsia="Times New Roman" w:hAnsi="Times New Roman" w:cs="Times New Roman"/>
                <w:b/>
                <w:bCs/>
                <w:color w:val="000000"/>
                <w:sz w:val="21"/>
                <w:szCs w:val="21"/>
              </w:rPr>
              <w:t>Precio de referencia Zona Oriental</w:t>
            </w:r>
          </w:p>
        </w:tc>
        <w:tc>
          <w:tcPr>
            <w:tcW w:w="1843" w:type="dxa"/>
            <w:tcBorders>
              <w:top w:val="nil"/>
              <w:left w:val="nil"/>
              <w:bottom w:val="single" w:sz="4" w:space="0" w:color="auto"/>
              <w:right w:val="single" w:sz="4" w:space="0" w:color="auto"/>
            </w:tcBorders>
            <w:shd w:val="clear" w:color="auto" w:fill="auto"/>
            <w:vAlign w:val="center"/>
            <w:hideMark/>
          </w:tcPr>
          <w:p w:rsidR="006A4FDF" w:rsidRPr="00ED4380" w:rsidRDefault="006A4FDF" w:rsidP="00D92726">
            <w:pPr>
              <w:jc w:val="center"/>
              <w:rPr>
                <w:rFonts w:ascii="Times New Roman" w:eastAsia="Times New Roman" w:hAnsi="Times New Roman" w:cs="Times New Roman"/>
                <w:color w:val="000000"/>
                <w:sz w:val="21"/>
                <w:szCs w:val="21"/>
              </w:rPr>
            </w:pPr>
            <w:r w:rsidRPr="00ED4380">
              <w:rPr>
                <w:rFonts w:ascii="Times New Roman" w:eastAsia="Times New Roman" w:hAnsi="Times New Roman" w:cs="Times New Roman"/>
                <w:color w:val="000000"/>
                <w:sz w:val="21"/>
                <w:szCs w:val="21"/>
              </w:rPr>
              <w:t>Sumatoria de todos los eslabones de la fórmula anteriores</w:t>
            </w:r>
          </w:p>
        </w:tc>
        <w:tc>
          <w:tcPr>
            <w:tcW w:w="1559" w:type="dxa"/>
            <w:tcBorders>
              <w:top w:val="nil"/>
              <w:left w:val="nil"/>
              <w:bottom w:val="single" w:sz="4" w:space="0" w:color="auto"/>
              <w:right w:val="single" w:sz="4" w:space="0" w:color="auto"/>
            </w:tcBorders>
            <w:shd w:val="clear" w:color="auto" w:fill="auto"/>
            <w:vAlign w:val="center"/>
            <w:hideMark/>
          </w:tcPr>
          <w:p w:rsidR="006A4FDF" w:rsidRPr="00ED4380" w:rsidRDefault="006A4FDF" w:rsidP="00D92726">
            <w:pPr>
              <w:jc w:val="center"/>
              <w:rPr>
                <w:rFonts w:ascii="Times New Roman" w:eastAsia="Times New Roman" w:hAnsi="Times New Roman" w:cs="Times New Roman"/>
                <w:color w:val="000000"/>
                <w:sz w:val="21"/>
                <w:szCs w:val="21"/>
              </w:rPr>
            </w:pPr>
            <w:r w:rsidRPr="00ED4380">
              <w:rPr>
                <w:rFonts w:ascii="Times New Roman" w:eastAsia="Times New Roman" w:hAnsi="Times New Roman" w:cs="Times New Roman"/>
                <w:color w:val="000000"/>
                <w:sz w:val="21"/>
                <w:szCs w:val="21"/>
              </w:rPr>
              <w:t>Sumatoria de todos los eslabones de la fórmula anteriores</w:t>
            </w:r>
          </w:p>
        </w:tc>
        <w:tc>
          <w:tcPr>
            <w:tcW w:w="1559" w:type="dxa"/>
            <w:tcBorders>
              <w:top w:val="nil"/>
              <w:left w:val="nil"/>
              <w:bottom w:val="single" w:sz="4" w:space="0" w:color="auto"/>
              <w:right w:val="single" w:sz="4" w:space="0" w:color="auto"/>
            </w:tcBorders>
            <w:shd w:val="clear" w:color="auto" w:fill="auto"/>
            <w:vAlign w:val="center"/>
            <w:hideMark/>
          </w:tcPr>
          <w:p w:rsidR="006A4FDF" w:rsidRPr="00ED4380" w:rsidRDefault="006A4FDF" w:rsidP="00D92726">
            <w:pPr>
              <w:jc w:val="center"/>
              <w:rPr>
                <w:rFonts w:ascii="Times New Roman" w:eastAsia="Times New Roman" w:hAnsi="Times New Roman" w:cs="Times New Roman"/>
                <w:color w:val="000000"/>
                <w:sz w:val="21"/>
                <w:szCs w:val="21"/>
              </w:rPr>
            </w:pPr>
            <w:r w:rsidRPr="00ED4380">
              <w:rPr>
                <w:rFonts w:ascii="Times New Roman" w:eastAsia="Times New Roman" w:hAnsi="Times New Roman" w:cs="Times New Roman"/>
                <w:color w:val="000000"/>
                <w:sz w:val="21"/>
                <w:szCs w:val="21"/>
              </w:rPr>
              <w:t>Sumatoria de todos los eslabones de la fórmula anteriores</w:t>
            </w:r>
          </w:p>
        </w:tc>
        <w:tc>
          <w:tcPr>
            <w:tcW w:w="1962" w:type="dxa"/>
            <w:tcBorders>
              <w:top w:val="nil"/>
              <w:left w:val="nil"/>
              <w:bottom w:val="single" w:sz="4" w:space="0" w:color="auto"/>
              <w:right w:val="single" w:sz="4" w:space="0" w:color="auto"/>
            </w:tcBorders>
            <w:shd w:val="clear" w:color="auto" w:fill="auto"/>
            <w:vAlign w:val="center"/>
            <w:hideMark/>
          </w:tcPr>
          <w:p w:rsidR="006A4FDF" w:rsidRPr="00ED4380" w:rsidRDefault="006A4FDF" w:rsidP="00D92726">
            <w:pPr>
              <w:jc w:val="center"/>
              <w:rPr>
                <w:rFonts w:ascii="Times New Roman" w:eastAsia="Times New Roman" w:hAnsi="Times New Roman" w:cs="Times New Roman"/>
                <w:color w:val="000000"/>
                <w:sz w:val="21"/>
                <w:szCs w:val="21"/>
              </w:rPr>
            </w:pPr>
            <w:r w:rsidRPr="00ED4380">
              <w:rPr>
                <w:rFonts w:ascii="Times New Roman" w:eastAsia="Times New Roman" w:hAnsi="Times New Roman" w:cs="Times New Roman"/>
                <w:color w:val="000000"/>
                <w:sz w:val="21"/>
                <w:szCs w:val="21"/>
              </w:rPr>
              <w:t>Sumatoria de todos los eslabones de la fórmula anteriores</w:t>
            </w:r>
          </w:p>
        </w:tc>
      </w:tr>
    </w:tbl>
    <w:p w:rsidR="006A4FDF" w:rsidRPr="00ED4380" w:rsidRDefault="006A4FDF" w:rsidP="006A4FDF">
      <w:pPr>
        <w:jc w:val="center"/>
        <w:rPr>
          <w:rFonts w:ascii="Times New Roman" w:hAnsi="Times New Roman" w:cs="Times New Roman"/>
          <w:sz w:val="21"/>
          <w:szCs w:val="21"/>
        </w:rPr>
      </w:pPr>
    </w:p>
    <w:p w:rsidR="006A4FDF" w:rsidRPr="00ED4380" w:rsidRDefault="006A4FDF" w:rsidP="006A4FDF">
      <w:pPr>
        <w:jc w:val="center"/>
        <w:rPr>
          <w:rFonts w:ascii="Times New Roman" w:hAnsi="Times New Roman" w:cs="Times New Roman"/>
          <w:sz w:val="21"/>
          <w:szCs w:val="21"/>
        </w:rPr>
      </w:pPr>
    </w:p>
    <w:p w:rsidR="006A4FDF" w:rsidRPr="00ED4380" w:rsidRDefault="006A4FDF" w:rsidP="006A4FDF">
      <w:pPr>
        <w:jc w:val="center"/>
        <w:rPr>
          <w:rFonts w:ascii="Times New Roman" w:hAnsi="Times New Roman" w:cs="Times New Roman"/>
          <w:sz w:val="21"/>
          <w:szCs w:val="21"/>
        </w:rPr>
      </w:pPr>
    </w:p>
    <w:p w:rsidR="006A4FDF" w:rsidRPr="00ED4380" w:rsidRDefault="006A4FDF" w:rsidP="006A4FDF">
      <w:pPr>
        <w:jc w:val="center"/>
        <w:rPr>
          <w:rFonts w:ascii="Times New Roman" w:hAnsi="Times New Roman" w:cs="Times New Roman"/>
          <w:sz w:val="21"/>
          <w:szCs w:val="21"/>
        </w:rPr>
      </w:pPr>
    </w:p>
    <w:p w:rsidR="006A4FDF" w:rsidRPr="00ED4380" w:rsidRDefault="006A4FDF" w:rsidP="006A4FDF">
      <w:pPr>
        <w:jc w:val="center"/>
        <w:rPr>
          <w:rFonts w:ascii="Times New Roman" w:hAnsi="Times New Roman" w:cs="Times New Roman"/>
          <w:sz w:val="21"/>
          <w:szCs w:val="21"/>
        </w:rPr>
      </w:pPr>
    </w:p>
    <w:p w:rsidR="006A4FDF" w:rsidRPr="00ED4380" w:rsidRDefault="006A4FDF" w:rsidP="006A4FDF">
      <w:pPr>
        <w:jc w:val="center"/>
        <w:rPr>
          <w:rFonts w:ascii="Times New Roman" w:hAnsi="Times New Roman" w:cs="Times New Roman"/>
          <w:sz w:val="21"/>
          <w:szCs w:val="21"/>
        </w:rPr>
      </w:pPr>
    </w:p>
    <w:p w:rsidR="006A4FDF" w:rsidRPr="00ED4380" w:rsidRDefault="006A4FDF" w:rsidP="006A4FDF">
      <w:pPr>
        <w:jc w:val="center"/>
        <w:rPr>
          <w:rFonts w:ascii="Times New Roman" w:hAnsi="Times New Roman" w:cs="Times New Roman"/>
          <w:sz w:val="21"/>
          <w:szCs w:val="21"/>
        </w:rPr>
      </w:pPr>
    </w:p>
    <w:p w:rsidR="006A4FDF" w:rsidRPr="00ED4380" w:rsidRDefault="006A4FDF" w:rsidP="006A4FDF">
      <w:pPr>
        <w:jc w:val="center"/>
        <w:rPr>
          <w:rFonts w:ascii="Times New Roman" w:hAnsi="Times New Roman" w:cs="Times New Roman"/>
          <w:sz w:val="21"/>
          <w:szCs w:val="21"/>
        </w:rPr>
      </w:pPr>
    </w:p>
    <w:p w:rsidR="006A4FDF" w:rsidRPr="00ED4380" w:rsidRDefault="006A4FDF" w:rsidP="006A4FDF">
      <w:pPr>
        <w:jc w:val="center"/>
        <w:rPr>
          <w:rFonts w:ascii="Times New Roman" w:hAnsi="Times New Roman" w:cs="Times New Roman"/>
          <w:sz w:val="21"/>
          <w:szCs w:val="21"/>
        </w:rPr>
      </w:pPr>
    </w:p>
    <w:p w:rsidR="006A4FDF" w:rsidRPr="00ED4380" w:rsidRDefault="006A4FDF" w:rsidP="006A4FDF">
      <w:pPr>
        <w:jc w:val="center"/>
        <w:rPr>
          <w:rFonts w:ascii="Times New Roman" w:hAnsi="Times New Roman" w:cs="Times New Roman"/>
          <w:sz w:val="21"/>
          <w:szCs w:val="21"/>
        </w:rPr>
      </w:pPr>
    </w:p>
    <w:p w:rsidR="006A4FDF" w:rsidRPr="00ED4380" w:rsidRDefault="006A4FDF" w:rsidP="006A4FDF">
      <w:pPr>
        <w:jc w:val="center"/>
        <w:rPr>
          <w:rFonts w:ascii="Times New Roman" w:hAnsi="Times New Roman" w:cs="Times New Roman"/>
          <w:sz w:val="21"/>
          <w:szCs w:val="21"/>
        </w:rPr>
      </w:pPr>
    </w:p>
    <w:p w:rsidR="006A4FDF" w:rsidRPr="00ED4380" w:rsidRDefault="006A4FDF" w:rsidP="006A4FDF">
      <w:pPr>
        <w:jc w:val="center"/>
        <w:rPr>
          <w:rFonts w:ascii="Times New Roman" w:hAnsi="Times New Roman" w:cs="Times New Roman"/>
          <w:sz w:val="21"/>
          <w:szCs w:val="21"/>
        </w:rPr>
      </w:pPr>
    </w:p>
    <w:p w:rsidR="006A4FDF" w:rsidRPr="00ED4380" w:rsidRDefault="006A4FDF" w:rsidP="006A4FDF">
      <w:pPr>
        <w:jc w:val="center"/>
        <w:rPr>
          <w:rFonts w:ascii="Times New Roman" w:hAnsi="Times New Roman" w:cs="Times New Roman"/>
          <w:sz w:val="21"/>
          <w:szCs w:val="21"/>
        </w:rPr>
      </w:pPr>
    </w:p>
    <w:p w:rsidR="006A4FDF" w:rsidRPr="00ED4380" w:rsidRDefault="006A4FDF" w:rsidP="006A4FDF">
      <w:pPr>
        <w:jc w:val="center"/>
        <w:rPr>
          <w:rFonts w:ascii="Times New Roman" w:hAnsi="Times New Roman" w:cs="Times New Roman"/>
          <w:sz w:val="21"/>
          <w:szCs w:val="21"/>
        </w:rPr>
      </w:pPr>
    </w:p>
    <w:p w:rsidR="006A4FDF" w:rsidRPr="00ED4380" w:rsidRDefault="006A4FDF" w:rsidP="006A4FDF">
      <w:pPr>
        <w:jc w:val="center"/>
        <w:rPr>
          <w:rFonts w:ascii="Times New Roman" w:hAnsi="Times New Roman" w:cs="Times New Roman"/>
          <w:sz w:val="21"/>
          <w:szCs w:val="21"/>
        </w:rPr>
      </w:pPr>
    </w:p>
    <w:p w:rsidR="006A4FDF" w:rsidRPr="00ED4380" w:rsidRDefault="006A4FDF" w:rsidP="006A4FDF">
      <w:pPr>
        <w:jc w:val="center"/>
        <w:rPr>
          <w:rFonts w:ascii="Times New Roman" w:hAnsi="Times New Roman" w:cs="Times New Roman"/>
          <w:b/>
          <w:sz w:val="21"/>
          <w:szCs w:val="21"/>
        </w:rPr>
      </w:pPr>
      <w:r w:rsidRPr="00ED4380">
        <w:rPr>
          <w:rFonts w:ascii="Times New Roman" w:hAnsi="Times New Roman" w:cs="Times New Roman"/>
          <w:b/>
          <w:sz w:val="21"/>
          <w:szCs w:val="21"/>
        </w:rPr>
        <w:t>Fórmula de los precios de referencias para los combustibles</w:t>
      </w:r>
    </w:p>
    <w:p w:rsidR="006A4FDF" w:rsidRPr="00ED4380" w:rsidRDefault="006A4FDF" w:rsidP="006A4FDF">
      <w:pPr>
        <w:rPr>
          <w:rFonts w:ascii="Times New Roman" w:hAnsi="Times New Roman" w:cs="Times New Roman"/>
          <w:b/>
          <w:sz w:val="21"/>
          <w:szCs w:val="21"/>
        </w:rPr>
      </w:pPr>
      <w:r w:rsidRPr="00ED4380">
        <w:rPr>
          <w:rFonts w:ascii="Times New Roman" w:hAnsi="Times New Roman" w:cs="Times New Roman"/>
          <w:b/>
          <w:sz w:val="21"/>
          <w:szCs w:val="21"/>
          <w:lang w:val="en-US"/>
        </w:rPr>
        <w:t xml:space="preserve">PC= PCIF + CI + FL + MM + </w:t>
      </w:r>
      <w:proofErr w:type="spellStart"/>
      <w:r w:rsidRPr="00ED4380">
        <w:rPr>
          <w:rFonts w:ascii="Times New Roman" w:hAnsi="Times New Roman" w:cs="Times New Roman"/>
          <w:b/>
          <w:sz w:val="21"/>
          <w:szCs w:val="21"/>
          <w:lang w:val="en-US"/>
        </w:rPr>
        <w:t>MMin</w:t>
      </w:r>
      <w:proofErr w:type="spellEnd"/>
      <w:r w:rsidRPr="00ED4380">
        <w:rPr>
          <w:rFonts w:ascii="Times New Roman" w:hAnsi="Times New Roman" w:cs="Times New Roman"/>
          <w:b/>
          <w:sz w:val="21"/>
          <w:szCs w:val="21"/>
          <w:lang w:val="en-US"/>
        </w:rPr>
        <w:t xml:space="preserve">. </w:t>
      </w:r>
      <w:r w:rsidRPr="00ED4380">
        <w:rPr>
          <w:rFonts w:ascii="Times New Roman" w:hAnsi="Times New Roman" w:cs="Times New Roman"/>
          <w:b/>
          <w:sz w:val="21"/>
          <w:szCs w:val="21"/>
        </w:rPr>
        <w:t>+ T</w:t>
      </w:r>
    </w:p>
    <w:p w:rsidR="006A4FDF" w:rsidRPr="00ED4380" w:rsidRDefault="006A4FDF" w:rsidP="006A4FDF">
      <w:pPr>
        <w:rPr>
          <w:rFonts w:ascii="Times New Roman" w:hAnsi="Times New Roman" w:cs="Times New Roman"/>
          <w:sz w:val="21"/>
          <w:szCs w:val="21"/>
        </w:rPr>
      </w:pPr>
      <w:r w:rsidRPr="00ED4380">
        <w:rPr>
          <w:rFonts w:ascii="Times New Roman" w:hAnsi="Times New Roman" w:cs="Times New Roman"/>
          <w:sz w:val="21"/>
          <w:szCs w:val="21"/>
        </w:rPr>
        <w:t xml:space="preserve">En donde: </w:t>
      </w:r>
    </w:p>
    <w:p w:rsidR="006A4FDF" w:rsidRPr="00ED4380" w:rsidRDefault="006A4FDF" w:rsidP="006A4FDF">
      <w:pPr>
        <w:rPr>
          <w:rFonts w:ascii="Times New Roman" w:hAnsi="Times New Roman" w:cs="Times New Roman"/>
          <w:sz w:val="21"/>
          <w:szCs w:val="21"/>
        </w:rPr>
      </w:pPr>
      <w:r w:rsidRPr="00ED4380">
        <w:rPr>
          <w:rFonts w:ascii="Times New Roman" w:hAnsi="Times New Roman" w:cs="Times New Roman"/>
          <w:b/>
          <w:sz w:val="21"/>
          <w:szCs w:val="21"/>
        </w:rPr>
        <w:t>PC:</w:t>
      </w:r>
      <w:r w:rsidRPr="00ED4380">
        <w:rPr>
          <w:rFonts w:ascii="Times New Roman" w:hAnsi="Times New Roman" w:cs="Times New Roman"/>
          <w:sz w:val="21"/>
          <w:szCs w:val="21"/>
        </w:rPr>
        <w:t xml:space="preserve"> Precio Consumidor en estación de servicio.</w:t>
      </w:r>
    </w:p>
    <w:p w:rsidR="006A4FDF" w:rsidRPr="00ED4380" w:rsidRDefault="006A4FDF" w:rsidP="006A4FDF">
      <w:pPr>
        <w:rPr>
          <w:rFonts w:ascii="Times New Roman" w:hAnsi="Times New Roman" w:cs="Times New Roman"/>
          <w:sz w:val="21"/>
          <w:szCs w:val="21"/>
        </w:rPr>
      </w:pPr>
      <w:r w:rsidRPr="00ED4380">
        <w:rPr>
          <w:rFonts w:ascii="Times New Roman" w:hAnsi="Times New Roman" w:cs="Times New Roman"/>
          <w:b/>
          <w:sz w:val="21"/>
          <w:szCs w:val="21"/>
        </w:rPr>
        <w:t>PCIF:</w:t>
      </w:r>
      <w:r w:rsidRPr="00ED4380">
        <w:rPr>
          <w:rFonts w:ascii="Times New Roman" w:hAnsi="Times New Roman" w:cs="Times New Roman"/>
          <w:sz w:val="21"/>
          <w:szCs w:val="21"/>
        </w:rPr>
        <w:t xml:space="preserve"> Precio CIF para cada producto.</w:t>
      </w:r>
    </w:p>
    <w:p w:rsidR="006A4FDF" w:rsidRPr="00ED4380" w:rsidRDefault="006A4FDF" w:rsidP="006A4FDF">
      <w:pPr>
        <w:rPr>
          <w:rFonts w:ascii="Times New Roman" w:hAnsi="Times New Roman" w:cs="Times New Roman"/>
          <w:sz w:val="21"/>
          <w:szCs w:val="21"/>
        </w:rPr>
      </w:pPr>
      <w:r w:rsidRPr="00ED4380">
        <w:rPr>
          <w:rFonts w:ascii="Times New Roman" w:hAnsi="Times New Roman" w:cs="Times New Roman"/>
          <w:b/>
          <w:sz w:val="21"/>
          <w:szCs w:val="21"/>
        </w:rPr>
        <w:t>CI:</w:t>
      </w:r>
      <w:r w:rsidRPr="00ED4380">
        <w:rPr>
          <w:rFonts w:ascii="Times New Roman" w:hAnsi="Times New Roman" w:cs="Times New Roman"/>
          <w:sz w:val="21"/>
          <w:szCs w:val="21"/>
        </w:rPr>
        <w:t xml:space="preserve"> Costo de Internación.</w:t>
      </w:r>
    </w:p>
    <w:p w:rsidR="006A4FDF" w:rsidRPr="00ED4380" w:rsidRDefault="006A4FDF" w:rsidP="006A4FDF">
      <w:pPr>
        <w:rPr>
          <w:rFonts w:ascii="Times New Roman" w:hAnsi="Times New Roman" w:cs="Times New Roman"/>
          <w:sz w:val="21"/>
          <w:szCs w:val="21"/>
        </w:rPr>
      </w:pPr>
      <w:r w:rsidRPr="00ED4380">
        <w:rPr>
          <w:rFonts w:ascii="Times New Roman" w:hAnsi="Times New Roman" w:cs="Times New Roman"/>
          <w:b/>
          <w:sz w:val="21"/>
          <w:szCs w:val="21"/>
        </w:rPr>
        <w:t>MM:</w:t>
      </w:r>
      <w:r w:rsidRPr="00ED4380">
        <w:rPr>
          <w:rFonts w:ascii="Times New Roman" w:hAnsi="Times New Roman" w:cs="Times New Roman"/>
          <w:sz w:val="21"/>
          <w:szCs w:val="21"/>
        </w:rPr>
        <w:t xml:space="preserve"> Margen del mayorista (importador-distribuidor).</w:t>
      </w:r>
    </w:p>
    <w:p w:rsidR="006A4FDF" w:rsidRPr="00ED4380" w:rsidRDefault="006A4FDF" w:rsidP="006A4FDF">
      <w:pPr>
        <w:rPr>
          <w:rFonts w:ascii="Times New Roman" w:hAnsi="Times New Roman" w:cs="Times New Roman"/>
          <w:sz w:val="21"/>
          <w:szCs w:val="21"/>
        </w:rPr>
      </w:pPr>
      <w:proofErr w:type="spellStart"/>
      <w:r w:rsidRPr="00ED4380">
        <w:rPr>
          <w:rFonts w:ascii="Times New Roman" w:hAnsi="Times New Roman" w:cs="Times New Roman"/>
          <w:b/>
          <w:sz w:val="21"/>
          <w:szCs w:val="21"/>
        </w:rPr>
        <w:t>MMin</w:t>
      </w:r>
      <w:proofErr w:type="spellEnd"/>
      <w:r w:rsidRPr="00ED4380">
        <w:rPr>
          <w:rFonts w:ascii="Times New Roman" w:hAnsi="Times New Roman" w:cs="Times New Roman"/>
          <w:b/>
          <w:sz w:val="21"/>
          <w:szCs w:val="21"/>
        </w:rPr>
        <w:t>.:</w:t>
      </w:r>
      <w:r w:rsidRPr="00ED4380">
        <w:rPr>
          <w:rFonts w:ascii="Times New Roman" w:hAnsi="Times New Roman" w:cs="Times New Roman"/>
          <w:sz w:val="21"/>
          <w:szCs w:val="21"/>
        </w:rPr>
        <w:t xml:space="preserve"> Margen del minorista (estación de servicio).</w:t>
      </w:r>
    </w:p>
    <w:p w:rsidR="006A4FDF" w:rsidRPr="00ED4380" w:rsidRDefault="006A4FDF" w:rsidP="006A4FDF">
      <w:pPr>
        <w:rPr>
          <w:rFonts w:ascii="Times New Roman" w:hAnsi="Times New Roman" w:cs="Times New Roman"/>
          <w:sz w:val="21"/>
          <w:szCs w:val="21"/>
        </w:rPr>
      </w:pPr>
      <w:r w:rsidRPr="00ED4380">
        <w:rPr>
          <w:rFonts w:ascii="Times New Roman" w:hAnsi="Times New Roman" w:cs="Times New Roman"/>
          <w:b/>
          <w:sz w:val="21"/>
          <w:szCs w:val="21"/>
        </w:rPr>
        <w:t>T:</w:t>
      </w:r>
      <w:r w:rsidRPr="00ED4380">
        <w:rPr>
          <w:rFonts w:ascii="Times New Roman" w:hAnsi="Times New Roman" w:cs="Times New Roman"/>
          <w:sz w:val="21"/>
          <w:szCs w:val="21"/>
        </w:rPr>
        <w:t xml:space="preserve"> Tributos.</w:t>
      </w:r>
    </w:p>
    <w:p w:rsidR="006A4FDF" w:rsidRPr="00ED4380" w:rsidRDefault="006A4FDF" w:rsidP="006A4FDF">
      <w:pPr>
        <w:rPr>
          <w:rFonts w:ascii="Times New Roman" w:hAnsi="Times New Roman" w:cs="Times New Roman"/>
          <w:sz w:val="21"/>
          <w:szCs w:val="21"/>
        </w:rPr>
      </w:pPr>
    </w:p>
    <w:p w:rsidR="006A4FDF" w:rsidRPr="00ED4380" w:rsidRDefault="006A4FDF" w:rsidP="006A4FDF">
      <w:pPr>
        <w:rPr>
          <w:rFonts w:ascii="Times New Roman" w:hAnsi="Times New Roman" w:cs="Times New Roman"/>
          <w:sz w:val="21"/>
          <w:szCs w:val="21"/>
        </w:rPr>
      </w:pPr>
      <w:r w:rsidRPr="00ED4380">
        <w:rPr>
          <w:rFonts w:ascii="Times New Roman" w:hAnsi="Times New Roman" w:cs="Times New Roman"/>
          <w:b/>
          <w:sz w:val="21"/>
          <w:szCs w:val="21"/>
        </w:rPr>
        <w:t>Precio CIF</w:t>
      </w:r>
      <w:r w:rsidRPr="00ED4380">
        <w:rPr>
          <w:rFonts w:ascii="Times New Roman" w:hAnsi="Times New Roman" w:cs="Times New Roman"/>
          <w:sz w:val="21"/>
          <w:szCs w:val="21"/>
        </w:rPr>
        <w:t>, se define como precio CIF, el siguiente:</w:t>
      </w:r>
    </w:p>
    <w:p w:rsidR="006A4FDF" w:rsidRPr="00ED4380" w:rsidRDefault="006A4FDF" w:rsidP="006A4FDF">
      <w:pPr>
        <w:rPr>
          <w:rFonts w:ascii="Times New Roman" w:hAnsi="Times New Roman" w:cs="Times New Roman"/>
          <w:b/>
          <w:sz w:val="21"/>
          <w:szCs w:val="21"/>
          <w:lang w:val="en-US"/>
        </w:rPr>
      </w:pPr>
      <w:r w:rsidRPr="00ED4380">
        <w:rPr>
          <w:rFonts w:ascii="Times New Roman" w:hAnsi="Times New Roman" w:cs="Times New Roman"/>
          <w:b/>
          <w:sz w:val="21"/>
          <w:szCs w:val="21"/>
          <w:lang w:val="en-US"/>
        </w:rPr>
        <w:t>PCIF= PFOB +AC + FM + PT + SM</w:t>
      </w:r>
    </w:p>
    <w:p w:rsidR="006A4FDF" w:rsidRPr="00ED4380" w:rsidRDefault="006A4FDF" w:rsidP="006A4FDF">
      <w:pPr>
        <w:rPr>
          <w:rFonts w:ascii="Times New Roman" w:hAnsi="Times New Roman" w:cs="Times New Roman"/>
          <w:sz w:val="21"/>
          <w:szCs w:val="21"/>
        </w:rPr>
      </w:pPr>
      <w:r w:rsidRPr="00ED4380">
        <w:rPr>
          <w:rFonts w:ascii="Times New Roman" w:hAnsi="Times New Roman" w:cs="Times New Roman"/>
          <w:sz w:val="21"/>
          <w:szCs w:val="21"/>
        </w:rPr>
        <w:t xml:space="preserve">En donde: </w:t>
      </w:r>
    </w:p>
    <w:p w:rsidR="006A4FDF" w:rsidRPr="00ED4380" w:rsidRDefault="006A4FDF" w:rsidP="006A4FDF">
      <w:pPr>
        <w:rPr>
          <w:rFonts w:ascii="Times New Roman" w:hAnsi="Times New Roman" w:cs="Times New Roman"/>
          <w:sz w:val="21"/>
          <w:szCs w:val="21"/>
        </w:rPr>
      </w:pPr>
      <w:r w:rsidRPr="00ED4380">
        <w:rPr>
          <w:rFonts w:ascii="Times New Roman" w:hAnsi="Times New Roman" w:cs="Times New Roman"/>
          <w:b/>
          <w:sz w:val="21"/>
          <w:szCs w:val="21"/>
        </w:rPr>
        <w:t xml:space="preserve">PFOB: </w:t>
      </w:r>
      <w:r w:rsidRPr="00ED4380">
        <w:rPr>
          <w:rFonts w:ascii="Times New Roman" w:hAnsi="Times New Roman" w:cs="Times New Roman"/>
          <w:sz w:val="21"/>
          <w:szCs w:val="21"/>
        </w:rPr>
        <w:t xml:space="preserve">Precio FOB de cada producto (datos sujetos a acuerdo de confidencialidad por el sistema </w:t>
      </w:r>
      <w:proofErr w:type="spellStart"/>
      <w:r w:rsidRPr="00ED4380">
        <w:rPr>
          <w:rFonts w:ascii="Times New Roman" w:hAnsi="Times New Roman" w:cs="Times New Roman"/>
          <w:sz w:val="21"/>
          <w:szCs w:val="21"/>
        </w:rPr>
        <w:t>Platt´s</w:t>
      </w:r>
      <w:proofErr w:type="spellEnd"/>
      <w:r w:rsidRPr="00ED4380">
        <w:rPr>
          <w:rFonts w:ascii="Times New Roman" w:hAnsi="Times New Roman" w:cs="Times New Roman"/>
          <w:sz w:val="21"/>
          <w:szCs w:val="21"/>
        </w:rPr>
        <w:t xml:space="preserve"> que capta los precios del producto).</w:t>
      </w:r>
    </w:p>
    <w:p w:rsidR="006A4FDF" w:rsidRPr="00ED4380" w:rsidRDefault="006A4FDF" w:rsidP="006A4FDF">
      <w:pPr>
        <w:rPr>
          <w:rFonts w:ascii="Times New Roman" w:hAnsi="Times New Roman" w:cs="Times New Roman"/>
          <w:sz w:val="21"/>
          <w:szCs w:val="21"/>
        </w:rPr>
      </w:pPr>
      <w:r w:rsidRPr="00ED4380">
        <w:rPr>
          <w:rFonts w:ascii="Times New Roman" w:hAnsi="Times New Roman" w:cs="Times New Roman"/>
          <w:b/>
          <w:sz w:val="21"/>
          <w:szCs w:val="21"/>
        </w:rPr>
        <w:t xml:space="preserve">AC: </w:t>
      </w:r>
      <w:r w:rsidRPr="00ED4380">
        <w:rPr>
          <w:rFonts w:ascii="Times New Roman" w:hAnsi="Times New Roman" w:cs="Times New Roman"/>
          <w:sz w:val="21"/>
          <w:szCs w:val="21"/>
        </w:rPr>
        <w:t>Ajuste de calidad.</w:t>
      </w:r>
    </w:p>
    <w:p w:rsidR="006A4FDF" w:rsidRPr="00ED4380" w:rsidRDefault="006A4FDF" w:rsidP="006A4FDF">
      <w:pPr>
        <w:rPr>
          <w:rFonts w:ascii="Times New Roman" w:hAnsi="Times New Roman" w:cs="Times New Roman"/>
          <w:sz w:val="21"/>
          <w:szCs w:val="21"/>
        </w:rPr>
      </w:pPr>
      <w:r w:rsidRPr="00ED4380">
        <w:rPr>
          <w:rFonts w:ascii="Times New Roman" w:hAnsi="Times New Roman" w:cs="Times New Roman"/>
          <w:sz w:val="21"/>
          <w:szCs w:val="21"/>
        </w:rPr>
        <w:t xml:space="preserve">Para el caso de las gasolinas, el ajuste de calidad considera un </w:t>
      </w:r>
      <w:r w:rsidRPr="00ED4380">
        <w:rPr>
          <w:rFonts w:ascii="Times New Roman" w:hAnsi="Times New Roman" w:cs="Times New Roman"/>
          <w:b/>
          <w:sz w:val="21"/>
          <w:szCs w:val="21"/>
        </w:rPr>
        <w:t>ajuste por octanaje</w:t>
      </w:r>
      <w:r w:rsidRPr="00ED4380">
        <w:rPr>
          <w:rFonts w:ascii="Times New Roman" w:hAnsi="Times New Roman" w:cs="Times New Roman"/>
          <w:sz w:val="21"/>
          <w:szCs w:val="21"/>
        </w:rPr>
        <w:t xml:space="preserve"> y otro</w:t>
      </w:r>
      <w:r w:rsidRPr="00ED4380">
        <w:rPr>
          <w:rFonts w:ascii="Times New Roman" w:hAnsi="Times New Roman" w:cs="Times New Roman"/>
          <w:b/>
          <w:sz w:val="21"/>
          <w:szCs w:val="21"/>
        </w:rPr>
        <w:t xml:space="preserve"> por presión de vapor (RVP)</w:t>
      </w:r>
      <w:r w:rsidRPr="00ED4380">
        <w:rPr>
          <w:rFonts w:ascii="Times New Roman" w:hAnsi="Times New Roman" w:cs="Times New Roman"/>
          <w:sz w:val="21"/>
          <w:szCs w:val="21"/>
        </w:rPr>
        <w:t>.</w:t>
      </w:r>
    </w:p>
    <w:p w:rsidR="006A4FDF" w:rsidRPr="00ED4380" w:rsidRDefault="006A4FDF" w:rsidP="006A4FDF">
      <w:pPr>
        <w:rPr>
          <w:rFonts w:ascii="Times New Roman" w:hAnsi="Times New Roman" w:cs="Times New Roman"/>
          <w:b/>
          <w:sz w:val="21"/>
          <w:szCs w:val="21"/>
        </w:rPr>
      </w:pPr>
      <w:r w:rsidRPr="00ED4380">
        <w:rPr>
          <w:rFonts w:ascii="Times New Roman" w:hAnsi="Times New Roman" w:cs="Times New Roman"/>
          <w:b/>
          <w:sz w:val="21"/>
          <w:szCs w:val="21"/>
        </w:rPr>
        <w:t>Ajuste por Octanaje</w:t>
      </w:r>
    </w:p>
    <w:p w:rsidR="006A4FDF" w:rsidRPr="00ED4380" w:rsidRDefault="006A4FDF" w:rsidP="006A4FDF">
      <w:pPr>
        <w:rPr>
          <w:rFonts w:ascii="Times New Roman" w:eastAsiaTheme="minorEastAsia" w:hAnsi="Times New Roman" w:cs="Times New Roman"/>
          <w:sz w:val="21"/>
          <w:szCs w:val="21"/>
          <w:u w:val="single"/>
        </w:rPr>
      </w:pPr>
      <w:r w:rsidRPr="00ED4380">
        <w:rPr>
          <w:rFonts w:ascii="Times New Roman" w:hAnsi="Times New Roman" w:cs="Times New Roman"/>
          <w:sz w:val="21"/>
          <w:szCs w:val="21"/>
          <w:u w:val="single"/>
        </w:rPr>
        <w:t>Gasolina superior (especial)</w:t>
      </w:r>
    </w:p>
    <w:p w:rsidR="006A4FDF" w:rsidRPr="00ED4380" w:rsidRDefault="006A4FDF" w:rsidP="006A4FDF">
      <w:pPr>
        <w:rPr>
          <w:rFonts w:ascii="Times New Roman" w:eastAsiaTheme="minorEastAsia" w:hAnsi="Times New Roman" w:cs="Times New Roman"/>
          <w:sz w:val="21"/>
          <w:szCs w:val="21"/>
        </w:rPr>
      </w:pPr>
      <w:r w:rsidRPr="00ED4380">
        <w:rPr>
          <w:rFonts w:ascii="Times New Roman" w:hAnsi="Times New Roman" w:cs="Times New Roman"/>
          <w:sz w:val="21"/>
          <w:szCs w:val="21"/>
        </w:rPr>
        <w:t xml:space="preserve">AC Octano  </w:t>
      </w:r>
      <m:oMath>
        <m:r>
          <w:rPr>
            <w:rFonts w:ascii="Cambria Math" w:hAnsi="Times New Roman" w:cs="Times New Roman"/>
            <w:sz w:val="21"/>
            <w:szCs w:val="21"/>
          </w:rPr>
          <m:t>=</m:t>
        </m:r>
        <m:d>
          <m:dPr>
            <m:ctrlPr>
              <w:rPr>
                <w:rFonts w:ascii="Cambria Math" w:hAnsi="Times New Roman" w:cs="Times New Roman"/>
                <w:i/>
                <w:sz w:val="21"/>
                <w:szCs w:val="21"/>
              </w:rPr>
            </m:ctrlPr>
          </m:dPr>
          <m:e>
            <m:f>
              <m:fPr>
                <m:ctrlPr>
                  <w:rPr>
                    <w:rFonts w:ascii="Cambria Math" w:hAnsi="Times New Roman" w:cs="Times New Roman"/>
                    <w:i/>
                    <w:sz w:val="21"/>
                    <w:szCs w:val="21"/>
                  </w:rPr>
                </m:ctrlPr>
              </m:fPr>
              <m:num>
                <m:r>
                  <m:rPr>
                    <m:sty m:val="p"/>
                  </m:rPr>
                  <w:rPr>
                    <w:rFonts w:ascii="Cambria Math" w:hAnsi="Times New Roman" w:cs="Times New Roman"/>
                    <w:sz w:val="21"/>
                    <w:szCs w:val="21"/>
                  </w:rPr>
                  <m:t>Promedio 6 meses precios Platt</m:t>
                </m:r>
                <m:r>
                  <m:rPr>
                    <m:sty m:val="p"/>
                  </m:rPr>
                  <w:rPr>
                    <w:rFonts w:ascii="Times New Roman" w:hAnsi="Times New Roman" w:cs="Times New Roman"/>
                    <w:sz w:val="21"/>
                    <w:szCs w:val="21"/>
                  </w:rPr>
                  <m:t>´</m:t>
                </m:r>
                <m:r>
                  <m:rPr>
                    <m:sty m:val="p"/>
                  </m:rPr>
                  <w:rPr>
                    <w:rFonts w:ascii="Cambria Math" w:hAnsi="Times New Roman" w:cs="Times New Roman"/>
                    <w:sz w:val="21"/>
                    <w:szCs w:val="21"/>
                  </w:rPr>
                  <m:t xml:space="preserve">s UNL 87 </m:t>
                </m:r>
                <m:r>
                  <m:rPr>
                    <m:sty m:val="p"/>
                  </m:rPr>
                  <w:rPr>
                    <w:rFonts w:ascii="Times New Roman" w:hAnsi="Times New Roman" w:cs="Times New Roman"/>
                    <w:sz w:val="21"/>
                    <w:szCs w:val="21"/>
                  </w:rPr>
                  <m:t>-</m:t>
                </m:r>
                <m:r>
                  <m:rPr>
                    <m:sty m:val="p"/>
                  </m:rPr>
                  <w:rPr>
                    <w:rFonts w:ascii="Cambria Math" w:hAnsi="Times New Roman" w:cs="Times New Roman"/>
                    <w:sz w:val="21"/>
                    <w:szCs w:val="21"/>
                  </w:rPr>
                  <m:t xml:space="preserve"> Promedio 6 meses precios Platt</m:t>
                </m:r>
                <m:r>
                  <m:rPr>
                    <m:sty m:val="p"/>
                  </m:rPr>
                  <w:rPr>
                    <w:rFonts w:ascii="Times New Roman" w:hAnsi="Times New Roman" w:cs="Times New Roman"/>
                    <w:sz w:val="21"/>
                    <w:szCs w:val="21"/>
                  </w:rPr>
                  <m:t>´</m:t>
                </m:r>
                <m:r>
                  <m:rPr>
                    <m:sty m:val="p"/>
                  </m:rPr>
                  <w:rPr>
                    <w:rFonts w:ascii="Cambria Math" w:hAnsi="Times New Roman" w:cs="Times New Roman"/>
                    <w:sz w:val="21"/>
                    <w:szCs w:val="21"/>
                  </w:rPr>
                  <m:t>s UNL 93</m:t>
                </m:r>
              </m:num>
              <m:den>
                <m:r>
                  <w:rPr>
                    <w:rFonts w:ascii="Cambria Math" w:hAnsi="Times New Roman" w:cs="Times New Roman"/>
                    <w:sz w:val="21"/>
                    <w:szCs w:val="21"/>
                  </w:rPr>
                  <m:t>6</m:t>
                </m:r>
              </m:den>
            </m:f>
          </m:e>
        </m:d>
        <m:r>
          <w:rPr>
            <w:rFonts w:ascii="Times New Roman" w:hAnsi="Times New Roman" w:cs="Times New Roman"/>
            <w:sz w:val="21"/>
            <w:szCs w:val="21"/>
          </w:rPr>
          <m:t>×</m:t>
        </m:r>
        <m:d>
          <m:dPr>
            <m:ctrlPr>
              <w:rPr>
                <w:rFonts w:ascii="Cambria Math" w:hAnsi="Times New Roman" w:cs="Times New Roman"/>
                <w:i/>
                <w:sz w:val="21"/>
                <w:szCs w:val="21"/>
              </w:rPr>
            </m:ctrlPr>
          </m:dPr>
          <m:e>
            <m:r>
              <w:rPr>
                <w:rFonts w:ascii="Cambria Math" w:hAnsi="Times New Roman" w:cs="Times New Roman"/>
                <w:sz w:val="21"/>
                <w:szCs w:val="21"/>
              </w:rPr>
              <m:t>4</m:t>
            </m:r>
          </m:e>
        </m:d>
      </m:oMath>
    </w:p>
    <w:p w:rsidR="006A4FDF" w:rsidRPr="00ED4380" w:rsidRDefault="006A4FDF" w:rsidP="006A4FDF">
      <w:pPr>
        <w:rPr>
          <w:rFonts w:ascii="Times New Roman" w:eastAsiaTheme="minorEastAsia" w:hAnsi="Times New Roman" w:cs="Times New Roman"/>
          <w:sz w:val="21"/>
          <w:szCs w:val="21"/>
          <w:u w:val="single"/>
        </w:rPr>
      </w:pPr>
      <w:r w:rsidRPr="00ED4380">
        <w:rPr>
          <w:rFonts w:ascii="Times New Roman" w:hAnsi="Times New Roman" w:cs="Times New Roman"/>
          <w:sz w:val="21"/>
          <w:szCs w:val="21"/>
          <w:u w:val="single"/>
        </w:rPr>
        <w:t>Gasolina regular</w:t>
      </w:r>
    </w:p>
    <w:p w:rsidR="006A4FDF" w:rsidRPr="00ED4380" w:rsidRDefault="006A4FDF" w:rsidP="006A4FDF">
      <w:pPr>
        <w:rPr>
          <w:rFonts w:ascii="Times New Roman" w:eastAsiaTheme="minorEastAsia" w:hAnsi="Times New Roman" w:cs="Times New Roman"/>
          <w:sz w:val="21"/>
          <w:szCs w:val="21"/>
        </w:rPr>
      </w:pPr>
      <w:r w:rsidRPr="00ED4380">
        <w:rPr>
          <w:rFonts w:ascii="Times New Roman" w:hAnsi="Times New Roman" w:cs="Times New Roman"/>
          <w:sz w:val="21"/>
          <w:szCs w:val="21"/>
        </w:rPr>
        <w:t xml:space="preserve">AC Octano  </w:t>
      </w:r>
      <m:oMath>
        <m:r>
          <w:rPr>
            <w:rFonts w:ascii="Cambria Math" w:hAnsi="Times New Roman" w:cs="Times New Roman"/>
            <w:sz w:val="21"/>
            <w:szCs w:val="21"/>
          </w:rPr>
          <m:t>=</m:t>
        </m:r>
        <m:d>
          <m:dPr>
            <m:ctrlPr>
              <w:rPr>
                <w:rFonts w:ascii="Cambria Math" w:hAnsi="Times New Roman" w:cs="Times New Roman"/>
                <w:i/>
                <w:sz w:val="21"/>
                <w:szCs w:val="21"/>
              </w:rPr>
            </m:ctrlPr>
          </m:dPr>
          <m:e>
            <m:f>
              <m:fPr>
                <m:ctrlPr>
                  <w:rPr>
                    <w:rFonts w:ascii="Cambria Math" w:hAnsi="Times New Roman" w:cs="Times New Roman"/>
                    <w:i/>
                    <w:sz w:val="21"/>
                    <w:szCs w:val="21"/>
                  </w:rPr>
                </m:ctrlPr>
              </m:fPr>
              <m:num>
                <m:r>
                  <m:rPr>
                    <m:sty m:val="p"/>
                  </m:rPr>
                  <w:rPr>
                    <w:rFonts w:ascii="Cambria Math" w:hAnsi="Times New Roman" w:cs="Times New Roman"/>
                    <w:sz w:val="21"/>
                    <w:szCs w:val="21"/>
                  </w:rPr>
                  <m:t>Promedio 6 meses precios Platt</m:t>
                </m:r>
                <m:r>
                  <m:rPr>
                    <m:sty m:val="p"/>
                  </m:rPr>
                  <w:rPr>
                    <w:rFonts w:ascii="Times New Roman" w:hAnsi="Times New Roman" w:cs="Times New Roman"/>
                    <w:sz w:val="21"/>
                    <w:szCs w:val="21"/>
                  </w:rPr>
                  <m:t>´</m:t>
                </m:r>
                <m:r>
                  <m:rPr>
                    <m:sty m:val="p"/>
                  </m:rPr>
                  <w:rPr>
                    <w:rFonts w:ascii="Cambria Math" w:hAnsi="Times New Roman" w:cs="Times New Roman"/>
                    <w:sz w:val="21"/>
                    <w:szCs w:val="21"/>
                  </w:rPr>
                  <m:t xml:space="preserve">s UNL 87 </m:t>
                </m:r>
                <m:r>
                  <m:rPr>
                    <m:sty m:val="p"/>
                  </m:rPr>
                  <w:rPr>
                    <w:rFonts w:ascii="Times New Roman" w:hAnsi="Times New Roman" w:cs="Times New Roman"/>
                    <w:sz w:val="21"/>
                    <w:szCs w:val="21"/>
                  </w:rPr>
                  <m:t>-</m:t>
                </m:r>
                <m:r>
                  <m:rPr>
                    <m:sty m:val="p"/>
                  </m:rPr>
                  <w:rPr>
                    <w:rFonts w:ascii="Cambria Math" w:hAnsi="Times New Roman" w:cs="Times New Roman"/>
                    <w:sz w:val="21"/>
                    <w:szCs w:val="21"/>
                  </w:rPr>
                  <m:t xml:space="preserve"> Promedio 6 meses precios Platt</m:t>
                </m:r>
                <m:r>
                  <m:rPr>
                    <m:sty m:val="p"/>
                  </m:rPr>
                  <w:rPr>
                    <w:rFonts w:ascii="Times New Roman" w:hAnsi="Times New Roman" w:cs="Times New Roman"/>
                    <w:sz w:val="21"/>
                    <w:szCs w:val="21"/>
                  </w:rPr>
                  <m:t>´</m:t>
                </m:r>
                <m:r>
                  <m:rPr>
                    <m:sty m:val="p"/>
                  </m:rPr>
                  <w:rPr>
                    <w:rFonts w:ascii="Cambria Math" w:hAnsi="Times New Roman" w:cs="Times New Roman"/>
                    <w:sz w:val="21"/>
                    <w:szCs w:val="21"/>
                  </w:rPr>
                  <m:t>s UNL 93</m:t>
                </m:r>
              </m:num>
              <m:den>
                <m:r>
                  <w:rPr>
                    <w:rFonts w:ascii="Cambria Math" w:hAnsi="Times New Roman" w:cs="Times New Roman"/>
                    <w:sz w:val="21"/>
                    <w:szCs w:val="21"/>
                  </w:rPr>
                  <m:t>6</m:t>
                </m:r>
              </m:den>
            </m:f>
          </m:e>
        </m:d>
        <m:r>
          <w:rPr>
            <w:rFonts w:ascii="Times New Roman" w:hAnsi="Times New Roman" w:cs="Times New Roman"/>
            <w:sz w:val="21"/>
            <w:szCs w:val="21"/>
          </w:rPr>
          <m:t>×</m:t>
        </m:r>
        <m:d>
          <m:dPr>
            <m:ctrlPr>
              <w:rPr>
                <w:rFonts w:ascii="Cambria Math" w:hAnsi="Times New Roman" w:cs="Times New Roman"/>
                <w:i/>
                <w:sz w:val="21"/>
                <w:szCs w:val="21"/>
              </w:rPr>
            </m:ctrlPr>
          </m:dPr>
          <m:e>
            <m:r>
              <w:rPr>
                <w:rFonts w:ascii="Cambria Math" w:hAnsi="Times New Roman" w:cs="Times New Roman"/>
                <w:sz w:val="21"/>
                <w:szCs w:val="21"/>
              </w:rPr>
              <m:t>2</m:t>
            </m:r>
          </m:e>
        </m:d>
      </m:oMath>
    </w:p>
    <w:p w:rsidR="006A4FDF" w:rsidRPr="00ED4380" w:rsidRDefault="006A4FDF" w:rsidP="006A4FDF">
      <w:pPr>
        <w:rPr>
          <w:rFonts w:ascii="Times New Roman" w:eastAsiaTheme="minorEastAsia" w:hAnsi="Times New Roman" w:cs="Times New Roman"/>
          <w:b/>
          <w:sz w:val="21"/>
          <w:szCs w:val="21"/>
        </w:rPr>
      </w:pPr>
      <w:r w:rsidRPr="00ED4380">
        <w:rPr>
          <w:rFonts w:ascii="Times New Roman" w:eastAsiaTheme="minorEastAsia" w:hAnsi="Times New Roman" w:cs="Times New Roman"/>
          <w:b/>
          <w:sz w:val="21"/>
          <w:szCs w:val="21"/>
        </w:rPr>
        <w:t>Ajuste por presión de vapor (RVP)</w:t>
      </w:r>
    </w:p>
    <w:p w:rsidR="006A4FDF" w:rsidRPr="00ED4380" w:rsidRDefault="006A4FDF" w:rsidP="006A4FDF">
      <w:pPr>
        <w:rPr>
          <w:rFonts w:ascii="Times New Roman" w:eastAsiaTheme="minorEastAsia" w:hAnsi="Times New Roman" w:cs="Times New Roman"/>
          <w:sz w:val="21"/>
          <w:szCs w:val="21"/>
          <w:u w:val="single"/>
        </w:rPr>
      </w:pPr>
      <w:r w:rsidRPr="00ED4380">
        <w:rPr>
          <w:rFonts w:ascii="Times New Roman" w:eastAsiaTheme="minorEastAsia" w:hAnsi="Times New Roman" w:cs="Times New Roman"/>
          <w:sz w:val="21"/>
          <w:szCs w:val="21"/>
          <w:u w:val="single"/>
        </w:rPr>
        <w:t>Gasolinas superior y regular</w:t>
      </w:r>
    </w:p>
    <w:p w:rsidR="006A4FDF" w:rsidRPr="00ED4380" w:rsidRDefault="006A4FDF" w:rsidP="006A4FDF">
      <w:pPr>
        <w:rPr>
          <w:rFonts w:ascii="Times New Roman" w:eastAsiaTheme="minorEastAsia" w:hAnsi="Times New Roman" w:cs="Times New Roman"/>
          <w:sz w:val="21"/>
          <w:szCs w:val="21"/>
        </w:rPr>
      </w:pPr>
      <w:r w:rsidRPr="00ED4380">
        <w:rPr>
          <w:rFonts w:ascii="Times New Roman" w:eastAsiaTheme="minorEastAsia" w:hAnsi="Times New Roman" w:cs="Times New Roman"/>
          <w:sz w:val="21"/>
          <w:szCs w:val="21"/>
        </w:rPr>
        <w:t xml:space="preserve">AC RVP </w:t>
      </w:r>
      <m:oMath>
        <m:r>
          <w:rPr>
            <w:rFonts w:ascii="Cambria Math" w:eastAsiaTheme="minorEastAsia" w:hAnsi="Times New Roman" w:cs="Times New Roman"/>
            <w:sz w:val="21"/>
            <w:szCs w:val="21"/>
          </w:rPr>
          <m:t xml:space="preserve">=0.028 </m:t>
        </m:r>
        <m:r>
          <w:rPr>
            <w:rFonts w:ascii="Times New Roman" w:eastAsiaTheme="minorEastAsia" w:hAnsi="Times New Roman" w:cs="Times New Roman"/>
            <w:sz w:val="21"/>
            <w:szCs w:val="21"/>
          </w:rPr>
          <m:t>×</m:t>
        </m:r>
        <m:d>
          <m:dPr>
            <m:ctrlPr>
              <w:rPr>
                <w:rFonts w:ascii="Cambria Math" w:eastAsiaTheme="minorEastAsia" w:hAnsi="Times New Roman" w:cs="Times New Roman"/>
                <w:i/>
                <w:sz w:val="21"/>
                <w:szCs w:val="21"/>
              </w:rPr>
            </m:ctrlPr>
          </m:dPr>
          <m:e>
            <m:r>
              <m:rPr>
                <m:sty m:val="p"/>
              </m:rPr>
              <w:rPr>
                <w:rFonts w:ascii="Cambria Math" w:hAnsi="Times New Roman" w:cs="Times New Roman"/>
                <w:sz w:val="21"/>
                <w:szCs w:val="21"/>
              </w:rPr>
              <m:t>Promedio 6 meses precios Platt</m:t>
            </m:r>
            <m:r>
              <m:rPr>
                <m:sty m:val="p"/>
              </m:rPr>
              <w:rPr>
                <w:rFonts w:ascii="Times New Roman" w:hAnsi="Times New Roman" w:cs="Times New Roman"/>
                <w:sz w:val="21"/>
                <w:szCs w:val="21"/>
              </w:rPr>
              <m:t>´</m:t>
            </m:r>
            <m:r>
              <m:rPr>
                <m:sty m:val="p"/>
              </m:rPr>
              <w:rPr>
                <w:rFonts w:ascii="Cambria Math" w:hAnsi="Times New Roman" w:cs="Times New Roman"/>
                <w:sz w:val="21"/>
                <w:szCs w:val="21"/>
              </w:rPr>
              <m:t xml:space="preserve">s UNL 87 </m:t>
            </m:r>
            <m:r>
              <m:rPr>
                <m:sty m:val="p"/>
              </m:rPr>
              <w:rPr>
                <w:rFonts w:ascii="Times New Roman" w:hAnsi="Times New Roman" w:cs="Times New Roman"/>
                <w:sz w:val="21"/>
                <w:szCs w:val="21"/>
              </w:rPr>
              <m:t>-</m:t>
            </m:r>
            <m:r>
              <m:rPr>
                <m:sty m:val="p"/>
              </m:rPr>
              <w:rPr>
                <w:rFonts w:ascii="Cambria Math" w:hAnsi="Times New Roman" w:cs="Times New Roman"/>
                <w:sz w:val="21"/>
                <w:szCs w:val="21"/>
              </w:rPr>
              <m:t xml:space="preserve"> Promedio 6 meses precios Platt</m:t>
            </m:r>
            <m:r>
              <m:rPr>
                <m:sty m:val="p"/>
              </m:rPr>
              <w:rPr>
                <w:rFonts w:ascii="Times New Roman" w:hAnsi="Times New Roman" w:cs="Times New Roman"/>
                <w:sz w:val="21"/>
                <w:szCs w:val="21"/>
              </w:rPr>
              <m:t>´</m:t>
            </m:r>
            <m:r>
              <m:rPr>
                <m:sty m:val="p"/>
              </m:rPr>
              <w:rPr>
                <w:rFonts w:ascii="Cambria Math" w:hAnsi="Times New Roman" w:cs="Times New Roman"/>
                <w:sz w:val="21"/>
                <w:szCs w:val="21"/>
              </w:rPr>
              <m:t>s UNL 93</m:t>
            </m:r>
          </m:e>
        </m:d>
      </m:oMath>
    </w:p>
    <w:p w:rsidR="006A4FDF" w:rsidRPr="00ED4380" w:rsidRDefault="006A4FDF" w:rsidP="006A4FDF">
      <w:pPr>
        <w:rPr>
          <w:rFonts w:ascii="Times New Roman" w:eastAsiaTheme="minorEastAsia" w:hAnsi="Times New Roman" w:cs="Times New Roman"/>
          <w:sz w:val="21"/>
          <w:szCs w:val="21"/>
        </w:rPr>
      </w:pPr>
      <w:r w:rsidRPr="00ED4380">
        <w:rPr>
          <w:rFonts w:ascii="Times New Roman" w:eastAsiaTheme="minorEastAsia" w:hAnsi="Times New Roman" w:cs="Times New Roman"/>
          <w:sz w:val="21"/>
          <w:szCs w:val="21"/>
        </w:rPr>
        <w:t xml:space="preserve">Para el caso de ambos tipos de diésel  se calculará utilizando el costo del aditivo multiplicado por la cantidad porcentual para que un galón de diésel con índice de </w:t>
      </w:r>
      <w:proofErr w:type="spellStart"/>
      <w:r w:rsidRPr="00ED4380">
        <w:rPr>
          <w:rFonts w:ascii="Times New Roman" w:eastAsiaTheme="minorEastAsia" w:hAnsi="Times New Roman" w:cs="Times New Roman"/>
          <w:sz w:val="21"/>
          <w:szCs w:val="21"/>
        </w:rPr>
        <w:t>cetano</w:t>
      </w:r>
      <w:proofErr w:type="spellEnd"/>
      <w:r w:rsidRPr="00ED4380">
        <w:rPr>
          <w:rFonts w:ascii="Times New Roman" w:eastAsiaTheme="minorEastAsia" w:hAnsi="Times New Roman" w:cs="Times New Roman"/>
          <w:sz w:val="21"/>
          <w:szCs w:val="21"/>
        </w:rPr>
        <w:t xml:space="preserve"> 40 llegue al valor de 45.</w:t>
      </w:r>
    </w:p>
    <w:p w:rsidR="006A4FDF" w:rsidRPr="00ED4380" w:rsidRDefault="006A4FDF" w:rsidP="006A4FDF">
      <w:pPr>
        <w:rPr>
          <w:rFonts w:ascii="Times New Roman" w:hAnsi="Times New Roman" w:cs="Times New Roman"/>
          <w:sz w:val="21"/>
          <w:szCs w:val="21"/>
        </w:rPr>
      </w:pPr>
      <w:r w:rsidRPr="00ED4380">
        <w:rPr>
          <w:rFonts w:ascii="Times New Roman" w:hAnsi="Times New Roman" w:cs="Times New Roman"/>
          <w:b/>
          <w:sz w:val="21"/>
          <w:szCs w:val="21"/>
        </w:rPr>
        <w:t xml:space="preserve">FM: </w:t>
      </w:r>
      <w:r w:rsidRPr="00ED4380">
        <w:rPr>
          <w:rFonts w:ascii="Times New Roman" w:hAnsi="Times New Roman" w:cs="Times New Roman"/>
          <w:sz w:val="21"/>
          <w:szCs w:val="21"/>
        </w:rPr>
        <w:t>Flete marítimo.</w:t>
      </w:r>
    </w:p>
    <w:p w:rsidR="006A4FDF" w:rsidRPr="00ED4380" w:rsidRDefault="006A4FDF" w:rsidP="006A4FDF">
      <w:pPr>
        <w:rPr>
          <w:rFonts w:ascii="Times New Roman" w:hAnsi="Times New Roman" w:cs="Times New Roman"/>
          <w:sz w:val="21"/>
          <w:szCs w:val="21"/>
        </w:rPr>
      </w:pPr>
      <w:r w:rsidRPr="00ED4380">
        <w:rPr>
          <w:rFonts w:ascii="Times New Roman" w:hAnsi="Times New Roman" w:cs="Times New Roman"/>
          <w:sz w:val="21"/>
          <w:szCs w:val="21"/>
        </w:rPr>
        <w:t>El flete marítimo para ambos tipos de diésel y las gasolinas en cada mes corresponde al promedio de los valores mensuales de flete de los seis meses anteriores.</w:t>
      </w:r>
    </w:p>
    <w:p w:rsidR="006A4FDF" w:rsidRPr="00ED4380" w:rsidRDefault="006A4FDF" w:rsidP="006A4FDF">
      <w:pPr>
        <w:rPr>
          <w:rFonts w:ascii="Times New Roman" w:hAnsi="Times New Roman" w:cs="Times New Roman"/>
          <w:sz w:val="21"/>
          <w:szCs w:val="21"/>
        </w:rPr>
      </w:pPr>
      <w:r w:rsidRPr="00ED4380">
        <w:rPr>
          <w:rFonts w:ascii="Times New Roman" w:hAnsi="Times New Roman" w:cs="Times New Roman"/>
          <w:noProof/>
          <w:sz w:val="21"/>
          <w:szCs w:val="21"/>
        </w:rPr>
        <w:drawing>
          <wp:anchor distT="0" distB="0" distL="114300" distR="114300" simplePos="0" relativeHeight="251665408" behindDoc="1" locked="0" layoutInCell="1" allowOverlap="1">
            <wp:simplePos x="0" y="0"/>
            <wp:positionH relativeFrom="column">
              <wp:posOffset>644525</wp:posOffset>
            </wp:positionH>
            <wp:positionV relativeFrom="paragraph">
              <wp:posOffset>163195</wp:posOffset>
            </wp:positionV>
            <wp:extent cx="3349625" cy="596265"/>
            <wp:effectExtent l="0" t="0" r="3175" b="0"/>
            <wp:wrapThrough wrapText="bothSides">
              <wp:wrapPolygon edited="0">
                <wp:start x="0" y="0"/>
                <wp:lineTo x="0" y="20703"/>
                <wp:lineTo x="21498" y="20703"/>
                <wp:lineTo x="21498" y="0"/>
                <wp:lineTo x="0" y="0"/>
              </wp:wrapPolygon>
            </wp:wrapThrough>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7383" t="51104" r="22847" b="21135"/>
                    <a:stretch/>
                  </pic:blipFill>
                  <pic:spPr bwMode="auto">
                    <a:xfrm>
                      <a:off x="0" y="0"/>
                      <a:ext cx="3349625" cy="596265"/>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r w:rsidRPr="00ED4380">
        <w:rPr>
          <w:rFonts w:ascii="Times New Roman" w:hAnsi="Times New Roman" w:cs="Times New Roman"/>
          <w:sz w:val="21"/>
          <w:szCs w:val="21"/>
        </w:rPr>
        <w:t>Para establecer el valor del flete en cada mes para las gasolinas se aplicará la siguiente fórmula:</w:t>
      </w:r>
    </w:p>
    <w:p w:rsidR="006A4FDF" w:rsidRPr="00ED4380" w:rsidRDefault="006A4FDF" w:rsidP="006A4FDF">
      <w:pPr>
        <w:rPr>
          <w:rFonts w:ascii="Times New Roman" w:hAnsi="Times New Roman" w:cs="Times New Roman"/>
          <w:sz w:val="21"/>
          <w:szCs w:val="21"/>
        </w:rPr>
      </w:pPr>
    </w:p>
    <w:p w:rsidR="006A4FDF" w:rsidRPr="00ED4380" w:rsidRDefault="006A4FDF" w:rsidP="006A4FDF">
      <w:pPr>
        <w:rPr>
          <w:rFonts w:ascii="Times New Roman" w:eastAsiaTheme="minorEastAsia" w:hAnsi="Times New Roman" w:cs="Times New Roman"/>
          <w:sz w:val="21"/>
          <w:szCs w:val="21"/>
        </w:rPr>
      </w:pPr>
    </w:p>
    <w:p w:rsidR="006A4FDF" w:rsidRPr="00ED4380" w:rsidRDefault="006A4FDF" w:rsidP="006A4FDF">
      <w:pPr>
        <w:rPr>
          <w:rFonts w:ascii="Times New Roman" w:eastAsiaTheme="minorEastAsia" w:hAnsi="Times New Roman" w:cs="Times New Roman"/>
          <w:sz w:val="21"/>
          <w:szCs w:val="21"/>
        </w:rPr>
      </w:pPr>
      <w:r w:rsidRPr="00ED4380">
        <w:rPr>
          <w:rFonts w:ascii="Times New Roman" w:eastAsiaTheme="minorEastAsia" w:hAnsi="Times New Roman" w:cs="Times New Roman"/>
          <w:sz w:val="21"/>
          <w:szCs w:val="21"/>
        </w:rPr>
        <w:t>Para el caso de ambos tipos de diésel, el flete en cada mes se calculará de la siguiente manera:</w:t>
      </w:r>
    </w:p>
    <w:p w:rsidR="006A4FDF" w:rsidRPr="00ED4380" w:rsidRDefault="006A4FDF" w:rsidP="006A4FDF">
      <w:pPr>
        <w:rPr>
          <w:rFonts w:ascii="Times New Roman" w:eastAsiaTheme="minorEastAsia" w:hAnsi="Times New Roman" w:cs="Times New Roman"/>
          <w:sz w:val="21"/>
          <w:szCs w:val="21"/>
        </w:rPr>
      </w:pPr>
      <w:r w:rsidRPr="00ED4380">
        <w:rPr>
          <w:rFonts w:ascii="Times New Roman" w:hAnsi="Times New Roman" w:cs="Times New Roman"/>
          <w:noProof/>
          <w:sz w:val="21"/>
          <w:szCs w:val="21"/>
        </w:rPr>
        <w:drawing>
          <wp:anchor distT="0" distB="0" distL="114300" distR="114300" simplePos="0" relativeHeight="251666432" behindDoc="1" locked="0" layoutInCell="1" allowOverlap="1">
            <wp:simplePos x="0" y="0"/>
            <wp:positionH relativeFrom="column">
              <wp:posOffset>525145</wp:posOffset>
            </wp:positionH>
            <wp:positionV relativeFrom="paragraph">
              <wp:posOffset>15875</wp:posOffset>
            </wp:positionV>
            <wp:extent cx="3699510" cy="484505"/>
            <wp:effectExtent l="0" t="0" r="0" b="0"/>
            <wp:wrapThrough wrapText="bothSides">
              <wp:wrapPolygon edited="0">
                <wp:start x="0" y="0"/>
                <wp:lineTo x="0" y="20383"/>
                <wp:lineTo x="21467" y="20383"/>
                <wp:lineTo x="21467" y="0"/>
                <wp:lineTo x="0" y="0"/>
              </wp:wrapPolygon>
            </wp:wrapThrough>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8495" t="43769" r="15360" b="31694"/>
                    <a:stretch/>
                  </pic:blipFill>
                  <pic:spPr bwMode="auto">
                    <a:xfrm>
                      <a:off x="0" y="0"/>
                      <a:ext cx="3699510" cy="484505"/>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p>
    <w:p w:rsidR="006A4FDF" w:rsidRPr="00ED4380" w:rsidRDefault="006A4FDF" w:rsidP="006A4FDF">
      <w:pPr>
        <w:rPr>
          <w:rFonts w:ascii="Times New Roman" w:eastAsiaTheme="minorEastAsia" w:hAnsi="Times New Roman" w:cs="Times New Roman"/>
          <w:sz w:val="21"/>
          <w:szCs w:val="21"/>
        </w:rPr>
      </w:pPr>
    </w:p>
    <w:p w:rsidR="006A4FDF" w:rsidRPr="00ED4380" w:rsidRDefault="006A4FDF" w:rsidP="006A4FDF">
      <w:pPr>
        <w:rPr>
          <w:rFonts w:ascii="Times New Roman" w:eastAsiaTheme="minorEastAsia" w:hAnsi="Times New Roman" w:cs="Times New Roman"/>
          <w:sz w:val="21"/>
          <w:szCs w:val="21"/>
        </w:rPr>
      </w:pPr>
      <w:r w:rsidRPr="00ED4380">
        <w:rPr>
          <w:rFonts w:ascii="Times New Roman" w:eastAsiaTheme="minorEastAsia" w:hAnsi="Times New Roman" w:cs="Times New Roman"/>
          <w:sz w:val="21"/>
          <w:szCs w:val="21"/>
        </w:rPr>
        <w:t>Siendo:</w:t>
      </w:r>
    </w:p>
    <w:p w:rsidR="006A4FDF" w:rsidRPr="00ED4380" w:rsidRDefault="006A4FDF" w:rsidP="006A4FDF">
      <w:pPr>
        <w:rPr>
          <w:rFonts w:ascii="Times New Roman" w:eastAsiaTheme="minorEastAsia" w:hAnsi="Times New Roman" w:cs="Times New Roman"/>
          <w:sz w:val="21"/>
          <w:szCs w:val="21"/>
        </w:rPr>
      </w:pPr>
      <w:proofErr w:type="spellStart"/>
      <w:r w:rsidRPr="00ED4380">
        <w:rPr>
          <w:rFonts w:ascii="Times New Roman" w:eastAsiaTheme="minorEastAsia" w:hAnsi="Times New Roman" w:cs="Times New Roman"/>
          <w:b/>
          <w:sz w:val="21"/>
          <w:szCs w:val="21"/>
        </w:rPr>
        <w:t>Flats</w:t>
      </w:r>
      <w:proofErr w:type="spellEnd"/>
      <w:r w:rsidRPr="00ED4380">
        <w:rPr>
          <w:rFonts w:ascii="Times New Roman" w:eastAsiaTheme="minorEastAsia" w:hAnsi="Times New Roman" w:cs="Times New Roman"/>
          <w:b/>
          <w:sz w:val="21"/>
          <w:szCs w:val="21"/>
        </w:rPr>
        <w:t>:</w:t>
      </w:r>
      <w:r w:rsidRPr="00ED4380">
        <w:rPr>
          <w:rFonts w:ascii="Times New Roman" w:eastAsiaTheme="minorEastAsia" w:hAnsi="Times New Roman" w:cs="Times New Roman"/>
          <w:sz w:val="21"/>
          <w:szCs w:val="21"/>
        </w:rPr>
        <w:t xml:space="preserve"> Es la tarifa anual </w:t>
      </w:r>
      <w:proofErr w:type="spellStart"/>
      <w:r w:rsidRPr="00ED4380">
        <w:rPr>
          <w:rFonts w:ascii="Times New Roman" w:eastAsiaTheme="minorEastAsia" w:hAnsi="Times New Roman" w:cs="Times New Roman"/>
          <w:sz w:val="21"/>
          <w:szCs w:val="21"/>
        </w:rPr>
        <w:t>Worldscale</w:t>
      </w:r>
      <w:proofErr w:type="spellEnd"/>
      <w:r w:rsidRPr="00ED4380">
        <w:rPr>
          <w:rFonts w:ascii="Times New Roman" w:eastAsiaTheme="minorEastAsia" w:hAnsi="Times New Roman" w:cs="Times New Roman"/>
          <w:sz w:val="21"/>
          <w:szCs w:val="21"/>
        </w:rPr>
        <w:t xml:space="preserve"> </w:t>
      </w:r>
      <w:proofErr w:type="spellStart"/>
      <w:r w:rsidRPr="00ED4380">
        <w:rPr>
          <w:rFonts w:ascii="Times New Roman" w:eastAsiaTheme="minorEastAsia" w:hAnsi="Times New Roman" w:cs="Times New Roman"/>
          <w:sz w:val="21"/>
          <w:szCs w:val="21"/>
        </w:rPr>
        <w:t>Flats</w:t>
      </w:r>
      <w:proofErr w:type="spellEnd"/>
      <w:r w:rsidRPr="00ED4380">
        <w:rPr>
          <w:rFonts w:ascii="Times New Roman" w:eastAsiaTheme="minorEastAsia" w:hAnsi="Times New Roman" w:cs="Times New Roman"/>
          <w:sz w:val="21"/>
          <w:szCs w:val="21"/>
        </w:rPr>
        <w:t xml:space="preserve"> publicada por </w:t>
      </w:r>
      <w:proofErr w:type="spellStart"/>
      <w:r w:rsidRPr="00ED4380">
        <w:rPr>
          <w:rFonts w:ascii="Times New Roman" w:eastAsiaTheme="minorEastAsia" w:hAnsi="Times New Roman" w:cs="Times New Roman"/>
          <w:sz w:val="21"/>
          <w:szCs w:val="21"/>
        </w:rPr>
        <w:t>Worldscale</w:t>
      </w:r>
      <w:proofErr w:type="spellEnd"/>
      <w:r w:rsidRPr="00ED4380">
        <w:rPr>
          <w:rFonts w:ascii="Times New Roman" w:eastAsiaTheme="minorEastAsia" w:hAnsi="Times New Roman" w:cs="Times New Roman"/>
          <w:sz w:val="21"/>
          <w:szCs w:val="21"/>
        </w:rPr>
        <w:t xml:space="preserve"> </w:t>
      </w:r>
      <w:proofErr w:type="spellStart"/>
      <w:r w:rsidRPr="00ED4380">
        <w:rPr>
          <w:rFonts w:ascii="Times New Roman" w:eastAsiaTheme="minorEastAsia" w:hAnsi="Times New Roman" w:cs="Times New Roman"/>
          <w:sz w:val="21"/>
          <w:szCs w:val="21"/>
        </w:rPr>
        <w:t>Association</w:t>
      </w:r>
      <w:proofErr w:type="spellEnd"/>
      <w:r w:rsidRPr="00ED4380">
        <w:rPr>
          <w:rFonts w:ascii="Times New Roman" w:eastAsiaTheme="minorEastAsia" w:hAnsi="Times New Roman" w:cs="Times New Roman"/>
          <w:sz w:val="21"/>
          <w:szCs w:val="21"/>
        </w:rPr>
        <w:t xml:space="preserve"> para la ruta USGC – </w:t>
      </w:r>
      <w:proofErr w:type="spellStart"/>
      <w:r w:rsidRPr="00ED4380">
        <w:rPr>
          <w:rFonts w:ascii="Times New Roman" w:eastAsiaTheme="minorEastAsia" w:hAnsi="Times New Roman" w:cs="Times New Roman"/>
          <w:sz w:val="21"/>
          <w:szCs w:val="21"/>
        </w:rPr>
        <w:t>Acajutla</w:t>
      </w:r>
      <w:proofErr w:type="spellEnd"/>
      <w:r w:rsidRPr="00ED4380">
        <w:rPr>
          <w:rFonts w:ascii="Times New Roman" w:eastAsiaTheme="minorEastAsia" w:hAnsi="Times New Roman" w:cs="Times New Roman"/>
          <w:sz w:val="21"/>
          <w:szCs w:val="21"/>
        </w:rPr>
        <w:t xml:space="preserve"> (ES) – San </w:t>
      </w:r>
      <w:proofErr w:type="spellStart"/>
      <w:r w:rsidRPr="00ED4380">
        <w:rPr>
          <w:rFonts w:ascii="Times New Roman" w:eastAsiaTheme="minorEastAsia" w:hAnsi="Times New Roman" w:cs="Times New Roman"/>
          <w:sz w:val="21"/>
          <w:szCs w:val="21"/>
        </w:rPr>
        <w:t>Jose</w:t>
      </w:r>
      <w:proofErr w:type="spellEnd"/>
      <w:r w:rsidRPr="00ED4380">
        <w:rPr>
          <w:rFonts w:ascii="Times New Roman" w:eastAsiaTheme="minorEastAsia" w:hAnsi="Times New Roman" w:cs="Times New Roman"/>
          <w:sz w:val="21"/>
          <w:szCs w:val="21"/>
        </w:rPr>
        <w:t xml:space="preserve"> (GUA) – San Lorenzo (HON) para un buque de 38,000 </w:t>
      </w:r>
      <w:proofErr w:type="spellStart"/>
      <w:r w:rsidRPr="00ED4380">
        <w:rPr>
          <w:rFonts w:ascii="Times New Roman" w:eastAsiaTheme="minorEastAsia" w:hAnsi="Times New Roman" w:cs="Times New Roman"/>
          <w:sz w:val="21"/>
          <w:szCs w:val="21"/>
        </w:rPr>
        <w:t>tonelandas</w:t>
      </w:r>
      <w:proofErr w:type="spellEnd"/>
      <w:r w:rsidRPr="00ED4380">
        <w:rPr>
          <w:rFonts w:ascii="Times New Roman" w:eastAsiaTheme="minorEastAsia" w:hAnsi="Times New Roman" w:cs="Times New Roman"/>
          <w:sz w:val="21"/>
          <w:szCs w:val="21"/>
        </w:rPr>
        <w:t xml:space="preserve"> métricas.</w:t>
      </w:r>
    </w:p>
    <w:p w:rsidR="006A4FDF" w:rsidRPr="00ED4380" w:rsidRDefault="006A4FDF" w:rsidP="006A4FDF">
      <w:pPr>
        <w:rPr>
          <w:rFonts w:ascii="Times New Roman" w:eastAsiaTheme="minorEastAsia" w:hAnsi="Times New Roman" w:cs="Times New Roman"/>
          <w:sz w:val="21"/>
          <w:szCs w:val="21"/>
        </w:rPr>
      </w:pPr>
      <w:r w:rsidRPr="00ED4380">
        <w:rPr>
          <w:rFonts w:ascii="Times New Roman" w:eastAsiaTheme="minorEastAsia" w:hAnsi="Times New Roman" w:cs="Times New Roman"/>
          <w:b/>
          <w:sz w:val="21"/>
          <w:szCs w:val="21"/>
        </w:rPr>
        <w:t xml:space="preserve">MW: </w:t>
      </w:r>
      <w:r w:rsidRPr="00ED4380">
        <w:rPr>
          <w:rFonts w:ascii="Times New Roman" w:eastAsiaTheme="minorEastAsia" w:hAnsi="Times New Roman" w:cs="Times New Roman"/>
          <w:sz w:val="21"/>
          <w:szCs w:val="21"/>
        </w:rPr>
        <w:t xml:space="preserve">Multiplicador del </w:t>
      </w:r>
      <w:proofErr w:type="spellStart"/>
      <w:r w:rsidRPr="00ED4380">
        <w:rPr>
          <w:rFonts w:ascii="Times New Roman" w:eastAsiaTheme="minorEastAsia" w:hAnsi="Times New Roman" w:cs="Times New Roman"/>
          <w:sz w:val="21"/>
          <w:szCs w:val="21"/>
        </w:rPr>
        <w:t>World</w:t>
      </w:r>
      <w:proofErr w:type="spellEnd"/>
      <w:r w:rsidRPr="00ED4380">
        <w:rPr>
          <w:rFonts w:ascii="Times New Roman" w:eastAsiaTheme="minorEastAsia" w:hAnsi="Times New Roman" w:cs="Times New Roman"/>
          <w:sz w:val="21"/>
          <w:szCs w:val="21"/>
        </w:rPr>
        <w:t xml:space="preserve"> </w:t>
      </w:r>
      <w:proofErr w:type="spellStart"/>
      <w:r w:rsidRPr="00ED4380">
        <w:rPr>
          <w:rFonts w:ascii="Times New Roman" w:eastAsiaTheme="minorEastAsia" w:hAnsi="Times New Roman" w:cs="Times New Roman"/>
          <w:sz w:val="21"/>
          <w:szCs w:val="21"/>
        </w:rPr>
        <w:t>Scale</w:t>
      </w:r>
      <w:proofErr w:type="spellEnd"/>
      <w:r w:rsidRPr="00ED4380">
        <w:rPr>
          <w:rFonts w:ascii="Times New Roman" w:eastAsiaTheme="minorEastAsia" w:hAnsi="Times New Roman" w:cs="Times New Roman"/>
          <w:sz w:val="21"/>
          <w:szCs w:val="21"/>
        </w:rPr>
        <w:t xml:space="preserve"> </w:t>
      </w:r>
      <w:proofErr w:type="spellStart"/>
      <w:r w:rsidRPr="00ED4380">
        <w:rPr>
          <w:rFonts w:ascii="Times New Roman" w:eastAsiaTheme="minorEastAsia" w:hAnsi="Times New Roman" w:cs="Times New Roman"/>
          <w:sz w:val="21"/>
          <w:szCs w:val="21"/>
        </w:rPr>
        <w:t>Flats</w:t>
      </w:r>
      <w:proofErr w:type="spellEnd"/>
      <w:r w:rsidRPr="00ED4380">
        <w:rPr>
          <w:rFonts w:ascii="Times New Roman" w:eastAsiaTheme="minorEastAsia" w:hAnsi="Times New Roman" w:cs="Times New Roman"/>
          <w:sz w:val="21"/>
          <w:szCs w:val="21"/>
        </w:rPr>
        <w:t xml:space="preserve">, utilizándose el promedio de los últimos seis meses del valor publicado en el </w:t>
      </w:r>
      <w:proofErr w:type="spellStart"/>
      <w:r w:rsidRPr="00ED4380">
        <w:rPr>
          <w:rFonts w:ascii="Times New Roman" w:eastAsiaTheme="minorEastAsia" w:hAnsi="Times New Roman" w:cs="Times New Roman"/>
          <w:sz w:val="21"/>
          <w:szCs w:val="21"/>
        </w:rPr>
        <w:t>Platt´s</w:t>
      </w:r>
      <w:proofErr w:type="spellEnd"/>
      <w:r w:rsidRPr="00ED4380">
        <w:rPr>
          <w:rFonts w:ascii="Times New Roman" w:eastAsiaTheme="minorEastAsia" w:hAnsi="Times New Roman" w:cs="Times New Roman"/>
          <w:sz w:val="21"/>
          <w:szCs w:val="21"/>
        </w:rPr>
        <w:t xml:space="preserve"> Global </w:t>
      </w:r>
      <w:proofErr w:type="spellStart"/>
      <w:r w:rsidRPr="00ED4380">
        <w:rPr>
          <w:rFonts w:ascii="Times New Roman" w:eastAsiaTheme="minorEastAsia" w:hAnsi="Times New Roman" w:cs="Times New Roman"/>
          <w:sz w:val="21"/>
          <w:szCs w:val="21"/>
        </w:rPr>
        <w:t>Alert</w:t>
      </w:r>
      <w:proofErr w:type="spellEnd"/>
      <w:r w:rsidRPr="00ED4380">
        <w:rPr>
          <w:rFonts w:ascii="Times New Roman" w:eastAsiaTheme="minorEastAsia" w:hAnsi="Times New Roman" w:cs="Times New Roman"/>
          <w:sz w:val="21"/>
          <w:szCs w:val="21"/>
        </w:rPr>
        <w:t xml:space="preserve"> bajo el título </w:t>
      </w:r>
      <w:proofErr w:type="spellStart"/>
      <w:r w:rsidRPr="00ED4380">
        <w:rPr>
          <w:rFonts w:ascii="Times New Roman" w:eastAsiaTheme="minorEastAsia" w:hAnsi="Times New Roman" w:cs="Times New Roman"/>
          <w:sz w:val="21"/>
          <w:szCs w:val="21"/>
        </w:rPr>
        <w:t>Platt´s</w:t>
      </w:r>
      <w:proofErr w:type="spellEnd"/>
      <w:r w:rsidRPr="00ED4380">
        <w:rPr>
          <w:rFonts w:ascii="Times New Roman" w:eastAsiaTheme="minorEastAsia" w:hAnsi="Times New Roman" w:cs="Times New Roman"/>
          <w:sz w:val="21"/>
          <w:szCs w:val="21"/>
        </w:rPr>
        <w:t xml:space="preserve"> </w:t>
      </w:r>
      <w:proofErr w:type="spellStart"/>
      <w:r w:rsidRPr="00ED4380">
        <w:rPr>
          <w:rFonts w:ascii="Times New Roman" w:eastAsiaTheme="minorEastAsia" w:hAnsi="Times New Roman" w:cs="Times New Roman"/>
          <w:sz w:val="21"/>
          <w:szCs w:val="21"/>
        </w:rPr>
        <w:t>Clean</w:t>
      </w:r>
      <w:proofErr w:type="spellEnd"/>
      <w:r w:rsidRPr="00ED4380">
        <w:rPr>
          <w:rFonts w:ascii="Times New Roman" w:eastAsiaTheme="minorEastAsia" w:hAnsi="Times New Roman" w:cs="Times New Roman"/>
          <w:sz w:val="21"/>
          <w:szCs w:val="21"/>
        </w:rPr>
        <w:t xml:space="preserve"> </w:t>
      </w:r>
      <w:proofErr w:type="spellStart"/>
      <w:r w:rsidRPr="00ED4380">
        <w:rPr>
          <w:rFonts w:ascii="Times New Roman" w:eastAsiaTheme="minorEastAsia" w:hAnsi="Times New Roman" w:cs="Times New Roman"/>
          <w:sz w:val="21"/>
          <w:szCs w:val="21"/>
        </w:rPr>
        <w:t>tanker</w:t>
      </w:r>
      <w:proofErr w:type="spellEnd"/>
      <w:r w:rsidRPr="00ED4380">
        <w:rPr>
          <w:rFonts w:ascii="Times New Roman" w:eastAsiaTheme="minorEastAsia" w:hAnsi="Times New Roman" w:cs="Times New Roman"/>
          <w:sz w:val="21"/>
          <w:szCs w:val="21"/>
        </w:rPr>
        <w:t xml:space="preserve"> </w:t>
      </w:r>
      <w:proofErr w:type="spellStart"/>
      <w:r w:rsidRPr="00ED4380">
        <w:rPr>
          <w:rFonts w:ascii="Times New Roman" w:eastAsiaTheme="minorEastAsia" w:hAnsi="Times New Roman" w:cs="Times New Roman"/>
          <w:sz w:val="21"/>
          <w:szCs w:val="21"/>
        </w:rPr>
        <w:t>rate</w:t>
      </w:r>
      <w:proofErr w:type="spellEnd"/>
      <w:r w:rsidRPr="00ED4380">
        <w:rPr>
          <w:rFonts w:ascii="Times New Roman" w:eastAsiaTheme="minorEastAsia" w:hAnsi="Times New Roman" w:cs="Times New Roman"/>
          <w:sz w:val="21"/>
          <w:szCs w:val="21"/>
        </w:rPr>
        <w:t xml:space="preserve"> </w:t>
      </w:r>
      <w:proofErr w:type="spellStart"/>
      <w:r w:rsidRPr="00ED4380">
        <w:rPr>
          <w:rFonts w:ascii="Times New Roman" w:eastAsiaTheme="minorEastAsia" w:hAnsi="Times New Roman" w:cs="Times New Roman"/>
          <w:sz w:val="21"/>
          <w:szCs w:val="21"/>
        </w:rPr>
        <w:t>assessments</w:t>
      </w:r>
      <w:proofErr w:type="spellEnd"/>
      <w:r w:rsidRPr="00ED4380">
        <w:rPr>
          <w:rFonts w:ascii="Times New Roman" w:eastAsiaTheme="minorEastAsia" w:hAnsi="Times New Roman" w:cs="Times New Roman"/>
          <w:sz w:val="21"/>
          <w:szCs w:val="21"/>
        </w:rPr>
        <w:t xml:space="preserve"> para buques de 38,000 toneladas métricas y la ruta USGC – </w:t>
      </w:r>
      <w:proofErr w:type="spellStart"/>
      <w:r w:rsidRPr="00ED4380">
        <w:rPr>
          <w:rFonts w:ascii="Times New Roman" w:eastAsiaTheme="minorEastAsia" w:hAnsi="Times New Roman" w:cs="Times New Roman"/>
          <w:sz w:val="21"/>
          <w:szCs w:val="21"/>
        </w:rPr>
        <w:t>Caribbean</w:t>
      </w:r>
      <w:proofErr w:type="spellEnd"/>
      <w:r w:rsidRPr="00ED4380">
        <w:rPr>
          <w:rFonts w:ascii="Times New Roman" w:eastAsiaTheme="minorEastAsia" w:hAnsi="Times New Roman" w:cs="Times New Roman"/>
          <w:sz w:val="21"/>
          <w:szCs w:val="21"/>
        </w:rPr>
        <w:t>.</w:t>
      </w:r>
    </w:p>
    <w:p w:rsidR="006A4FDF" w:rsidRPr="00ED4380" w:rsidRDefault="006A4FDF" w:rsidP="006A4FDF">
      <w:pPr>
        <w:rPr>
          <w:rFonts w:ascii="Times New Roman" w:eastAsiaTheme="minorEastAsia" w:hAnsi="Times New Roman" w:cs="Times New Roman"/>
          <w:sz w:val="21"/>
          <w:szCs w:val="21"/>
        </w:rPr>
      </w:pPr>
    </w:p>
    <w:p w:rsidR="006A4FDF" w:rsidRPr="00ED4380" w:rsidRDefault="006A4FDF" w:rsidP="006A4FDF">
      <w:pPr>
        <w:rPr>
          <w:rFonts w:ascii="Times New Roman" w:hAnsi="Times New Roman" w:cs="Times New Roman"/>
          <w:sz w:val="21"/>
          <w:szCs w:val="21"/>
        </w:rPr>
      </w:pPr>
      <w:r w:rsidRPr="00ED4380">
        <w:rPr>
          <w:rFonts w:ascii="Times New Roman" w:hAnsi="Times New Roman" w:cs="Times New Roman"/>
          <w:b/>
          <w:sz w:val="21"/>
          <w:szCs w:val="21"/>
        </w:rPr>
        <w:t xml:space="preserve">SM: </w:t>
      </w:r>
      <w:r w:rsidRPr="00ED4380">
        <w:rPr>
          <w:rFonts w:ascii="Times New Roman" w:hAnsi="Times New Roman" w:cs="Times New Roman"/>
          <w:sz w:val="21"/>
          <w:szCs w:val="21"/>
        </w:rPr>
        <w:t>Seguro marítimo para las gasolinas y ambos tipos de diésel resulta de aplicar la tasa de 0.0375% a la sumatoria del precio FOB del producto y el flete marítimo.</w:t>
      </w:r>
    </w:p>
    <w:p w:rsidR="006A4FDF" w:rsidRPr="00ED4380" w:rsidRDefault="006A4FDF" w:rsidP="006A4FDF">
      <w:pPr>
        <w:rPr>
          <w:rFonts w:ascii="Times New Roman" w:hAnsi="Times New Roman" w:cs="Times New Roman"/>
          <w:sz w:val="21"/>
          <w:szCs w:val="21"/>
        </w:rPr>
      </w:pPr>
      <w:r w:rsidRPr="00ED4380">
        <w:rPr>
          <w:rFonts w:ascii="Times New Roman" w:hAnsi="Times New Roman" w:cs="Times New Roman"/>
          <w:b/>
          <w:sz w:val="21"/>
          <w:szCs w:val="21"/>
        </w:rPr>
        <w:lastRenderedPageBreak/>
        <w:t xml:space="preserve">PT: </w:t>
      </w:r>
      <w:r w:rsidRPr="00ED4380">
        <w:rPr>
          <w:rFonts w:ascii="Times New Roman" w:hAnsi="Times New Roman" w:cs="Times New Roman"/>
          <w:sz w:val="21"/>
          <w:szCs w:val="21"/>
        </w:rPr>
        <w:t>Pérdidas en tránsito para las gasolinas y ambos tipos de diésel resultan de aplicar la tasa de 0.13% a la sumatoria del precio FOB del producto, flete marítimo y seguro marítimo.</w:t>
      </w:r>
    </w:p>
    <w:p w:rsidR="006A4FDF" w:rsidRPr="00ED4380" w:rsidRDefault="006A4FDF" w:rsidP="006A4FDF">
      <w:pPr>
        <w:rPr>
          <w:rFonts w:ascii="Times New Roman" w:hAnsi="Times New Roman" w:cs="Times New Roman"/>
          <w:sz w:val="21"/>
          <w:szCs w:val="21"/>
        </w:rPr>
      </w:pPr>
      <w:r w:rsidRPr="00ED4380">
        <w:rPr>
          <w:rFonts w:ascii="Times New Roman" w:hAnsi="Times New Roman" w:cs="Times New Roman"/>
          <w:b/>
          <w:sz w:val="21"/>
          <w:szCs w:val="21"/>
        </w:rPr>
        <w:t xml:space="preserve">Costo de internación: </w:t>
      </w:r>
      <w:r w:rsidRPr="00ED4380">
        <w:rPr>
          <w:rFonts w:ascii="Times New Roman" w:hAnsi="Times New Roman" w:cs="Times New Roman"/>
          <w:sz w:val="21"/>
          <w:szCs w:val="21"/>
        </w:rPr>
        <w:t>Se tomará como costo de internación el valor de $0.03 por galón de ambos tipos de diésel y gasolinas.</w:t>
      </w:r>
    </w:p>
    <w:p w:rsidR="006A4FDF" w:rsidRPr="00ED4380" w:rsidRDefault="006A4FDF" w:rsidP="006A4FDF">
      <w:pPr>
        <w:rPr>
          <w:rFonts w:ascii="Times New Roman" w:hAnsi="Times New Roman" w:cs="Times New Roman"/>
          <w:sz w:val="21"/>
          <w:szCs w:val="21"/>
        </w:rPr>
      </w:pPr>
      <w:r w:rsidRPr="00ED4380">
        <w:rPr>
          <w:rFonts w:ascii="Times New Roman" w:hAnsi="Times New Roman" w:cs="Times New Roman"/>
          <w:b/>
          <w:sz w:val="21"/>
          <w:szCs w:val="21"/>
        </w:rPr>
        <w:t xml:space="preserve">Flete local: </w:t>
      </w:r>
      <w:r w:rsidRPr="00ED4380">
        <w:rPr>
          <w:rFonts w:ascii="Times New Roman" w:hAnsi="Times New Roman" w:cs="Times New Roman"/>
          <w:sz w:val="21"/>
          <w:szCs w:val="21"/>
        </w:rPr>
        <w:t>Se reconocen fletes diferenciados según la zona del país, los valores son los siguientes:</w:t>
      </w:r>
    </w:p>
    <w:p w:rsidR="006A4FDF" w:rsidRPr="00ED4380" w:rsidRDefault="006A4FDF" w:rsidP="006A4FDF">
      <w:pPr>
        <w:rPr>
          <w:rFonts w:ascii="Times New Roman" w:hAnsi="Times New Roman" w:cs="Times New Roman"/>
          <w:sz w:val="21"/>
          <w:szCs w:val="21"/>
        </w:rPr>
      </w:pPr>
      <w:proofErr w:type="spellStart"/>
      <w:r w:rsidRPr="00ED4380">
        <w:rPr>
          <w:rFonts w:ascii="Times New Roman" w:hAnsi="Times New Roman" w:cs="Times New Roman"/>
          <w:sz w:val="21"/>
          <w:szCs w:val="21"/>
        </w:rPr>
        <w:t>Acajutla</w:t>
      </w:r>
      <w:proofErr w:type="spellEnd"/>
      <w:r w:rsidRPr="00ED4380">
        <w:rPr>
          <w:rFonts w:ascii="Times New Roman" w:hAnsi="Times New Roman" w:cs="Times New Roman"/>
          <w:sz w:val="21"/>
          <w:szCs w:val="21"/>
        </w:rPr>
        <w:t xml:space="preserve"> – San Salvador $0.036 por galón; </w:t>
      </w:r>
      <w:proofErr w:type="spellStart"/>
      <w:r w:rsidRPr="00ED4380">
        <w:rPr>
          <w:rFonts w:ascii="Times New Roman" w:hAnsi="Times New Roman" w:cs="Times New Roman"/>
          <w:sz w:val="21"/>
          <w:szCs w:val="21"/>
        </w:rPr>
        <w:t>Acajutla</w:t>
      </w:r>
      <w:proofErr w:type="spellEnd"/>
      <w:r w:rsidRPr="00ED4380">
        <w:rPr>
          <w:rFonts w:ascii="Times New Roman" w:hAnsi="Times New Roman" w:cs="Times New Roman"/>
          <w:sz w:val="21"/>
          <w:szCs w:val="21"/>
        </w:rPr>
        <w:t xml:space="preserve"> – Santa Ana $0.044 por galón; </w:t>
      </w:r>
      <w:proofErr w:type="spellStart"/>
      <w:r w:rsidRPr="00ED4380">
        <w:rPr>
          <w:rFonts w:ascii="Times New Roman" w:hAnsi="Times New Roman" w:cs="Times New Roman"/>
          <w:sz w:val="21"/>
          <w:szCs w:val="21"/>
        </w:rPr>
        <w:t>Acajutla</w:t>
      </w:r>
      <w:proofErr w:type="spellEnd"/>
      <w:r w:rsidRPr="00ED4380">
        <w:rPr>
          <w:rFonts w:ascii="Times New Roman" w:hAnsi="Times New Roman" w:cs="Times New Roman"/>
          <w:sz w:val="21"/>
          <w:szCs w:val="21"/>
        </w:rPr>
        <w:t xml:space="preserve"> – San Miguel $0.074 por galón.</w:t>
      </w:r>
    </w:p>
    <w:p w:rsidR="006A4FDF" w:rsidRPr="00ED4380" w:rsidRDefault="006A4FDF" w:rsidP="006A4FDF">
      <w:pPr>
        <w:rPr>
          <w:rFonts w:ascii="Times New Roman" w:hAnsi="Times New Roman" w:cs="Times New Roman"/>
          <w:sz w:val="21"/>
          <w:szCs w:val="21"/>
        </w:rPr>
      </w:pPr>
      <w:r w:rsidRPr="00ED4380">
        <w:rPr>
          <w:rFonts w:ascii="Times New Roman" w:hAnsi="Times New Roman" w:cs="Times New Roman"/>
          <w:b/>
          <w:sz w:val="21"/>
          <w:szCs w:val="21"/>
        </w:rPr>
        <w:t xml:space="preserve">Margen del Mayorista (Importador – Distribuidor) y Margen del Minorista (Estación de Servicio): </w:t>
      </w:r>
      <w:r w:rsidRPr="00ED4380">
        <w:rPr>
          <w:rFonts w:ascii="Times New Roman" w:hAnsi="Times New Roman" w:cs="Times New Roman"/>
          <w:sz w:val="21"/>
          <w:szCs w:val="21"/>
        </w:rPr>
        <w:t>16% de la tasa interna de retorno, dicha tasa será revisado en función de las condiciones del mercado.</w:t>
      </w:r>
    </w:p>
    <w:p w:rsidR="006A4FDF" w:rsidRPr="00ED4380" w:rsidRDefault="006A4FDF" w:rsidP="006A4FDF">
      <w:pPr>
        <w:rPr>
          <w:rFonts w:ascii="Times New Roman" w:hAnsi="Times New Roman" w:cs="Times New Roman"/>
          <w:b/>
          <w:sz w:val="21"/>
          <w:szCs w:val="21"/>
        </w:rPr>
      </w:pPr>
    </w:p>
    <w:p w:rsidR="006A4FDF" w:rsidRPr="00ED4380" w:rsidRDefault="006A4FDF" w:rsidP="006A4FDF">
      <w:pPr>
        <w:rPr>
          <w:rFonts w:ascii="Times New Roman" w:hAnsi="Times New Roman" w:cs="Times New Roman"/>
          <w:b/>
          <w:sz w:val="21"/>
          <w:szCs w:val="21"/>
        </w:rPr>
      </w:pPr>
      <w:r w:rsidRPr="00ED4380">
        <w:rPr>
          <w:rFonts w:ascii="Times New Roman" w:hAnsi="Times New Roman" w:cs="Times New Roman"/>
          <w:b/>
          <w:sz w:val="21"/>
          <w:szCs w:val="21"/>
        </w:rPr>
        <w:t>Tributos:</w:t>
      </w:r>
    </w:p>
    <w:tbl>
      <w:tblPr>
        <w:tblW w:w="6080" w:type="dxa"/>
        <w:tblInd w:w="55" w:type="dxa"/>
        <w:tblCellMar>
          <w:left w:w="70" w:type="dxa"/>
          <w:right w:w="70" w:type="dxa"/>
        </w:tblCellMar>
        <w:tblLook w:val="04A0"/>
      </w:tblPr>
      <w:tblGrid>
        <w:gridCol w:w="4540"/>
        <w:gridCol w:w="1540"/>
      </w:tblGrid>
      <w:tr w:rsidR="006A4FDF" w:rsidRPr="00ED4380" w:rsidTr="00D92726">
        <w:trPr>
          <w:trHeight w:val="600"/>
        </w:trPr>
        <w:tc>
          <w:tcPr>
            <w:tcW w:w="45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4FDF" w:rsidRPr="00ED4380" w:rsidRDefault="006A4FDF" w:rsidP="00D92726">
            <w:pPr>
              <w:jc w:val="center"/>
              <w:rPr>
                <w:rFonts w:ascii="Times New Roman" w:eastAsia="Times New Roman" w:hAnsi="Times New Roman" w:cs="Times New Roman"/>
                <w:b/>
                <w:bCs/>
                <w:color w:val="000000"/>
                <w:sz w:val="21"/>
                <w:szCs w:val="21"/>
              </w:rPr>
            </w:pPr>
            <w:r w:rsidRPr="00ED4380">
              <w:rPr>
                <w:rFonts w:ascii="Times New Roman" w:eastAsia="Times New Roman" w:hAnsi="Times New Roman" w:cs="Times New Roman"/>
                <w:b/>
                <w:bCs/>
                <w:color w:val="000000"/>
                <w:sz w:val="21"/>
                <w:szCs w:val="21"/>
              </w:rPr>
              <w:t>Impuesto</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rsidR="006A4FDF" w:rsidRPr="00ED4380" w:rsidRDefault="006A4FDF" w:rsidP="00D92726">
            <w:pPr>
              <w:jc w:val="center"/>
              <w:rPr>
                <w:rFonts w:ascii="Times New Roman" w:eastAsia="Times New Roman" w:hAnsi="Times New Roman" w:cs="Times New Roman"/>
                <w:b/>
                <w:bCs/>
                <w:color w:val="000000"/>
                <w:sz w:val="21"/>
                <w:szCs w:val="21"/>
              </w:rPr>
            </w:pPr>
            <w:r w:rsidRPr="00ED4380">
              <w:rPr>
                <w:rFonts w:ascii="Times New Roman" w:eastAsia="Times New Roman" w:hAnsi="Times New Roman" w:cs="Times New Roman"/>
                <w:b/>
                <w:bCs/>
                <w:color w:val="000000"/>
                <w:sz w:val="21"/>
                <w:szCs w:val="21"/>
              </w:rPr>
              <w:t>Dólares por galón</w:t>
            </w:r>
          </w:p>
        </w:tc>
      </w:tr>
      <w:tr w:rsidR="006A4FDF" w:rsidRPr="00ED4380" w:rsidTr="00D92726">
        <w:trPr>
          <w:trHeight w:val="300"/>
        </w:trPr>
        <w:tc>
          <w:tcPr>
            <w:tcW w:w="4540" w:type="dxa"/>
            <w:tcBorders>
              <w:top w:val="nil"/>
              <w:left w:val="single" w:sz="4" w:space="0" w:color="auto"/>
              <w:bottom w:val="single" w:sz="4" w:space="0" w:color="auto"/>
              <w:right w:val="single" w:sz="4" w:space="0" w:color="auto"/>
            </w:tcBorders>
            <w:shd w:val="clear" w:color="auto" w:fill="auto"/>
            <w:vAlign w:val="center"/>
            <w:hideMark/>
          </w:tcPr>
          <w:p w:rsidR="006A4FDF" w:rsidRPr="00ED4380" w:rsidRDefault="006A4FDF" w:rsidP="00D92726">
            <w:pPr>
              <w:jc w:val="center"/>
              <w:rPr>
                <w:rFonts w:ascii="Times New Roman" w:eastAsia="Times New Roman" w:hAnsi="Times New Roman" w:cs="Times New Roman"/>
                <w:color w:val="000000"/>
                <w:sz w:val="21"/>
                <w:szCs w:val="21"/>
              </w:rPr>
            </w:pPr>
            <w:r w:rsidRPr="00ED4380">
              <w:rPr>
                <w:rFonts w:ascii="Times New Roman" w:eastAsia="Times New Roman" w:hAnsi="Times New Roman" w:cs="Times New Roman"/>
                <w:color w:val="000000"/>
                <w:sz w:val="21"/>
                <w:szCs w:val="21"/>
              </w:rPr>
              <w:t>FOVIAL (Fondo de Conservación Vial)</w:t>
            </w:r>
          </w:p>
        </w:tc>
        <w:tc>
          <w:tcPr>
            <w:tcW w:w="1540" w:type="dxa"/>
            <w:tcBorders>
              <w:top w:val="nil"/>
              <w:left w:val="nil"/>
              <w:bottom w:val="single" w:sz="4" w:space="0" w:color="auto"/>
              <w:right w:val="single" w:sz="4" w:space="0" w:color="auto"/>
            </w:tcBorders>
            <w:shd w:val="clear" w:color="auto" w:fill="auto"/>
            <w:vAlign w:val="center"/>
            <w:hideMark/>
          </w:tcPr>
          <w:p w:rsidR="006A4FDF" w:rsidRPr="00ED4380" w:rsidRDefault="006A4FDF" w:rsidP="00D92726">
            <w:pPr>
              <w:jc w:val="center"/>
              <w:rPr>
                <w:rFonts w:ascii="Times New Roman" w:eastAsia="Times New Roman" w:hAnsi="Times New Roman" w:cs="Times New Roman"/>
                <w:color w:val="000000"/>
                <w:sz w:val="21"/>
                <w:szCs w:val="21"/>
              </w:rPr>
            </w:pPr>
            <w:r w:rsidRPr="00ED4380">
              <w:rPr>
                <w:rFonts w:ascii="Times New Roman" w:eastAsia="Times New Roman" w:hAnsi="Times New Roman" w:cs="Times New Roman"/>
                <w:color w:val="000000"/>
                <w:sz w:val="21"/>
                <w:szCs w:val="21"/>
              </w:rPr>
              <w:t>0.20</w:t>
            </w:r>
          </w:p>
        </w:tc>
      </w:tr>
      <w:tr w:rsidR="006A4FDF" w:rsidRPr="00ED4380" w:rsidTr="00D92726">
        <w:trPr>
          <w:trHeight w:val="906"/>
        </w:trPr>
        <w:tc>
          <w:tcPr>
            <w:tcW w:w="4540" w:type="dxa"/>
            <w:tcBorders>
              <w:top w:val="nil"/>
              <w:left w:val="single" w:sz="4" w:space="0" w:color="auto"/>
              <w:bottom w:val="single" w:sz="4" w:space="0" w:color="auto"/>
              <w:right w:val="single" w:sz="4" w:space="0" w:color="auto"/>
            </w:tcBorders>
            <w:shd w:val="clear" w:color="auto" w:fill="auto"/>
            <w:vAlign w:val="center"/>
            <w:hideMark/>
          </w:tcPr>
          <w:p w:rsidR="006A4FDF" w:rsidRPr="00ED4380" w:rsidRDefault="006A4FDF" w:rsidP="00D92726">
            <w:pPr>
              <w:jc w:val="center"/>
              <w:rPr>
                <w:rFonts w:ascii="Times New Roman" w:eastAsia="Times New Roman" w:hAnsi="Times New Roman" w:cs="Times New Roman"/>
                <w:color w:val="000000"/>
                <w:sz w:val="21"/>
                <w:szCs w:val="21"/>
              </w:rPr>
            </w:pPr>
            <w:r w:rsidRPr="00ED4380">
              <w:rPr>
                <w:rFonts w:ascii="Times New Roman" w:eastAsia="Times New Roman" w:hAnsi="Times New Roman" w:cs="Times New Roman"/>
                <w:color w:val="000000"/>
                <w:sz w:val="21"/>
                <w:szCs w:val="21"/>
              </w:rPr>
              <w:t>COTRANS (Contribución para la Estabilización de las Tarifas del Servicio Público del Transporte Colectivo de Pasajeros)</w:t>
            </w:r>
          </w:p>
        </w:tc>
        <w:tc>
          <w:tcPr>
            <w:tcW w:w="1540" w:type="dxa"/>
            <w:tcBorders>
              <w:top w:val="nil"/>
              <w:left w:val="nil"/>
              <w:bottom w:val="single" w:sz="4" w:space="0" w:color="auto"/>
              <w:right w:val="single" w:sz="4" w:space="0" w:color="auto"/>
            </w:tcBorders>
            <w:shd w:val="clear" w:color="auto" w:fill="auto"/>
            <w:vAlign w:val="center"/>
            <w:hideMark/>
          </w:tcPr>
          <w:p w:rsidR="006A4FDF" w:rsidRPr="00ED4380" w:rsidRDefault="006A4FDF" w:rsidP="00D92726">
            <w:pPr>
              <w:jc w:val="center"/>
              <w:rPr>
                <w:rFonts w:ascii="Times New Roman" w:eastAsia="Times New Roman" w:hAnsi="Times New Roman" w:cs="Times New Roman"/>
                <w:color w:val="000000"/>
                <w:sz w:val="21"/>
                <w:szCs w:val="21"/>
              </w:rPr>
            </w:pPr>
            <w:r w:rsidRPr="00ED4380">
              <w:rPr>
                <w:rFonts w:ascii="Times New Roman" w:eastAsia="Times New Roman" w:hAnsi="Times New Roman" w:cs="Times New Roman"/>
                <w:color w:val="000000"/>
                <w:sz w:val="21"/>
                <w:szCs w:val="21"/>
              </w:rPr>
              <w:t>0.10</w:t>
            </w:r>
          </w:p>
        </w:tc>
      </w:tr>
      <w:tr w:rsidR="006A4FDF" w:rsidRPr="00ED4380" w:rsidTr="00D92726">
        <w:trPr>
          <w:trHeight w:val="563"/>
        </w:trPr>
        <w:tc>
          <w:tcPr>
            <w:tcW w:w="4540" w:type="dxa"/>
            <w:tcBorders>
              <w:top w:val="nil"/>
              <w:left w:val="single" w:sz="4" w:space="0" w:color="auto"/>
              <w:bottom w:val="single" w:sz="4" w:space="0" w:color="auto"/>
              <w:right w:val="single" w:sz="4" w:space="0" w:color="auto"/>
            </w:tcBorders>
            <w:shd w:val="clear" w:color="auto" w:fill="auto"/>
            <w:vAlign w:val="center"/>
            <w:hideMark/>
          </w:tcPr>
          <w:p w:rsidR="006A4FDF" w:rsidRPr="00ED4380" w:rsidRDefault="006A4FDF" w:rsidP="00D92726">
            <w:pPr>
              <w:jc w:val="center"/>
              <w:rPr>
                <w:rFonts w:ascii="Times New Roman" w:eastAsia="Times New Roman" w:hAnsi="Times New Roman" w:cs="Times New Roman"/>
                <w:color w:val="000000"/>
                <w:sz w:val="21"/>
                <w:szCs w:val="21"/>
              </w:rPr>
            </w:pPr>
            <w:r w:rsidRPr="00ED4380">
              <w:rPr>
                <w:rFonts w:ascii="Times New Roman" w:eastAsia="Times New Roman" w:hAnsi="Times New Roman" w:cs="Times New Roman"/>
                <w:color w:val="000000"/>
                <w:sz w:val="21"/>
                <w:szCs w:val="21"/>
              </w:rPr>
              <w:t>FEFE (Fondo de Estabilización para el  Fomento Económico)</w:t>
            </w:r>
          </w:p>
        </w:tc>
        <w:tc>
          <w:tcPr>
            <w:tcW w:w="1540" w:type="dxa"/>
            <w:tcBorders>
              <w:top w:val="nil"/>
              <w:left w:val="nil"/>
              <w:bottom w:val="single" w:sz="4" w:space="0" w:color="auto"/>
              <w:right w:val="single" w:sz="4" w:space="0" w:color="auto"/>
            </w:tcBorders>
            <w:shd w:val="clear" w:color="auto" w:fill="auto"/>
            <w:vAlign w:val="center"/>
            <w:hideMark/>
          </w:tcPr>
          <w:p w:rsidR="006A4FDF" w:rsidRPr="00ED4380" w:rsidRDefault="006A4FDF" w:rsidP="00D92726">
            <w:pPr>
              <w:jc w:val="center"/>
              <w:rPr>
                <w:rFonts w:ascii="Times New Roman" w:eastAsia="Times New Roman" w:hAnsi="Times New Roman" w:cs="Times New Roman"/>
                <w:color w:val="000000"/>
                <w:sz w:val="21"/>
                <w:szCs w:val="21"/>
              </w:rPr>
            </w:pPr>
            <w:r w:rsidRPr="00ED4380">
              <w:rPr>
                <w:rFonts w:ascii="Times New Roman" w:eastAsia="Times New Roman" w:hAnsi="Times New Roman" w:cs="Times New Roman"/>
                <w:color w:val="000000"/>
                <w:sz w:val="21"/>
                <w:szCs w:val="21"/>
              </w:rPr>
              <w:t>*0.1591</w:t>
            </w:r>
          </w:p>
        </w:tc>
      </w:tr>
      <w:tr w:rsidR="006A4FDF" w:rsidRPr="00ED4380" w:rsidTr="00D92726">
        <w:trPr>
          <w:trHeight w:val="529"/>
        </w:trPr>
        <w:tc>
          <w:tcPr>
            <w:tcW w:w="4540" w:type="dxa"/>
            <w:tcBorders>
              <w:top w:val="nil"/>
              <w:left w:val="single" w:sz="4" w:space="0" w:color="auto"/>
              <w:bottom w:val="single" w:sz="4" w:space="0" w:color="auto"/>
              <w:right w:val="single" w:sz="4" w:space="0" w:color="auto"/>
            </w:tcBorders>
            <w:shd w:val="clear" w:color="auto" w:fill="auto"/>
            <w:vAlign w:val="center"/>
            <w:hideMark/>
          </w:tcPr>
          <w:p w:rsidR="006A4FDF" w:rsidRPr="00ED4380" w:rsidRDefault="006A4FDF" w:rsidP="00D92726">
            <w:pPr>
              <w:jc w:val="center"/>
              <w:rPr>
                <w:rFonts w:ascii="Times New Roman" w:eastAsia="Times New Roman" w:hAnsi="Times New Roman" w:cs="Times New Roman"/>
                <w:color w:val="000000"/>
                <w:sz w:val="21"/>
                <w:szCs w:val="21"/>
              </w:rPr>
            </w:pPr>
            <w:r w:rsidRPr="00ED4380">
              <w:rPr>
                <w:rFonts w:ascii="Times New Roman" w:eastAsia="Times New Roman" w:hAnsi="Times New Roman" w:cs="Times New Roman"/>
                <w:color w:val="000000"/>
                <w:sz w:val="21"/>
                <w:szCs w:val="21"/>
              </w:rPr>
              <w:t>IVA (Impuesto a la transferencia de bienes muebles y a la prestación de servicio)</w:t>
            </w:r>
          </w:p>
        </w:tc>
        <w:tc>
          <w:tcPr>
            <w:tcW w:w="1540" w:type="dxa"/>
            <w:tcBorders>
              <w:top w:val="nil"/>
              <w:left w:val="nil"/>
              <w:bottom w:val="single" w:sz="4" w:space="0" w:color="auto"/>
              <w:right w:val="single" w:sz="4" w:space="0" w:color="auto"/>
            </w:tcBorders>
            <w:shd w:val="clear" w:color="auto" w:fill="auto"/>
            <w:vAlign w:val="center"/>
            <w:hideMark/>
          </w:tcPr>
          <w:p w:rsidR="006A4FDF" w:rsidRPr="00ED4380" w:rsidRDefault="006A4FDF" w:rsidP="00D92726">
            <w:pPr>
              <w:jc w:val="center"/>
              <w:rPr>
                <w:rFonts w:ascii="Times New Roman" w:eastAsia="Times New Roman" w:hAnsi="Times New Roman" w:cs="Times New Roman"/>
                <w:color w:val="000000"/>
                <w:sz w:val="21"/>
                <w:szCs w:val="21"/>
              </w:rPr>
            </w:pPr>
            <w:r w:rsidRPr="00ED4380">
              <w:rPr>
                <w:rFonts w:ascii="Times New Roman" w:eastAsia="Times New Roman" w:hAnsi="Times New Roman" w:cs="Times New Roman"/>
                <w:color w:val="000000"/>
                <w:sz w:val="21"/>
                <w:szCs w:val="21"/>
              </w:rPr>
              <w:t>13%</w:t>
            </w:r>
          </w:p>
        </w:tc>
      </w:tr>
      <w:tr w:rsidR="006A4FDF" w:rsidRPr="00ED4380" w:rsidTr="00D92726">
        <w:trPr>
          <w:trHeight w:val="300"/>
        </w:trPr>
        <w:tc>
          <w:tcPr>
            <w:tcW w:w="4540" w:type="dxa"/>
            <w:tcBorders>
              <w:top w:val="nil"/>
              <w:left w:val="single" w:sz="4" w:space="0" w:color="auto"/>
              <w:bottom w:val="single" w:sz="4" w:space="0" w:color="auto"/>
              <w:right w:val="single" w:sz="4" w:space="0" w:color="auto"/>
            </w:tcBorders>
            <w:shd w:val="clear" w:color="auto" w:fill="auto"/>
            <w:vAlign w:val="center"/>
            <w:hideMark/>
          </w:tcPr>
          <w:p w:rsidR="006A4FDF" w:rsidRPr="00ED4380" w:rsidRDefault="006A4FDF" w:rsidP="00D92726">
            <w:pPr>
              <w:jc w:val="center"/>
              <w:rPr>
                <w:rFonts w:ascii="Times New Roman" w:eastAsia="Times New Roman" w:hAnsi="Times New Roman" w:cs="Times New Roman"/>
                <w:color w:val="000000"/>
                <w:sz w:val="21"/>
                <w:szCs w:val="21"/>
              </w:rPr>
            </w:pPr>
            <w:r w:rsidRPr="00ED4380">
              <w:rPr>
                <w:rFonts w:ascii="Times New Roman" w:eastAsia="Times New Roman" w:hAnsi="Times New Roman" w:cs="Times New Roman"/>
                <w:color w:val="000000"/>
                <w:sz w:val="21"/>
                <w:szCs w:val="21"/>
              </w:rPr>
              <w:t>IEC (Impuesto Especial a los Combustibles)</w:t>
            </w:r>
          </w:p>
        </w:tc>
        <w:tc>
          <w:tcPr>
            <w:tcW w:w="1540" w:type="dxa"/>
            <w:tcBorders>
              <w:top w:val="nil"/>
              <w:left w:val="nil"/>
              <w:bottom w:val="single" w:sz="4" w:space="0" w:color="auto"/>
              <w:right w:val="single" w:sz="4" w:space="0" w:color="auto"/>
            </w:tcBorders>
            <w:shd w:val="clear" w:color="auto" w:fill="auto"/>
            <w:vAlign w:val="center"/>
            <w:hideMark/>
          </w:tcPr>
          <w:p w:rsidR="006A4FDF" w:rsidRPr="00ED4380" w:rsidRDefault="006A4FDF" w:rsidP="00D92726">
            <w:pPr>
              <w:jc w:val="center"/>
              <w:rPr>
                <w:rFonts w:ascii="Times New Roman" w:eastAsia="Times New Roman" w:hAnsi="Times New Roman" w:cs="Times New Roman"/>
                <w:color w:val="000000"/>
                <w:sz w:val="21"/>
                <w:szCs w:val="21"/>
              </w:rPr>
            </w:pPr>
            <w:r w:rsidRPr="00ED4380">
              <w:rPr>
                <w:rFonts w:ascii="Times New Roman" w:eastAsia="Times New Roman" w:hAnsi="Times New Roman" w:cs="Times New Roman"/>
                <w:color w:val="000000"/>
                <w:sz w:val="21"/>
                <w:szCs w:val="21"/>
              </w:rPr>
              <w:t>**</w:t>
            </w:r>
          </w:p>
        </w:tc>
      </w:tr>
    </w:tbl>
    <w:p w:rsidR="006A4FDF" w:rsidRPr="00ED4380" w:rsidRDefault="006A4FDF" w:rsidP="006A4FDF">
      <w:pPr>
        <w:rPr>
          <w:rFonts w:ascii="Times New Roman" w:hAnsi="Times New Roman" w:cs="Times New Roman"/>
          <w:sz w:val="21"/>
          <w:szCs w:val="21"/>
        </w:rPr>
      </w:pPr>
      <w:r w:rsidRPr="00ED4380">
        <w:rPr>
          <w:rFonts w:ascii="Times New Roman" w:hAnsi="Times New Roman" w:cs="Times New Roman"/>
          <w:sz w:val="21"/>
          <w:szCs w:val="21"/>
        </w:rPr>
        <w:t>* Aplica únicamente para las gasolinas.</w:t>
      </w:r>
    </w:p>
    <w:p w:rsidR="006A4FDF" w:rsidRPr="00ED4380" w:rsidRDefault="006A4FDF" w:rsidP="006A4FDF">
      <w:pPr>
        <w:rPr>
          <w:rFonts w:ascii="Times New Roman" w:hAnsi="Times New Roman" w:cs="Times New Roman"/>
          <w:sz w:val="21"/>
          <w:szCs w:val="21"/>
        </w:rPr>
      </w:pPr>
      <w:r w:rsidRPr="00ED4380">
        <w:rPr>
          <w:rFonts w:ascii="Times New Roman" w:hAnsi="Times New Roman" w:cs="Times New Roman"/>
          <w:sz w:val="21"/>
          <w:szCs w:val="21"/>
        </w:rPr>
        <w:t xml:space="preserve">** El IEC aplica cuando el precio internacional del barril del crudo del WTI (West Texas </w:t>
      </w:r>
      <w:proofErr w:type="spellStart"/>
      <w:r w:rsidRPr="00ED4380">
        <w:rPr>
          <w:rFonts w:ascii="Times New Roman" w:hAnsi="Times New Roman" w:cs="Times New Roman"/>
          <w:sz w:val="21"/>
          <w:szCs w:val="21"/>
        </w:rPr>
        <w:t>Intermediate</w:t>
      </w:r>
      <w:proofErr w:type="spellEnd"/>
      <w:r w:rsidRPr="00ED4380">
        <w:rPr>
          <w:rFonts w:ascii="Times New Roman" w:hAnsi="Times New Roman" w:cs="Times New Roman"/>
          <w:sz w:val="21"/>
          <w:szCs w:val="21"/>
        </w:rPr>
        <w:t>)  registra lo descrito en la siguiente tabla:</w:t>
      </w:r>
    </w:p>
    <w:tbl>
      <w:tblPr>
        <w:tblW w:w="4800" w:type="dxa"/>
        <w:tblInd w:w="55" w:type="dxa"/>
        <w:tblCellMar>
          <w:left w:w="70" w:type="dxa"/>
          <w:right w:w="70" w:type="dxa"/>
        </w:tblCellMar>
        <w:tblLook w:val="04A0"/>
      </w:tblPr>
      <w:tblGrid>
        <w:gridCol w:w="2940"/>
        <w:gridCol w:w="1860"/>
      </w:tblGrid>
      <w:tr w:rsidR="006A4FDF" w:rsidRPr="00ED4380" w:rsidTr="00D92726">
        <w:trPr>
          <w:trHeight w:val="525"/>
        </w:trPr>
        <w:tc>
          <w:tcPr>
            <w:tcW w:w="2940" w:type="dxa"/>
            <w:tcBorders>
              <w:top w:val="single" w:sz="8" w:space="0" w:color="auto"/>
              <w:left w:val="single" w:sz="8" w:space="0" w:color="auto"/>
              <w:bottom w:val="single" w:sz="8" w:space="0" w:color="auto"/>
              <w:right w:val="single" w:sz="8" w:space="0" w:color="auto"/>
            </w:tcBorders>
            <w:shd w:val="clear" w:color="000000" w:fill="4F81BD"/>
            <w:vAlign w:val="center"/>
            <w:hideMark/>
          </w:tcPr>
          <w:p w:rsidR="006A4FDF" w:rsidRPr="00ED4380" w:rsidRDefault="006A4FDF" w:rsidP="00D92726">
            <w:pPr>
              <w:jc w:val="center"/>
              <w:rPr>
                <w:rFonts w:ascii="Times New Roman" w:eastAsia="Times New Roman" w:hAnsi="Times New Roman" w:cs="Times New Roman"/>
                <w:b/>
                <w:bCs/>
                <w:color w:val="FFFFFF"/>
                <w:sz w:val="21"/>
                <w:szCs w:val="21"/>
              </w:rPr>
            </w:pPr>
            <w:r w:rsidRPr="00ED4380">
              <w:rPr>
                <w:rFonts w:ascii="Times New Roman" w:eastAsia="Times New Roman" w:hAnsi="Times New Roman" w:cs="Times New Roman"/>
                <w:b/>
                <w:bCs/>
                <w:color w:val="FFFFFF"/>
                <w:sz w:val="21"/>
                <w:szCs w:val="21"/>
              </w:rPr>
              <w:t>Precio internacional de referencia del barril de petróleo</w:t>
            </w:r>
          </w:p>
        </w:tc>
        <w:tc>
          <w:tcPr>
            <w:tcW w:w="1860" w:type="dxa"/>
            <w:tcBorders>
              <w:top w:val="single" w:sz="8" w:space="0" w:color="auto"/>
              <w:left w:val="nil"/>
              <w:bottom w:val="single" w:sz="8" w:space="0" w:color="auto"/>
              <w:right w:val="single" w:sz="8" w:space="0" w:color="auto"/>
            </w:tcBorders>
            <w:shd w:val="clear" w:color="000000" w:fill="4F81BD"/>
            <w:vAlign w:val="center"/>
            <w:hideMark/>
          </w:tcPr>
          <w:p w:rsidR="006A4FDF" w:rsidRPr="00ED4380" w:rsidRDefault="006A4FDF" w:rsidP="00D92726">
            <w:pPr>
              <w:jc w:val="center"/>
              <w:rPr>
                <w:rFonts w:ascii="Times New Roman" w:eastAsia="Times New Roman" w:hAnsi="Times New Roman" w:cs="Times New Roman"/>
                <w:b/>
                <w:bCs/>
                <w:color w:val="FFFFFF"/>
                <w:sz w:val="21"/>
                <w:szCs w:val="21"/>
              </w:rPr>
            </w:pPr>
            <w:r w:rsidRPr="00ED4380">
              <w:rPr>
                <w:rFonts w:ascii="Times New Roman" w:eastAsia="Times New Roman" w:hAnsi="Times New Roman" w:cs="Times New Roman"/>
                <w:b/>
                <w:bCs/>
                <w:color w:val="FFFFFF"/>
                <w:sz w:val="21"/>
                <w:szCs w:val="21"/>
              </w:rPr>
              <w:t xml:space="preserve">Tasa o alícuota </w:t>
            </w:r>
          </w:p>
        </w:tc>
      </w:tr>
      <w:tr w:rsidR="006A4FDF" w:rsidRPr="00ED4380" w:rsidTr="00D92726">
        <w:trPr>
          <w:trHeight w:val="315"/>
        </w:trPr>
        <w:tc>
          <w:tcPr>
            <w:tcW w:w="2940" w:type="dxa"/>
            <w:tcBorders>
              <w:top w:val="nil"/>
              <w:left w:val="single" w:sz="8" w:space="0" w:color="auto"/>
              <w:bottom w:val="single" w:sz="8" w:space="0" w:color="auto"/>
              <w:right w:val="single" w:sz="8" w:space="0" w:color="auto"/>
            </w:tcBorders>
            <w:shd w:val="clear" w:color="000000" w:fill="FFFFFF"/>
            <w:vAlign w:val="center"/>
            <w:hideMark/>
          </w:tcPr>
          <w:p w:rsidR="006A4FDF" w:rsidRPr="00ED4380" w:rsidRDefault="006A4FDF" w:rsidP="00D92726">
            <w:pPr>
              <w:jc w:val="center"/>
              <w:rPr>
                <w:rFonts w:ascii="Times New Roman" w:eastAsia="Times New Roman" w:hAnsi="Times New Roman" w:cs="Times New Roman"/>
                <w:color w:val="000000"/>
                <w:sz w:val="21"/>
                <w:szCs w:val="21"/>
              </w:rPr>
            </w:pPr>
            <w:r w:rsidRPr="00ED4380">
              <w:rPr>
                <w:rFonts w:ascii="Times New Roman" w:eastAsia="Times New Roman" w:hAnsi="Times New Roman" w:cs="Times New Roman"/>
                <w:color w:val="000000"/>
                <w:sz w:val="21"/>
                <w:szCs w:val="21"/>
              </w:rPr>
              <w:t xml:space="preserve">Hasta $ 50.00 </w:t>
            </w:r>
          </w:p>
        </w:tc>
        <w:tc>
          <w:tcPr>
            <w:tcW w:w="1860" w:type="dxa"/>
            <w:tcBorders>
              <w:top w:val="nil"/>
              <w:left w:val="nil"/>
              <w:bottom w:val="single" w:sz="8" w:space="0" w:color="auto"/>
              <w:right w:val="single" w:sz="8" w:space="0" w:color="auto"/>
            </w:tcBorders>
            <w:shd w:val="clear" w:color="000000" w:fill="FFFFFF"/>
            <w:vAlign w:val="center"/>
            <w:hideMark/>
          </w:tcPr>
          <w:p w:rsidR="006A4FDF" w:rsidRPr="00ED4380" w:rsidRDefault="006A4FDF" w:rsidP="00D92726">
            <w:pPr>
              <w:jc w:val="center"/>
              <w:rPr>
                <w:rFonts w:ascii="Times New Roman" w:eastAsia="Times New Roman" w:hAnsi="Times New Roman" w:cs="Times New Roman"/>
                <w:color w:val="000000"/>
                <w:sz w:val="21"/>
                <w:szCs w:val="21"/>
              </w:rPr>
            </w:pPr>
            <w:r w:rsidRPr="00ED4380">
              <w:rPr>
                <w:rFonts w:ascii="Times New Roman" w:eastAsia="Times New Roman" w:hAnsi="Times New Roman" w:cs="Times New Roman"/>
                <w:color w:val="000000"/>
                <w:sz w:val="21"/>
                <w:szCs w:val="21"/>
              </w:rPr>
              <w:t>1.00%</w:t>
            </w:r>
          </w:p>
        </w:tc>
      </w:tr>
      <w:tr w:rsidR="006A4FDF" w:rsidRPr="00ED4380" w:rsidTr="00D92726">
        <w:trPr>
          <w:trHeight w:val="315"/>
        </w:trPr>
        <w:tc>
          <w:tcPr>
            <w:tcW w:w="2940" w:type="dxa"/>
            <w:tcBorders>
              <w:top w:val="nil"/>
              <w:left w:val="single" w:sz="8" w:space="0" w:color="auto"/>
              <w:bottom w:val="single" w:sz="8" w:space="0" w:color="auto"/>
              <w:right w:val="single" w:sz="8" w:space="0" w:color="auto"/>
            </w:tcBorders>
            <w:shd w:val="clear" w:color="000000" w:fill="FFFFFF"/>
            <w:vAlign w:val="center"/>
            <w:hideMark/>
          </w:tcPr>
          <w:p w:rsidR="006A4FDF" w:rsidRPr="00ED4380" w:rsidRDefault="006A4FDF" w:rsidP="00D92726">
            <w:pPr>
              <w:jc w:val="center"/>
              <w:rPr>
                <w:rFonts w:ascii="Times New Roman" w:eastAsia="Times New Roman" w:hAnsi="Times New Roman" w:cs="Times New Roman"/>
                <w:color w:val="000000"/>
                <w:sz w:val="21"/>
                <w:szCs w:val="21"/>
              </w:rPr>
            </w:pPr>
            <w:r w:rsidRPr="00ED4380">
              <w:rPr>
                <w:rFonts w:ascii="Times New Roman" w:eastAsia="Times New Roman" w:hAnsi="Times New Roman" w:cs="Times New Roman"/>
                <w:color w:val="000000"/>
                <w:sz w:val="21"/>
                <w:szCs w:val="21"/>
              </w:rPr>
              <w:t xml:space="preserve">Mayor a $ 50.00 hasta $ 70.00 </w:t>
            </w:r>
          </w:p>
        </w:tc>
        <w:tc>
          <w:tcPr>
            <w:tcW w:w="1860" w:type="dxa"/>
            <w:tcBorders>
              <w:top w:val="nil"/>
              <w:left w:val="nil"/>
              <w:bottom w:val="single" w:sz="8" w:space="0" w:color="auto"/>
              <w:right w:val="single" w:sz="8" w:space="0" w:color="auto"/>
            </w:tcBorders>
            <w:shd w:val="clear" w:color="000000" w:fill="FFFFFF"/>
            <w:vAlign w:val="center"/>
            <w:hideMark/>
          </w:tcPr>
          <w:p w:rsidR="006A4FDF" w:rsidRPr="00ED4380" w:rsidRDefault="006A4FDF" w:rsidP="00D92726">
            <w:pPr>
              <w:jc w:val="center"/>
              <w:rPr>
                <w:rFonts w:ascii="Times New Roman" w:eastAsia="Times New Roman" w:hAnsi="Times New Roman" w:cs="Times New Roman"/>
                <w:color w:val="000000"/>
                <w:sz w:val="21"/>
                <w:szCs w:val="21"/>
              </w:rPr>
            </w:pPr>
            <w:r w:rsidRPr="00ED4380">
              <w:rPr>
                <w:rFonts w:ascii="Times New Roman" w:eastAsia="Times New Roman" w:hAnsi="Times New Roman" w:cs="Times New Roman"/>
                <w:color w:val="000000"/>
                <w:sz w:val="21"/>
                <w:szCs w:val="21"/>
              </w:rPr>
              <w:t xml:space="preserve">        0.50%      </w:t>
            </w:r>
          </w:p>
        </w:tc>
      </w:tr>
      <w:tr w:rsidR="006A4FDF" w:rsidRPr="00ED4380" w:rsidTr="00D92726">
        <w:trPr>
          <w:trHeight w:val="315"/>
        </w:trPr>
        <w:tc>
          <w:tcPr>
            <w:tcW w:w="2940" w:type="dxa"/>
            <w:tcBorders>
              <w:top w:val="nil"/>
              <w:left w:val="single" w:sz="8" w:space="0" w:color="auto"/>
              <w:bottom w:val="single" w:sz="8" w:space="0" w:color="auto"/>
              <w:right w:val="single" w:sz="8" w:space="0" w:color="auto"/>
            </w:tcBorders>
            <w:shd w:val="clear" w:color="000000" w:fill="FFFFFF"/>
            <w:vAlign w:val="center"/>
            <w:hideMark/>
          </w:tcPr>
          <w:p w:rsidR="006A4FDF" w:rsidRPr="00ED4380" w:rsidRDefault="006A4FDF" w:rsidP="00D92726">
            <w:pPr>
              <w:jc w:val="center"/>
              <w:rPr>
                <w:rFonts w:ascii="Times New Roman" w:eastAsia="Times New Roman" w:hAnsi="Times New Roman" w:cs="Times New Roman"/>
                <w:color w:val="000000"/>
                <w:sz w:val="21"/>
                <w:szCs w:val="21"/>
              </w:rPr>
            </w:pPr>
            <w:r w:rsidRPr="00ED4380">
              <w:rPr>
                <w:rFonts w:ascii="Times New Roman" w:eastAsia="Times New Roman" w:hAnsi="Times New Roman" w:cs="Times New Roman"/>
                <w:color w:val="000000"/>
                <w:sz w:val="21"/>
                <w:szCs w:val="21"/>
              </w:rPr>
              <w:t xml:space="preserve">Mayor a $ 70.00 </w:t>
            </w:r>
          </w:p>
        </w:tc>
        <w:tc>
          <w:tcPr>
            <w:tcW w:w="1860" w:type="dxa"/>
            <w:tcBorders>
              <w:top w:val="nil"/>
              <w:left w:val="nil"/>
              <w:bottom w:val="single" w:sz="8" w:space="0" w:color="auto"/>
              <w:right w:val="single" w:sz="8" w:space="0" w:color="auto"/>
            </w:tcBorders>
            <w:shd w:val="clear" w:color="000000" w:fill="FFFFFF"/>
            <w:vAlign w:val="center"/>
            <w:hideMark/>
          </w:tcPr>
          <w:p w:rsidR="006A4FDF" w:rsidRPr="00ED4380" w:rsidRDefault="006A4FDF" w:rsidP="00D92726">
            <w:pPr>
              <w:jc w:val="center"/>
              <w:rPr>
                <w:rFonts w:ascii="Times New Roman" w:eastAsia="Times New Roman" w:hAnsi="Times New Roman" w:cs="Times New Roman"/>
                <w:color w:val="000000"/>
                <w:sz w:val="21"/>
                <w:szCs w:val="21"/>
              </w:rPr>
            </w:pPr>
            <w:r w:rsidRPr="00ED4380">
              <w:rPr>
                <w:rFonts w:ascii="Times New Roman" w:eastAsia="Times New Roman" w:hAnsi="Times New Roman" w:cs="Times New Roman"/>
                <w:color w:val="000000"/>
                <w:sz w:val="21"/>
                <w:szCs w:val="21"/>
              </w:rPr>
              <w:t>0.00%</w:t>
            </w:r>
          </w:p>
        </w:tc>
      </w:tr>
    </w:tbl>
    <w:p w:rsidR="006A4FDF" w:rsidRPr="00ED4380" w:rsidRDefault="006A4FDF" w:rsidP="006A4FDF">
      <w:pPr>
        <w:rPr>
          <w:rFonts w:ascii="Times New Roman" w:hAnsi="Times New Roman" w:cs="Times New Roman"/>
          <w:sz w:val="21"/>
          <w:szCs w:val="21"/>
        </w:rPr>
      </w:pPr>
    </w:p>
    <w:p w:rsidR="006A4FDF" w:rsidRPr="00ED4380" w:rsidRDefault="006A4FDF" w:rsidP="006A4FDF">
      <w:pPr>
        <w:rPr>
          <w:rFonts w:ascii="Times New Roman" w:hAnsi="Times New Roman" w:cs="Times New Roman"/>
          <w:sz w:val="21"/>
          <w:szCs w:val="21"/>
        </w:rPr>
      </w:pPr>
    </w:p>
    <w:p w:rsidR="00D50826" w:rsidRPr="00D50826" w:rsidRDefault="00D50826" w:rsidP="00D50826">
      <w:pPr>
        <w:rPr>
          <w:rFonts w:ascii="Times New Roman" w:hAnsi="Times New Roman" w:cs="Times New Roman"/>
          <w:color w:val="1F497D"/>
          <w:sz w:val="21"/>
          <w:szCs w:val="21"/>
          <w:lang w:val="es-ES"/>
        </w:rPr>
      </w:pPr>
      <w:proofErr w:type="gramStart"/>
      <w:r w:rsidRPr="00D50826">
        <w:rPr>
          <w:rFonts w:ascii="Times New Roman" w:hAnsi="Times New Roman" w:cs="Times New Roman"/>
          <w:i/>
          <w:iCs/>
          <w:color w:val="1F497D"/>
          <w:sz w:val="21"/>
          <w:szCs w:val="21"/>
          <w:lang w:val="es-ES"/>
        </w:rPr>
        <w:t>¿</w:t>
      </w:r>
      <w:proofErr w:type="gramEnd"/>
      <w:r w:rsidRPr="00D50826">
        <w:rPr>
          <w:rFonts w:ascii="Times New Roman" w:hAnsi="Times New Roman" w:cs="Times New Roman"/>
          <w:i/>
          <w:iCs/>
          <w:color w:val="1F497D"/>
          <w:sz w:val="21"/>
          <w:szCs w:val="21"/>
          <w:lang w:val="es-ES"/>
        </w:rPr>
        <w:t>Por qué se dio la privatización de los hidrocarburos en El Salvador</w:t>
      </w:r>
      <w:r w:rsidRPr="00D50826">
        <w:rPr>
          <w:rFonts w:ascii="Times New Roman" w:hAnsi="Times New Roman" w:cs="Times New Roman"/>
          <w:color w:val="1F497D"/>
          <w:sz w:val="21"/>
          <w:szCs w:val="21"/>
          <w:lang w:val="es-ES"/>
        </w:rPr>
        <w:t>:</w:t>
      </w:r>
    </w:p>
    <w:p w:rsidR="00D50826" w:rsidRPr="00D50826" w:rsidRDefault="00D50826" w:rsidP="00D50826">
      <w:pPr>
        <w:rPr>
          <w:rFonts w:ascii="Times New Roman" w:hAnsi="Times New Roman" w:cs="Times New Roman"/>
          <w:color w:val="1F497D"/>
          <w:sz w:val="21"/>
          <w:szCs w:val="21"/>
          <w:lang w:val="es-ES"/>
        </w:rPr>
      </w:pPr>
    </w:p>
    <w:p w:rsidR="00D50826" w:rsidRPr="00D50826" w:rsidRDefault="00D50826" w:rsidP="00D50826">
      <w:pPr>
        <w:jc w:val="both"/>
        <w:rPr>
          <w:rFonts w:ascii="Times New Roman" w:hAnsi="Times New Roman" w:cs="Times New Roman"/>
          <w:sz w:val="21"/>
          <w:szCs w:val="21"/>
          <w:lang w:val="es-ES"/>
        </w:rPr>
      </w:pPr>
      <w:r w:rsidRPr="00D50826">
        <w:rPr>
          <w:rFonts w:ascii="Times New Roman" w:hAnsi="Times New Roman" w:cs="Times New Roman"/>
          <w:sz w:val="21"/>
          <w:szCs w:val="21"/>
          <w:lang w:val="es-ES"/>
        </w:rPr>
        <w:t>R/ Para ser preciso el gobierno solo actuaba como un comprador del petróleo crudo y de sus derivados por medio de la C.E.L. a través de la Gerencia de PETROCEL, es decir actuaba como uno “</w:t>
      </w:r>
      <w:proofErr w:type="spellStart"/>
      <w:r w:rsidRPr="00D50826">
        <w:rPr>
          <w:rFonts w:ascii="Times New Roman" w:hAnsi="Times New Roman" w:cs="Times New Roman"/>
          <w:sz w:val="21"/>
          <w:szCs w:val="21"/>
          <w:lang w:val="es-ES"/>
        </w:rPr>
        <w:t>broker</w:t>
      </w:r>
      <w:proofErr w:type="spellEnd"/>
      <w:r w:rsidRPr="00D50826">
        <w:rPr>
          <w:rFonts w:ascii="Times New Roman" w:hAnsi="Times New Roman" w:cs="Times New Roman"/>
          <w:sz w:val="21"/>
          <w:szCs w:val="21"/>
          <w:lang w:val="es-ES"/>
        </w:rPr>
        <w:t xml:space="preserve">”, dichos productos se los revendía a la “Refinería Petrolera </w:t>
      </w:r>
      <w:proofErr w:type="spellStart"/>
      <w:r w:rsidRPr="00D50826">
        <w:rPr>
          <w:rFonts w:ascii="Times New Roman" w:hAnsi="Times New Roman" w:cs="Times New Roman"/>
          <w:sz w:val="21"/>
          <w:szCs w:val="21"/>
          <w:lang w:val="es-ES"/>
        </w:rPr>
        <w:t>Acajutla</w:t>
      </w:r>
      <w:proofErr w:type="spellEnd"/>
      <w:r w:rsidRPr="00D50826">
        <w:rPr>
          <w:rFonts w:ascii="Times New Roman" w:hAnsi="Times New Roman" w:cs="Times New Roman"/>
          <w:sz w:val="21"/>
          <w:szCs w:val="21"/>
          <w:lang w:val="es-ES"/>
        </w:rPr>
        <w:t>, S.A. de C.V. (RASA)” que era además del único productor también era el único importador marítimo de los mismos y esto era así, porque el Pacto de San José que habían firmado los gobiernos de México y Venezuela con los gobiernos de los países de Centroamérica, México y Venezuela, solo garantizaba una cuota de petróleo crudo y derivados los cuales podía vender solo una entidad estatal o paraestatal (como C.E.L.) de El Salvador.</w:t>
      </w:r>
    </w:p>
    <w:p w:rsidR="00D50826" w:rsidRPr="00D50826" w:rsidRDefault="00D50826" w:rsidP="00D50826">
      <w:pPr>
        <w:jc w:val="both"/>
        <w:rPr>
          <w:rFonts w:ascii="Times New Roman" w:hAnsi="Times New Roman" w:cs="Times New Roman"/>
          <w:sz w:val="21"/>
          <w:szCs w:val="21"/>
          <w:lang w:val="es-ES"/>
        </w:rPr>
      </w:pPr>
    </w:p>
    <w:p w:rsidR="00D50826" w:rsidRPr="00D50826" w:rsidRDefault="00D50826" w:rsidP="00D50826">
      <w:pPr>
        <w:jc w:val="both"/>
        <w:rPr>
          <w:rFonts w:ascii="Times New Roman" w:hAnsi="Times New Roman" w:cs="Times New Roman"/>
          <w:sz w:val="21"/>
          <w:szCs w:val="21"/>
          <w:lang w:val="es-ES"/>
        </w:rPr>
      </w:pPr>
      <w:r w:rsidRPr="00D50826">
        <w:rPr>
          <w:rFonts w:ascii="Times New Roman" w:hAnsi="Times New Roman" w:cs="Times New Roman"/>
          <w:sz w:val="21"/>
          <w:szCs w:val="21"/>
          <w:lang w:val="es-ES"/>
        </w:rPr>
        <w:t>Posteriormente, haciendo un giro a la política energética con la entrada del gobierno de Alfredo Cristiana, el Pacto de San José se modificó de tal forma que permitió que las compañías privadas (RASA) pudieran comprar petróleo crudo y sus derivados directamente a México y Venezuela, por lo que ya no fue necesaria la intermediación del gobierno a través de C.E.L.</w:t>
      </w:r>
    </w:p>
    <w:p w:rsidR="00D50826" w:rsidRPr="00D50826" w:rsidRDefault="00D50826" w:rsidP="00D50826">
      <w:pPr>
        <w:jc w:val="both"/>
        <w:rPr>
          <w:rFonts w:ascii="Times New Roman" w:hAnsi="Times New Roman" w:cs="Times New Roman"/>
          <w:sz w:val="21"/>
          <w:szCs w:val="21"/>
          <w:lang w:val="es-ES"/>
        </w:rPr>
      </w:pPr>
    </w:p>
    <w:p w:rsidR="00D50826" w:rsidRPr="00D50826" w:rsidRDefault="00D50826" w:rsidP="00D50826">
      <w:pPr>
        <w:jc w:val="both"/>
        <w:rPr>
          <w:rFonts w:ascii="Times New Roman" w:hAnsi="Times New Roman" w:cs="Times New Roman"/>
          <w:sz w:val="21"/>
          <w:szCs w:val="21"/>
          <w:lang w:val="es-ES"/>
        </w:rPr>
      </w:pPr>
      <w:r w:rsidRPr="00D50826">
        <w:rPr>
          <w:rFonts w:ascii="Times New Roman" w:hAnsi="Times New Roman" w:cs="Times New Roman"/>
          <w:sz w:val="21"/>
          <w:szCs w:val="21"/>
          <w:lang w:val="es-ES"/>
        </w:rPr>
        <w:lastRenderedPageBreak/>
        <w:t xml:space="preserve">Espero que estos argumentos le sirvan para </w:t>
      </w:r>
      <w:r>
        <w:rPr>
          <w:rFonts w:ascii="Times New Roman" w:hAnsi="Times New Roman" w:cs="Times New Roman"/>
          <w:sz w:val="21"/>
          <w:szCs w:val="21"/>
          <w:lang w:val="es-ES"/>
        </w:rPr>
        <w:t>responderle al interesado</w:t>
      </w:r>
      <w:r w:rsidRPr="00D50826">
        <w:rPr>
          <w:rFonts w:ascii="Times New Roman" w:hAnsi="Times New Roman" w:cs="Times New Roman"/>
          <w:sz w:val="21"/>
          <w:szCs w:val="21"/>
          <w:lang w:val="es-ES"/>
        </w:rPr>
        <w:t>.</w:t>
      </w:r>
    </w:p>
    <w:p w:rsidR="00EC17E9" w:rsidRPr="00D50826" w:rsidRDefault="00EC17E9">
      <w:pPr>
        <w:rPr>
          <w:rFonts w:ascii="Times New Roman" w:hAnsi="Times New Roman" w:cs="Times New Roman"/>
          <w:sz w:val="21"/>
          <w:szCs w:val="21"/>
        </w:rPr>
      </w:pPr>
    </w:p>
    <w:sectPr w:rsidR="00EC17E9" w:rsidRPr="00D50826" w:rsidSect="0087371F">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hyphenationZone w:val="425"/>
  <w:characterSpacingControl w:val="doNotCompress"/>
  <w:compat/>
  <w:rsids>
    <w:rsidRoot w:val="006A4FDF"/>
    <w:rsid w:val="001E4286"/>
    <w:rsid w:val="00391EAD"/>
    <w:rsid w:val="003D63AA"/>
    <w:rsid w:val="004850F9"/>
    <w:rsid w:val="006A4FDF"/>
    <w:rsid w:val="00A71EF3"/>
    <w:rsid w:val="00CE1A3D"/>
    <w:rsid w:val="00D50826"/>
    <w:rsid w:val="00EC17E9"/>
    <w:rsid w:val="00ED4380"/>
    <w:rsid w:val="00F004B6"/>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4FDF"/>
    <w:pPr>
      <w:spacing w:after="0" w:line="240" w:lineRule="auto"/>
    </w:pPr>
    <w:rPr>
      <w:rFonts w:ascii="Calibri" w:hAnsi="Calibri" w:cs="Calibri"/>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6A4FDF"/>
    <w:rPr>
      <w:color w:val="0000FF"/>
      <w:u w:val="single"/>
    </w:rPr>
  </w:style>
  <w:style w:type="character" w:customStyle="1" w:styleId="apple-converted-space">
    <w:name w:val="apple-converted-space"/>
    <w:basedOn w:val="Fuentedeprrafopredeter"/>
    <w:rsid w:val="006A4FDF"/>
  </w:style>
  <w:style w:type="character" w:styleId="Textoennegrita">
    <w:name w:val="Strong"/>
    <w:basedOn w:val="Fuentedeprrafopredeter"/>
    <w:uiPriority w:val="22"/>
    <w:qFormat/>
    <w:rsid w:val="006A4FDF"/>
    <w:rPr>
      <w:b/>
      <w:bCs/>
    </w:rPr>
  </w:style>
  <w:style w:type="paragraph" w:styleId="Textodeglobo">
    <w:name w:val="Balloon Text"/>
    <w:basedOn w:val="Normal"/>
    <w:link w:val="TextodegloboCar"/>
    <w:uiPriority w:val="99"/>
    <w:semiHidden/>
    <w:unhideWhenUsed/>
    <w:rsid w:val="006A4FDF"/>
    <w:rPr>
      <w:rFonts w:ascii="Tahoma" w:hAnsi="Tahoma" w:cs="Tahoma"/>
      <w:sz w:val="16"/>
      <w:szCs w:val="16"/>
    </w:rPr>
  </w:style>
  <w:style w:type="character" w:customStyle="1" w:styleId="TextodegloboCar">
    <w:name w:val="Texto de globo Car"/>
    <w:basedOn w:val="Fuentedeprrafopredeter"/>
    <w:link w:val="Textodeglobo"/>
    <w:uiPriority w:val="99"/>
    <w:semiHidden/>
    <w:rsid w:val="006A4FDF"/>
    <w:rPr>
      <w:rFonts w:ascii="Tahoma" w:hAnsi="Tahoma" w:cs="Tahoma"/>
      <w:sz w:val="16"/>
      <w:szCs w:val="16"/>
      <w:lang w:eastAsia="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4FDF"/>
    <w:pPr>
      <w:spacing w:after="0" w:line="240" w:lineRule="auto"/>
    </w:pPr>
    <w:rPr>
      <w:rFonts w:ascii="Calibri" w:hAnsi="Calibri" w:cs="Calibri"/>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6A4FDF"/>
    <w:rPr>
      <w:color w:val="0000FF"/>
      <w:u w:val="single"/>
    </w:rPr>
  </w:style>
  <w:style w:type="character" w:customStyle="1" w:styleId="apple-converted-space">
    <w:name w:val="apple-converted-space"/>
    <w:basedOn w:val="Fuentedeprrafopredeter"/>
    <w:rsid w:val="006A4FDF"/>
  </w:style>
  <w:style w:type="character" w:styleId="Textoennegrita">
    <w:name w:val="Strong"/>
    <w:basedOn w:val="Fuentedeprrafopredeter"/>
    <w:uiPriority w:val="22"/>
    <w:qFormat/>
    <w:rsid w:val="006A4FDF"/>
    <w:rPr>
      <w:b/>
      <w:bCs/>
    </w:rPr>
  </w:style>
  <w:style w:type="paragraph" w:styleId="Textodeglobo">
    <w:name w:val="Balloon Text"/>
    <w:basedOn w:val="Normal"/>
    <w:link w:val="TextodegloboCar"/>
    <w:uiPriority w:val="99"/>
    <w:semiHidden/>
    <w:unhideWhenUsed/>
    <w:rsid w:val="006A4FDF"/>
    <w:rPr>
      <w:rFonts w:ascii="Tahoma" w:hAnsi="Tahoma" w:cs="Tahoma"/>
      <w:sz w:val="16"/>
      <w:szCs w:val="16"/>
    </w:rPr>
  </w:style>
  <w:style w:type="character" w:customStyle="1" w:styleId="TextodegloboCar">
    <w:name w:val="Texto de globo Car"/>
    <w:basedOn w:val="Fuentedeprrafopredeter"/>
    <w:link w:val="Textodeglobo"/>
    <w:uiPriority w:val="99"/>
    <w:semiHidden/>
    <w:rsid w:val="006A4FDF"/>
    <w:rPr>
      <w:rFonts w:ascii="Tahoma" w:hAnsi="Tahoma" w:cs="Tahoma"/>
      <w:sz w:val="16"/>
      <w:szCs w:val="16"/>
      <w:lang w:eastAsia="es-SV"/>
    </w:rPr>
  </w:style>
</w:styles>
</file>

<file path=word/webSettings.xml><?xml version="1.0" encoding="utf-8"?>
<w:webSettings xmlns:r="http://schemas.openxmlformats.org/officeDocument/2006/relationships" xmlns:w="http://schemas.openxmlformats.org/wordprocessingml/2006/main">
  <w:divs>
    <w:div w:id="449980214">
      <w:bodyDiv w:val="1"/>
      <w:marLeft w:val="0"/>
      <w:marRight w:val="0"/>
      <w:marTop w:val="0"/>
      <w:marBottom w:val="0"/>
      <w:divBdr>
        <w:top w:val="none" w:sz="0" w:space="0" w:color="auto"/>
        <w:left w:val="none" w:sz="0" w:space="0" w:color="auto"/>
        <w:bottom w:val="none" w:sz="0" w:space="0" w:color="auto"/>
        <w:right w:val="none" w:sz="0" w:space="0" w:color="auto"/>
      </w:divBdr>
    </w:div>
    <w:div w:id="1230115647">
      <w:bodyDiv w:val="1"/>
      <w:marLeft w:val="0"/>
      <w:marRight w:val="0"/>
      <w:marTop w:val="0"/>
      <w:marBottom w:val="0"/>
      <w:divBdr>
        <w:top w:val="none" w:sz="0" w:space="0" w:color="auto"/>
        <w:left w:val="none" w:sz="0" w:space="0" w:color="auto"/>
        <w:bottom w:val="none" w:sz="0" w:space="0" w:color="auto"/>
        <w:right w:val="none" w:sz="0" w:space="0" w:color="auto"/>
      </w:divBdr>
    </w:div>
    <w:div w:id="2017807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microsoft.com/office/2007/relationships/stylesWithEffects" Target="stylesWithEffects.xml"/><Relationship Id="rId5" Type="http://schemas.openxmlformats.org/officeDocument/2006/relationships/hyperlink" Target="https://www.edrhym.gob.sv/drhm/Documentos/Ley_de_Mineria_y_sus_reformas.pdf" TargetMode="External"/><Relationship Id="rId10" Type="http://schemas.openxmlformats.org/officeDocument/2006/relationships/theme" Target="theme/theme1.xml"/><Relationship Id="rId4" Type="http://schemas.openxmlformats.org/officeDocument/2006/relationships/hyperlink" Target="https://www.economiasimple.net/glosario/obligacion" TargetMode="Externa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3089</Words>
  <Characters>16990</Characters>
  <Application>Microsoft Office Word</Application>
  <DocSecurity>0</DocSecurity>
  <Lines>141</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cmcampos</dc:creator>
  <cp:lastModifiedBy>mbachez</cp:lastModifiedBy>
  <cp:revision>2</cp:revision>
  <dcterms:created xsi:type="dcterms:W3CDTF">2019-06-18T16:59:00Z</dcterms:created>
  <dcterms:modified xsi:type="dcterms:W3CDTF">2019-06-18T16:59:00Z</dcterms:modified>
</cp:coreProperties>
</file>