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06" w:rsidRDefault="00D30B06" w:rsidP="00B13B85">
      <w:pPr>
        <w:rPr>
          <w:rFonts w:ascii="Calibri" w:eastAsia="Calibri" w:hAnsi="Calibri" w:cs="Times New Roman"/>
          <w:b/>
          <w:lang w:val="es-ES" w:eastAsia="es-SV"/>
        </w:rPr>
      </w:pPr>
    </w:p>
    <w:p w:rsidR="00D30B06" w:rsidRDefault="00D30B06" w:rsidP="00B13B85">
      <w:pPr>
        <w:rPr>
          <w:rFonts w:ascii="Calibri" w:eastAsia="Calibri" w:hAnsi="Calibri" w:cs="Times New Roman"/>
          <w:b/>
          <w:lang w:val="es-ES" w:eastAsia="es-SV"/>
        </w:rPr>
      </w:pPr>
    </w:p>
    <w:p w:rsidR="00D30B06" w:rsidRDefault="00D30B06" w:rsidP="00B13B85">
      <w:pPr>
        <w:rPr>
          <w:rFonts w:ascii="Calibri" w:eastAsia="Calibri" w:hAnsi="Calibri" w:cs="Times New Roman"/>
          <w:b/>
          <w:lang w:val="es-ES" w:eastAsia="es-SV"/>
        </w:rPr>
      </w:pPr>
    </w:p>
    <w:p w:rsidR="00B13B85" w:rsidRPr="00B13B85" w:rsidRDefault="00D30B0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30B06" w:rsidRPr="00292810" w:rsidRDefault="00D30B06" w:rsidP="00D30B0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5</w:t>
                  </w:r>
                  <w:r w:rsidRPr="00292810">
                    <w:rPr>
                      <w:color w:val="548DD4" w:themeColor="text2" w:themeTint="99"/>
                      <w:sz w:val="20"/>
                      <w:szCs w:val="20"/>
                    </w:rPr>
                    <w:t xml:space="preserve"> de la presente solicitud.</w:t>
                  </w:r>
                </w:p>
                <w:p w:rsidR="00D30B06" w:rsidRDefault="00D30B06" w:rsidP="00D30B06"/>
              </w:txbxContent>
            </v:textbox>
          </v:rect>
        </w:pict>
      </w:r>
      <w:r w:rsidR="008B668C" w:rsidRPr="008B668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1869F5">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397695">
        <w:rPr>
          <w:rFonts w:ascii="Calibri" w:eastAsia="Calibri" w:hAnsi="Calibri" w:cs="Times New Roman"/>
          <w:u w:val="single"/>
          <w:lang w:val="es-ES" w:eastAsia="es-SV"/>
        </w:rPr>
        <w:t>n</w:t>
      </w:r>
      <w:r w:rsidR="00640441">
        <w:rPr>
          <w:rFonts w:ascii="Calibri" w:eastAsia="Calibri" w:hAnsi="Calibri" w:cs="Times New Roman"/>
          <w:u w:val="single"/>
          <w:lang w:val="es-ES" w:eastAsia="es-SV"/>
        </w:rPr>
        <w:t>u</w:t>
      </w:r>
      <w:r w:rsidR="00397695">
        <w:rPr>
          <w:rFonts w:ascii="Calibri" w:eastAsia="Calibri" w:hAnsi="Calibri" w:cs="Times New Roman"/>
          <w:u w:val="single"/>
          <w:lang w:val="es-ES" w:eastAsia="es-SV"/>
        </w:rPr>
        <w:t>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640441">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1869F5">
        <w:rPr>
          <w:rFonts w:ascii="Calibri" w:eastAsia="Times New Roman" w:hAnsi="Calibri" w:cs="Times New Roman"/>
          <w:b/>
          <w:bCs/>
          <w:lang w:eastAsia="es-SV"/>
        </w:rPr>
        <w:t>MINEC-2019-0177</w:t>
      </w:r>
      <w:r w:rsidR="002947FA" w:rsidRPr="002947F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640441">
        <w:rPr>
          <w:rFonts w:ascii="Calibri" w:eastAsia="Calibri" w:hAnsi="Calibri" w:cs="Times New Roman"/>
          <w:lang w:val="es-ES" w:eastAsia="es-SV"/>
        </w:rPr>
        <w:t>veinti</w:t>
      </w:r>
      <w:r w:rsidR="001869F5">
        <w:rPr>
          <w:rFonts w:ascii="Calibri" w:eastAsia="Calibri" w:hAnsi="Calibri" w:cs="Times New Roman"/>
          <w:lang w:val="es-ES" w:eastAsia="es-SV"/>
        </w:rPr>
        <w:t xml:space="preserve">cuatro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30B06">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30B06">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1869F5" w:rsidRPr="001869F5">
        <w:rPr>
          <w:rFonts w:ascii="Calibri" w:eastAsia="Calibri" w:hAnsi="Calibri" w:cs="Times New Roman"/>
          <w:lang w:eastAsia="es-SV"/>
        </w:rPr>
        <w:t>Apopa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869F5" w:rsidRPr="001869F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1869F5" w:rsidRPr="001869F5" w:rsidRDefault="001C1C59" w:rsidP="001869F5">
      <w:pPr>
        <w:jc w:val="both"/>
        <w:rPr>
          <w:rFonts w:ascii="Calibri" w:eastAsia="Calibri" w:hAnsi="Calibri"/>
          <w:b/>
          <w:u w:val="single"/>
          <w:lang w:eastAsia="es-SV"/>
        </w:rPr>
      </w:pPr>
      <w:r>
        <w:rPr>
          <w:rFonts w:ascii="Calibri" w:eastAsia="Calibri" w:hAnsi="Calibri" w:cs="Times New Roman"/>
          <w:lang w:val="es-ES" w:eastAsia="es-SV"/>
        </w:rPr>
        <w:t>“</w:t>
      </w:r>
      <w:r w:rsidR="001869F5" w:rsidRPr="001869F5">
        <w:rPr>
          <w:rFonts w:ascii="Calibri" w:eastAsia="Calibri" w:hAnsi="Calibri"/>
          <w:b/>
          <w:u w:val="single"/>
          <w:lang w:eastAsia="es-SV"/>
        </w:rPr>
        <w:t>1. A qué se debe el incremento del precio del combustible</w:t>
      </w:r>
      <w:proofErr w:type="gramStart"/>
      <w:r w:rsidR="001869F5" w:rsidRPr="001869F5">
        <w:rPr>
          <w:rFonts w:ascii="Calibri" w:eastAsia="Calibri" w:hAnsi="Calibri"/>
          <w:b/>
          <w:u w:val="single"/>
          <w:lang w:eastAsia="es-SV"/>
        </w:rPr>
        <w:t>?</w:t>
      </w:r>
      <w:proofErr w:type="gramEnd"/>
    </w:p>
    <w:p w:rsidR="001869F5" w:rsidRPr="001869F5" w:rsidRDefault="001869F5" w:rsidP="001869F5">
      <w:pPr>
        <w:jc w:val="both"/>
        <w:rPr>
          <w:rFonts w:ascii="Calibri" w:eastAsia="Calibri" w:hAnsi="Calibri"/>
          <w:b/>
          <w:u w:val="single"/>
          <w:lang w:eastAsia="es-SV"/>
        </w:rPr>
      </w:pPr>
      <w:r w:rsidRPr="001869F5">
        <w:rPr>
          <w:rFonts w:ascii="Calibri" w:eastAsia="Calibri" w:hAnsi="Calibri"/>
          <w:b/>
          <w:u w:val="single"/>
          <w:lang w:eastAsia="es-SV"/>
        </w:rPr>
        <w:t>2. Que tanto ha afectado el incremento del precio del combustible  en la economía</w:t>
      </w:r>
      <w:proofErr w:type="gramStart"/>
      <w:r w:rsidRPr="001869F5">
        <w:rPr>
          <w:rFonts w:ascii="Calibri" w:eastAsia="Calibri" w:hAnsi="Calibri"/>
          <w:b/>
          <w:u w:val="single"/>
          <w:lang w:eastAsia="es-SV"/>
        </w:rPr>
        <w:t>?</w:t>
      </w:r>
      <w:proofErr w:type="gramEnd"/>
    </w:p>
    <w:p w:rsidR="001869F5" w:rsidRPr="001869F5" w:rsidRDefault="001869F5" w:rsidP="001869F5">
      <w:pPr>
        <w:jc w:val="both"/>
        <w:rPr>
          <w:rFonts w:ascii="Calibri" w:eastAsia="Calibri" w:hAnsi="Calibri"/>
          <w:b/>
          <w:u w:val="single"/>
          <w:lang w:eastAsia="es-SV"/>
        </w:rPr>
      </w:pPr>
      <w:r w:rsidRPr="001869F5">
        <w:rPr>
          <w:rFonts w:ascii="Calibri" w:eastAsia="Calibri" w:hAnsi="Calibri"/>
          <w:b/>
          <w:u w:val="single"/>
          <w:lang w:eastAsia="es-SV"/>
        </w:rPr>
        <w:t>3. Se espera un cambio en los precios del combustible en los últimos días</w:t>
      </w:r>
      <w:proofErr w:type="gramStart"/>
      <w:r w:rsidRPr="001869F5">
        <w:rPr>
          <w:rFonts w:ascii="Calibri" w:eastAsia="Calibri" w:hAnsi="Calibri"/>
          <w:b/>
          <w:u w:val="single"/>
          <w:lang w:eastAsia="es-SV"/>
        </w:rPr>
        <w:t>?</w:t>
      </w:r>
      <w:proofErr w:type="gramEnd"/>
    </w:p>
    <w:p w:rsidR="001869F5" w:rsidRPr="001869F5" w:rsidRDefault="001869F5" w:rsidP="001869F5">
      <w:pPr>
        <w:jc w:val="both"/>
        <w:rPr>
          <w:rFonts w:ascii="Calibri" w:eastAsia="Calibri" w:hAnsi="Calibri"/>
          <w:b/>
          <w:u w:val="single"/>
          <w:lang w:eastAsia="es-SV"/>
        </w:rPr>
      </w:pPr>
      <w:r w:rsidRPr="001869F5">
        <w:rPr>
          <w:rFonts w:ascii="Calibri" w:eastAsia="Calibri" w:hAnsi="Calibri"/>
          <w:b/>
          <w:u w:val="single"/>
          <w:lang w:eastAsia="es-SV"/>
        </w:rPr>
        <w:t>4. Cuál ha sido el impacto que ha tenido en la población este incremento</w:t>
      </w:r>
      <w:proofErr w:type="gramStart"/>
      <w:r w:rsidRPr="001869F5">
        <w:rPr>
          <w:rFonts w:ascii="Calibri" w:eastAsia="Calibri" w:hAnsi="Calibri"/>
          <w:b/>
          <w:u w:val="single"/>
          <w:lang w:eastAsia="es-SV"/>
        </w:rPr>
        <w:t>?</w:t>
      </w:r>
      <w:proofErr w:type="gramEnd"/>
    </w:p>
    <w:p w:rsidR="00471829" w:rsidRDefault="001869F5" w:rsidP="001869F5">
      <w:pPr>
        <w:jc w:val="both"/>
      </w:pPr>
      <w:r w:rsidRPr="001869F5">
        <w:rPr>
          <w:rFonts w:ascii="Calibri" w:eastAsia="Calibri" w:hAnsi="Calibri"/>
          <w:b/>
          <w:u w:val="single"/>
          <w:lang w:eastAsia="es-SV"/>
        </w:rPr>
        <w:t>5. Que tanto se espera que afecte en las ventas de combustible</w:t>
      </w:r>
      <w:proofErr w:type="gramStart"/>
      <w:r w:rsidRPr="001869F5">
        <w:rPr>
          <w:rFonts w:ascii="Calibri" w:eastAsia="Calibri" w:hAnsi="Calibri"/>
          <w:b/>
          <w:u w:val="single"/>
          <w:lang w:eastAsia="es-SV"/>
        </w:rPr>
        <w:t>?</w:t>
      </w:r>
      <w:proofErr w:type="gramEnd"/>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D30B06">
        <w:t xml:space="preserve"> ________________________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D30B06">
        <w:rPr>
          <w:rFonts w:ascii="Calibri" w:eastAsia="Calibri" w:hAnsi="Calibri" w:cs="Times New Roman"/>
          <w:b/>
          <w:lang w:eastAsia="es-SV"/>
        </w:rPr>
        <w:t>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Dirección de Hidrocarburos y Minas</w:t>
      </w:r>
      <w:r w:rsidR="00397695">
        <w:rPr>
          <w:rFonts w:ascii="Calibri" w:eastAsia="Calibri" w:hAnsi="Calibri" w:cs="Times New Roman"/>
          <w:b/>
          <w:lang w:val="es-ES" w:eastAsia="es-SV"/>
        </w:rPr>
        <w:t xml:space="preserve"> (</w:t>
      </w:r>
      <w:r w:rsidR="00E10D6F">
        <w:rPr>
          <w:rFonts w:ascii="Calibri" w:eastAsia="Calibri" w:hAnsi="Calibri" w:cs="Times New Roman"/>
          <w:b/>
          <w:lang w:val="es-ES" w:eastAsia="es-SV"/>
        </w:rPr>
        <w:t>DHYM</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onde lo siguiente:</w:t>
      </w:r>
    </w:p>
    <w:p w:rsidR="001323B3" w:rsidRDefault="001323B3" w:rsidP="004145ED">
      <w:pPr>
        <w:ind w:firstLine="708"/>
        <w:rPr>
          <w:rStyle w:val="Textoennegrita"/>
        </w:rPr>
      </w:pPr>
    </w:p>
    <w:p w:rsidR="00F17533" w:rsidRPr="00F17533" w:rsidRDefault="00F17533" w:rsidP="00F17533">
      <w:pPr>
        <w:pStyle w:val="Prrafodelista"/>
        <w:numPr>
          <w:ilvl w:val="0"/>
          <w:numId w:val="41"/>
        </w:numPr>
        <w:rPr>
          <w:b/>
          <w:bCs/>
        </w:rPr>
      </w:pPr>
      <w:r w:rsidRPr="00F17533">
        <w:rPr>
          <w:b/>
          <w:bCs/>
        </w:rPr>
        <w:t xml:space="preserve">¿A qué se debe el incremento del precio del combustible? </w:t>
      </w:r>
    </w:p>
    <w:p w:rsidR="00F17533" w:rsidRPr="00F17533" w:rsidRDefault="00F17533" w:rsidP="00F17533">
      <w:pPr>
        <w:pStyle w:val="Prrafodelista"/>
        <w:ind w:left="709"/>
        <w:rPr>
          <w:b/>
          <w:bCs/>
        </w:rPr>
      </w:pPr>
    </w:p>
    <w:p w:rsidR="00F17533" w:rsidRPr="00646FDC" w:rsidRDefault="00F17533" w:rsidP="00646FDC">
      <w:pPr>
        <w:pStyle w:val="Prrafodelista"/>
        <w:ind w:left="709"/>
        <w:jc w:val="both"/>
        <w:rPr>
          <w:bCs/>
        </w:rPr>
      </w:pPr>
      <w:r w:rsidRPr="00646FDC">
        <w:rPr>
          <w:bCs/>
        </w:rPr>
        <w:t>En el mes febrero las reservas de gasolina y diésel sufrieron disminuciones debido a la ola ártica de frio que vivió la primera y segunda semana, la cual el 80% de Estados Unidos, sufrió temperaturas de congelación, elevando el consumo de los combustibles.</w:t>
      </w:r>
    </w:p>
    <w:p w:rsidR="00F17533" w:rsidRPr="00646FDC" w:rsidRDefault="00F17533" w:rsidP="00646FDC">
      <w:pPr>
        <w:pStyle w:val="Prrafodelista"/>
        <w:ind w:left="709"/>
        <w:jc w:val="both"/>
        <w:rPr>
          <w:bCs/>
        </w:rPr>
      </w:pPr>
      <w:r w:rsidRPr="00646FDC">
        <w:rPr>
          <w:bCs/>
        </w:rPr>
        <w:t>A partir del reporte del 21 de febrero sobre las reservas de combustibles líquidos por parte de la Agencia Internacional de Energía, (AIE por sus siglas en ingles) han disminuido hasta el último reporte del 24 de abril  30.3 millones impactando directamente los precios de las gasolinas a nivel nacional y regional, por ello es que se han tenido 7 alzas consecutivas. Asimismo el diesel pero en menor medida, presentan una disminución en sus reservas de 12.5 millones de barriles.</w:t>
      </w:r>
    </w:p>
    <w:p w:rsidR="00F17533" w:rsidRPr="00646FDC" w:rsidRDefault="00F17533" w:rsidP="00646FDC">
      <w:pPr>
        <w:pStyle w:val="Prrafodelista"/>
        <w:ind w:left="709"/>
        <w:jc w:val="both"/>
        <w:rPr>
          <w:bCs/>
        </w:rPr>
      </w:pPr>
      <w:r w:rsidRPr="00646FDC">
        <w:rPr>
          <w:bCs/>
        </w:rPr>
        <w:t>El acuerdo adoptado de reducir la producción de por parte de los países no pertenecientes y pertenecientes a la Organización de Países Exportadores de Petróleo (OPEP). El cual ha reducido 1.2 millones de barriles diarios de petróleo en enero y febrero, para marzo lo elevo a 1.4 millones de barriles diarios.</w:t>
      </w:r>
    </w:p>
    <w:p w:rsidR="00F17533" w:rsidRPr="00646FDC" w:rsidRDefault="00F17533" w:rsidP="00646FDC">
      <w:pPr>
        <w:pStyle w:val="Prrafodelista"/>
        <w:ind w:left="709"/>
        <w:jc w:val="both"/>
        <w:rPr>
          <w:bCs/>
        </w:rPr>
      </w:pPr>
      <w:r w:rsidRPr="00646FDC">
        <w:rPr>
          <w:bCs/>
        </w:rPr>
        <w:t>Estos sucesos nos afectan directamente porque somos un país netamente importador de productos derivados del petróleo.</w:t>
      </w:r>
    </w:p>
    <w:p w:rsidR="00F17533" w:rsidRDefault="00F17533" w:rsidP="00F17533">
      <w:pPr>
        <w:pStyle w:val="Prrafodelista"/>
        <w:ind w:left="709"/>
        <w:rPr>
          <w:b/>
          <w:bCs/>
        </w:rPr>
      </w:pPr>
    </w:p>
    <w:p w:rsidR="00881942" w:rsidRPr="00F17533" w:rsidRDefault="00881942" w:rsidP="00F17533">
      <w:pPr>
        <w:pStyle w:val="Prrafodelista"/>
        <w:ind w:left="709"/>
        <w:rPr>
          <w:b/>
          <w:bCs/>
        </w:rPr>
      </w:pPr>
    </w:p>
    <w:p w:rsidR="00F17533" w:rsidRPr="00F17533" w:rsidRDefault="00F17533" w:rsidP="00F17533">
      <w:pPr>
        <w:pStyle w:val="Prrafodelista"/>
        <w:numPr>
          <w:ilvl w:val="0"/>
          <w:numId w:val="41"/>
        </w:numPr>
        <w:rPr>
          <w:b/>
          <w:bCs/>
        </w:rPr>
      </w:pPr>
      <w:r w:rsidRPr="00F17533">
        <w:rPr>
          <w:b/>
          <w:bCs/>
        </w:rPr>
        <w:t xml:space="preserve">¿Que tanto ha afectado el incremento del precio del combustible  en la economía? </w:t>
      </w:r>
    </w:p>
    <w:p w:rsidR="00F17533" w:rsidRPr="00F17533" w:rsidRDefault="00F17533" w:rsidP="00F17533">
      <w:pPr>
        <w:pStyle w:val="Prrafodelista"/>
        <w:ind w:left="709"/>
        <w:rPr>
          <w:b/>
          <w:bCs/>
        </w:rPr>
      </w:pPr>
      <w:r w:rsidRPr="00646FDC">
        <w:rPr>
          <w:bCs/>
        </w:rPr>
        <w:t>Estos parámetros no son evaluados por esta dependencia del Ministerio de Economía</w:t>
      </w:r>
      <w:r w:rsidRPr="00F17533">
        <w:rPr>
          <w:b/>
          <w:bCs/>
        </w:rPr>
        <w:t>.</w:t>
      </w:r>
    </w:p>
    <w:p w:rsidR="00F17533" w:rsidRDefault="00F17533" w:rsidP="00F17533">
      <w:pPr>
        <w:pStyle w:val="Prrafodelista"/>
        <w:ind w:left="709"/>
        <w:rPr>
          <w:b/>
          <w:bCs/>
        </w:rPr>
      </w:pPr>
    </w:p>
    <w:p w:rsidR="00881942" w:rsidRPr="00F17533" w:rsidRDefault="00881942" w:rsidP="00F17533">
      <w:pPr>
        <w:pStyle w:val="Prrafodelista"/>
        <w:ind w:left="709"/>
        <w:rPr>
          <w:b/>
          <w:bCs/>
        </w:rPr>
      </w:pPr>
    </w:p>
    <w:p w:rsidR="00F17533" w:rsidRPr="00F17533" w:rsidRDefault="00F17533" w:rsidP="00F17533">
      <w:pPr>
        <w:pStyle w:val="Prrafodelista"/>
        <w:numPr>
          <w:ilvl w:val="0"/>
          <w:numId w:val="41"/>
        </w:numPr>
        <w:rPr>
          <w:b/>
          <w:bCs/>
        </w:rPr>
      </w:pPr>
      <w:r w:rsidRPr="00F17533">
        <w:rPr>
          <w:b/>
          <w:bCs/>
        </w:rPr>
        <w:t xml:space="preserve">¿Se espera un cambio en los precios del combustible en los últimos días? </w:t>
      </w:r>
    </w:p>
    <w:p w:rsidR="00F17533" w:rsidRDefault="00F17533" w:rsidP="00F17533">
      <w:pPr>
        <w:pStyle w:val="Prrafodelista"/>
        <w:ind w:left="709"/>
        <w:rPr>
          <w:bCs/>
        </w:rPr>
      </w:pPr>
      <w:r w:rsidRPr="00881942">
        <w:rPr>
          <w:bCs/>
        </w:rPr>
        <w:t xml:space="preserve">La tendencia de los precios internacionales de los derivados del petróleo, que se toman de referencia para realizar el cálculo de los precios de referencia para los combustibles </w:t>
      </w:r>
      <w:r w:rsidRPr="00881942">
        <w:rPr>
          <w:bCs/>
        </w:rPr>
        <w:lastRenderedPageBreak/>
        <w:t xml:space="preserve">líquidos (gasolinas y diésel), son variables, así mismo impredecible, debido a todos los factores que pueden influenciar en el mercado de los hidrocarburos, es por ello que no se puede predecir su comportamiento. </w:t>
      </w:r>
    </w:p>
    <w:p w:rsidR="00881942" w:rsidRDefault="00881942" w:rsidP="00F17533">
      <w:pPr>
        <w:pStyle w:val="Prrafodelista"/>
        <w:ind w:left="709"/>
        <w:rPr>
          <w:bCs/>
        </w:rPr>
      </w:pPr>
    </w:p>
    <w:p w:rsidR="00F17533" w:rsidRPr="00F17533" w:rsidRDefault="00F17533" w:rsidP="00F17533">
      <w:pPr>
        <w:pStyle w:val="Prrafodelista"/>
        <w:numPr>
          <w:ilvl w:val="0"/>
          <w:numId w:val="41"/>
        </w:numPr>
        <w:rPr>
          <w:b/>
          <w:bCs/>
        </w:rPr>
      </w:pPr>
      <w:r w:rsidRPr="00F17533">
        <w:rPr>
          <w:b/>
          <w:bCs/>
        </w:rPr>
        <w:t>¿Cuál ha sido el impacto que ha tenido en la población este incremento?</w:t>
      </w:r>
    </w:p>
    <w:p w:rsidR="00F17533" w:rsidRDefault="00F17533" w:rsidP="00881942">
      <w:pPr>
        <w:pStyle w:val="Prrafodelista"/>
        <w:ind w:left="709"/>
        <w:jc w:val="both"/>
        <w:rPr>
          <w:bCs/>
        </w:rPr>
      </w:pPr>
      <w:r w:rsidRPr="00881942">
        <w:rPr>
          <w:bCs/>
        </w:rPr>
        <w:t>El primer factor que afecta es alcance adquisitivo “Cantidad versus precio” esto se debe a que con un mayor precio por galón, hay un desajuste de presupuesto, afectando directamente el bolsillo de los salvadoreños que obliga a tomar medidas paulatinas por el impacto del precio de los combustibles.</w:t>
      </w:r>
    </w:p>
    <w:p w:rsidR="00881942" w:rsidRPr="00881942" w:rsidRDefault="00881942" w:rsidP="00881942">
      <w:pPr>
        <w:pStyle w:val="Prrafodelista"/>
        <w:ind w:left="709"/>
        <w:jc w:val="both"/>
        <w:rPr>
          <w:bCs/>
        </w:rPr>
      </w:pPr>
    </w:p>
    <w:p w:rsidR="00F17533" w:rsidRPr="00F17533" w:rsidRDefault="00F17533" w:rsidP="00F17533">
      <w:pPr>
        <w:pStyle w:val="Prrafodelista"/>
        <w:ind w:left="709"/>
        <w:rPr>
          <w:b/>
          <w:bCs/>
        </w:rPr>
      </w:pPr>
    </w:p>
    <w:p w:rsidR="00F17533" w:rsidRPr="00F17533" w:rsidRDefault="00F17533" w:rsidP="00F17533">
      <w:pPr>
        <w:pStyle w:val="Prrafodelista"/>
        <w:numPr>
          <w:ilvl w:val="0"/>
          <w:numId w:val="41"/>
        </w:numPr>
        <w:rPr>
          <w:b/>
          <w:bCs/>
        </w:rPr>
      </w:pPr>
      <w:r w:rsidRPr="00F17533">
        <w:rPr>
          <w:b/>
          <w:bCs/>
        </w:rPr>
        <w:t>¿Que tanto se espera que afecte en las ventas de combustible?  </w:t>
      </w:r>
    </w:p>
    <w:p w:rsidR="00F17533" w:rsidRPr="00F17533" w:rsidRDefault="00F17533" w:rsidP="00F17533">
      <w:pPr>
        <w:pStyle w:val="Prrafodelista"/>
        <w:ind w:left="709"/>
        <w:rPr>
          <w:b/>
          <w:bCs/>
        </w:rPr>
      </w:pPr>
      <w:r w:rsidRPr="00881942">
        <w:rPr>
          <w:bCs/>
        </w:rPr>
        <w:t>Al igual que los precios internacionales son volátiles (que pueden variar inesperadamente) las ventas tiene la misma tendencia, y esto se debe a la ley de oferta y demanda, por lo general cuando los precios suben, la venta por parte de las estaciones tienden a reducirse, cuando los precios bajan, las ventas suben</w:t>
      </w:r>
      <w:r w:rsidRPr="00F17533">
        <w:rPr>
          <w:b/>
          <w:bCs/>
        </w:rPr>
        <w:t>.</w:t>
      </w:r>
    </w:p>
    <w:p w:rsidR="00F17533" w:rsidRPr="00F17533" w:rsidRDefault="00F17533" w:rsidP="00F17533">
      <w:pPr>
        <w:pStyle w:val="Prrafodelista"/>
        <w:ind w:left="709"/>
        <w:rPr>
          <w:b/>
          <w:bCs/>
        </w:rPr>
      </w:pPr>
    </w:p>
    <w:p w:rsidR="00881942" w:rsidRDefault="00881942" w:rsidP="00F17533">
      <w:pPr>
        <w:pStyle w:val="Prrafodelista"/>
        <w:ind w:left="709"/>
        <w:rPr>
          <w:b/>
          <w:bCs/>
        </w:rPr>
      </w:pPr>
    </w:p>
    <w:p w:rsidR="00F17533" w:rsidRPr="00F17533" w:rsidRDefault="00F17533" w:rsidP="00F17533">
      <w:pPr>
        <w:pStyle w:val="Prrafodelista"/>
        <w:ind w:left="709"/>
        <w:rPr>
          <w:b/>
          <w:bCs/>
        </w:rPr>
      </w:pPr>
      <w:r w:rsidRPr="00F17533">
        <w:rPr>
          <w:b/>
          <w:bCs/>
        </w:rPr>
        <w:t>Podemos observar el siguiente comportamiento:</w:t>
      </w:r>
    </w:p>
    <w:p w:rsidR="00881942" w:rsidRDefault="00881942" w:rsidP="00F17533">
      <w:pPr>
        <w:pStyle w:val="Prrafodelista"/>
        <w:ind w:left="709"/>
        <w:rPr>
          <w:b/>
          <w:bCs/>
        </w:rPr>
      </w:pPr>
    </w:p>
    <w:p w:rsidR="00881942" w:rsidRDefault="00881942" w:rsidP="00F17533">
      <w:pPr>
        <w:pStyle w:val="Prrafodelista"/>
        <w:ind w:left="709"/>
        <w:rPr>
          <w:b/>
          <w:bCs/>
        </w:rPr>
      </w:pPr>
      <w:bookmarkStart w:id="0" w:name="_GoBack"/>
      <w:bookmarkEnd w:id="0"/>
    </w:p>
    <w:p w:rsidR="00881942" w:rsidRDefault="00881942" w:rsidP="00F17533">
      <w:pPr>
        <w:pStyle w:val="Prrafodelista"/>
        <w:ind w:left="709"/>
        <w:rPr>
          <w:b/>
          <w:bCs/>
        </w:rPr>
      </w:pPr>
      <w:r w:rsidRPr="00F17533">
        <w:rPr>
          <w:b/>
          <w:bCs/>
          <w:noProof/>
          <w:lang w:eastAsia="es-SV"/>
        </w:rPr>
        <w:drawing>
          <wp:anchor distT="0" distB="0" distL="114300" distR="114300" simplePos="0" relativeHeight="251663360" behindDoc="1" locked="0" layoutInCell="1" allowOverlap="1">
            <wp:simplePos x="0" y="0"/>
            <wp:positionH relativeFrom="column">
              <wp:posOffset>15240</wp:posOffset>
            </wp:positionH>
            <wp:positionV relativeFrom="paragraph">
              <wp:posOffset>156210</wp:posOffset>
            </wp:positionV>
            <wp:extent cx="5753100" cy="2219325"/>
            <wp:effectExtent l="0" t="0" r="0" b="9525"/>
            <wp:wrapThrough wrapText="bothSides">
              <wp:wrapPolygon edited="0">
                <wp:start x="0" y="0"/>
                <wp:lineTo x="0" y="21507"/>
                <wp:lineTo x="17952" y="21507"/>
                <wp:lineTo x="20313" y="21136"/>
                <wp:lineTo x="21528" y="20580"/>
                <wp:lineTo x="21528" y="14833"/>
                <wp:lineTo x="20527" y="14833"/>
                <wp:lineTo x="21528" y="14091"/>
                <wp:lineTo x="21528" y="9827"/>
                <wp:lineTo x="21385" y="9641"/>
                <wp:lineTo x="20241" y="8900"/>
                <wp:lineTo x="21528" y="8900"/>
                <wp:lineTo x="2152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2219325"/>
                    </a:xfrm>
                    <a:prstGeom prst="rect">
                      <a:avLst/>
                    </a:prstGeom>
                    <a:noFill/>
                  </pic:spPr>
                </pic:pic>
              </a:graphicData>
            </a:graphic>
          </wp:anchor>
        </w:drawing>
      </w: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881942" w:rsidRDefault="00881942" w:rsidP="00F17533">
      <w:pPr>
        <w:pStyle w:val="Prrafodelista"/>
        <w:ind w:left="709"/>
        <w:rPr>
          <w:b/>
          <w:bCs/>
        </w:rPr>
      </w:pPr>
    </w:p>
    <w:p w:rsidR="00F17533" w:rsidRPr="00F17533" w:rsidRDefault="00881942" w:rsidP="00F17533">
      <w:pPr>
        <w:pStyle w:val="Prrafodelista"/>
        <w:ind w:left="709"/>
        <w:rPr>
          <w:b/>
          <w:bCs/>
        </w:rPr>
      </w:pPr>
      <w:r w:rsidRPr="00F17533">
        <w:rPr>
          <w:b/>
          <w:bCs/>
          <w:noProof/>
          <w:lang w:eastAsia="es-SV"/>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187325</wp:posOffset>
            </wp:positionV>
            <wp:extent cx="5172075" cy="1685925"/>
            <wp:effectExtent l="0" t="0" r="9525" b="9525"/>
            <wp:wrapThrough wrapText="bothSides">
              <wp:wrapPolygon edited="0">
                <wp:start x="0" y="0"/>
                <wp:lineTo x="0" y="21478"/>
                <wp:lineTo x="21560" y="21478"/>
                <wp:lineTo x="21560"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075" cy="1685925"/>
                    </a:xfrm>
                    <a:prstGeom prst="rect">
                      <a:avLst/>
                    </a:prstGeom>
                    <a:noFill/>
                  </pic:spPr>
                </pic:pic>
              </a:graphicData>
            </a:graphic>
          </wp:anchor>
        </w:drawing>
      </w: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F17533" w:rsidRPr="00F17533" w:rsidRDefault="00F17533" w:rsidP="00F17533">
      <w:pPr>
        <w:pStyle w:val="Prrafodelista"/>
        <w:ind w:left="709"/>
        <w:rPr>
          <w:b/>
          <w:bCs/>
        </w:rPr>
      </w:pPr>
    </w:p>
    <w:p w:rsidR="001323B3" w:rsidRPr="001323B3" w:rsidRDefault="001323B3" w:rsidP="001323B3">
      <w:pPr>
        <w:pStyle w:val="Prrafodelista"/>
        <w:ind w:left="709"/>
        <w:rPr>
          <w:rFonts w:ascii="Calibri" w:eastAsia="Calibri" w:hAnsi="Calibri" w:cs="Times New Roman"/>
          <w:lang w:eastAsia="es-SV"/>
        </w:rPr>
      </w:pPr>
      <w:r>
        <w:rPr>
          <w:rFonts w:ascii="Calibri" w:eastAsia="Calibri" w:hAnsi="Calibri" w:cs="Times New Roman"/>
          <w:lang w:eastAsia="es-SV"/>
        </w:rPr>
        <w:t>”</w:t>
      </w:r>
    </w:p>
    <w:p w:rsidR="00E10D6F" w:rsidRDefault="00E10D6F" w:rsidP="00E10D6F">
      <w:pPr>
        <w:pStyle w:val="Prrafodelista"/>
        <w:ind w:left="709"/>
        <w:rPr>
          <w:rFonts w:ascii="Calibri" w:eastAsia="Calibri" w:hAnsi="Calibri" w:cs="Times New Roman"/>
          <w:lang w:eastAsia="es-SV"/>
        </w:rPr>
      </w:pPr>
    </w:p>
    <w:p w:rsidR="001C1C59" w:rsidRPr="009015B5" w:rsidRDefault="00881942" w:rsidP="001C1C59">
      <w:pPr>
        <w:pStyle w:val="Prrafodelista"/>
        <w:jc w:val="both"/>
        <w:rPr>
          <w:rFonts w:ascii="Calibri" w:eastAsia="Calibri" w:hAnsi="Calibri" w:cs="Times New Roman"/>
          <w:lang w:eastAsia="es-SV"/>
        </w:rPr>
      </w:pPr>
      <w:r w:rsidRPr="00F17533">
        <w:rPr>
          <w:b/>
          <w:bCs/>
          <w:noProof/>
          <w:lang w:eastAsia="es-SV"/>
        </w:rPr>
        <w:drawing>
          <wp:anchor distT="0" distB="0" distL="114300" distR="114300" simplePos="0" relativeHeight="251661312" behindDoc="1" locked="0" layoutInCell="1" allowOverlap="1">
            <wp:simplePos x="0" y="0"/>
            <wp:positionH relativeFrom="column">
              <wp:posOffset>184150</wp:posOffset>
            </wp:positionH>
            <wp:positionV relativeFrom="paragraph">
              <wp:posOffset>262890</wp:posOffset>
            </wp:positionV>
            <wp:extent cx="6153150" cy="2105025"/>
            <wp:effectExtent l="0" t="0" r="0" b="9525"/>
            <wp:wrapThrough wrapText="bothSides">
              <wp:wrapPolygon edited="0">
                <wp:start x="0" y="0"/>
                <wp:lineTo x="0" y="21502"/>
                <wp:lineTo x="21533" y="21502"/>
                <wp:lineTo x="2153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3150" cy="2105025"/>
                    </a:xfrm>
                    <a:prstGeom prst="rect">
                      <a:avLst/>
                    </a:prstGeom>
                    <a:noFill/>
                  </pic:spPr>
                </pic:pic>
              </a:graphicData>
            </a:graphic>
          </wp:anchor>
        </w:drawing>
      </w: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r w:rsidRPr="00F17533">
        <w:rPr>
          <w:b/>
          <w:bCs/>
          <w:noProof/>
          <w:lang w:eastAsia="es-SV"/>
        </w:rPr>
        <w:drawing>
          <wp:anchor distT="0" distB="0" distL="114300" distR="114300" simplePos="0" relativeHeight="251664384" behindDoc="1" locked="0" layoutInCell="1" allowOverlap="1">
            <wp:simplePos x="0" y="0"/>
            <wp:positionH relativeFrom="column">
              <wp:posOffset>476885</wp:posOffset>
            </wp:positionH>
            <wp:positionV relativeFrom="paragraph">
              <wp:posOffset>38100</wp:posOffset>
            </wp:positionV>
            <wp:extent cx="5067300" cy="771525"/>
            <wp:effectExtent l="0" t="0" r="0" b="9525"/>
            <wp:wrapThrough wrapText="bothSides">
              <wp:wrapPolygon edited="0">
                <wp:start x="0" y="0"/>
                <wp:lineTo x="0" y="21333"/>
                <wp:lineTo x="21519" y="21333"/>
                <wp:lineTo x="2151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771525"/>
                    </a:xfrm>
                    <a:prstGeom prst="rect">
                      <a:avLst/>
                    </a:prstGeom>
                    <a:noFill/>
                  </pic:spPr>
                </pic:pic>
              </a:graphicData>
            </a:graphic>
          </wp:anchor>
        </w:drawing>
      </w: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D30B06">
        <w:rPr>
          <w:rFonts w:ascii="Calibri" w:eastAsia="Calibri" w:hAnsi="Calibri" w:cs="Times New Roman"/>
          <w:lang w:eastAsia="es-SV"/>
        </w:rPr>
        <w:t>________ 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12"/>
      <w:footerReference w:type="default" r:id="rId13"/>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42" w:rsidRDefault="00AF3C42">
      <w:pPr>
        <w:spacing w:after="0" w:line="240" w:lineRule="auto"/>
      </w:pPr>
      <w:r>
        <w:separator/>
      </w:r>
    </w:p>
  </w:endnote>
  <w:endnote w:type="continuationSeparator" w:id="0">
    <w:p w:rsidR="00AF3C42" w:rsidRDefault="00AF3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B668C">
    <w:pPr>
      <w:pStyle w:val="Piedepgina"/>
      <w:jc w:val="right"/>
      <w:rPr>
        <w:noProof/>
        <w:lang w:val="es-ES"/>
      </w:rPr>
    </w:pPr>
    <w:r w:rsidRPr="008B668C">
      <w:fldChar w:fldCharType="begin"/>
    </w:r>
    <w:r w:rsidR="00F6461C">
      <w:instrText>PAGE   \* MERGEFORMAT</w:instrText>
    </w:r>
    <w:r w:rsidRPr="008B668C">
      <w:fldChar w:fldCharType="separate"/>
    </w:r>
    <w:r w:rsidR="00D30B06" w:rsidRPr="00D30B0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42" w:rsidRDefault="00AF3C42">
      <w:pPr>
        <w:spacing w:after="0" w:line="240" w:lineRule="auto"/>
      </w:pPr>
      <w:r>
        <w:separator/>
      </w:r>
    </w:p>
  </w:footnote>
  <w:footnote w:type="continuationSeparator" w:id="0">
    <w:p w:rsidR="00AF3C42" w:rsidRDefault="00AF3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27044"/>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68C"/>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AF3C42"/>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30B06"/>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8D467A-0DCA-4340-905B-D3D70958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881</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2019-05-08T17:32:00Z</cp:lastPrinted>
  <dcterms:created xsi:type="dcterms:W3CDTF">2019-05-14T17:45:00Z</dcterms:created>
  <dcterms:modified xsi:type="dcterms:W3CDTF">2019-05-14T17:45:00Z</dcterms:modified>
</cp:coreProperties>
</file>