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BC" w:rsidRDefault="00037DBC" w:rsidP="00B13B85">
      <w:pPr>
        <w:rPr>
          <w:rFonts w:ascii="Calibri" w:eastAsia="Calibri" w:hAnsi="Calibri" w:cs="Times New Roman"/>
          <w:b/>
          <w:lang w:val="es-ES" w:eastAsia="es-SV"/>
        </w:rPr>
      </w:pPr>
    </w:p>
    <w:p w:rsidR="00037DBC" w:rsidRDefault="00037DBC" w:rsidP="00B13B85">
      <w:pPr>
        <w:rPr>
          <w:rFonts w:ascii="Calibri" w:eastAsia="Calibri" w:hAnsi="Calibri" w:cs="Times New Roman"/>
          <w:b/>
          <w:lang w:val="es-ES" w:eastAsia="es-SV"/>
        </w:rPr>
      </w:pPr>
    </w:p>
    <w:p w:rsidR="00037DBC" w:rsidRDefault="00037DBC" w:rsidP="00B13B85">
      <w:pPr>
        <w:rPr>
          <w:rFonts w:ascii="Calibri" w:eastAsia="Calibri" w:hAnsi="Calibri" w:cs="Times New Roman"/>
          <w:b/>
          <w:lang w:val="es-ES" w:eastAsia="es-SV"/>
        </w:rPr>
      </w:pPr>
    </w:p>
    <w:p w:rsidR="00B13B85" w:rsidRPr="00B13B85" w:rsidRDefault="00037DB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37DBC" w:rsidRPr="00292810" w:rsidRDefault="00037DBC" w:rsidP="00037DB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1 y </w:t>
                  </w:r>
                  <w:r>
                    <w:rPr>
                      <w:color w:val="548DD4" w:themeColor="text2" w:themeTint="99"/>
                      <w:sz w:val="20"/>
                      <w:szCs w:val="20"/>
                    </w:rPr>
                    <w:t>5</w:t>
                  </w:r>
                  <w:r w:rsidRPr="00292810">
                    <w:rPr>
                      <w:color w:val="548DD4" w:themeColor="text2" w:themeTint="99"/>
                      <w:sz w:val="20"/>
                      <w:szCs w:val="20"/>
                    </w:rPr>
                    <w:t xml:space="preserve"> de la presente solicitud.</w:t>
                  </w:r>
                </w:p>
                <w:p w:rsidR="00037DBC" w:rsidRDefault="00037DBC" w:rsidP="00037DBC"/>
              </w:txbxContent>
            </v:textbox>
          </v:rect>
        </w:pict>
      </w:r>
      <w:r w:rsidR="00C766D6" w:rsidRPr="00C766D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4B36F2">
                    <w:rPr>
                      <w:sz w:val="24"/>
                      <w:szCs w:val="24"/>
                    </w:rPr>
                    <w:t>50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0057A">
        <w:rPr>
          <w:rFonts w:ascii="Calibri" w:eastAsia="Calibri" w:hAnsi="Calibri" w:cs="Times New Roman"/>
          <w:u w:val="single"/>
          <w:lang w:val="es-ES" w:eastAsia="es-SV"/>
        </w:rPr>
        <w:t>diecinueve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4B36F2">
      <w:pPr>
        <w:jc w:val="both"/>
      </w:pPr>
      <w:r w:rsidRPr="00B13B85">
        <w:rPr>
          <w:rFonts w:ascii="Calibri" w:eastAsia="Calibri" w:hAnsi="Calibri" w:cs="Times New Roman"/>
          <w:lang w:val="es-ES" w:eastAsia="es-SV"/>
        </w:rPr>
        <w:t xml:space="preserve">Admítase la solicitud de información </w:t>
      </w:r>
      <w:r w:rsidR="004B36F2" w:rsidRPr="004B36F2">
        <w:rPr>
          <w:rFonts w:ascii="Calibri" w:eastAsia="Times New Roman" w:hAnsi="Calibri" w:cs="Times New Roman"/>
          <w:b/>
          <w:bCs/>
          <w:lang w:eastAsia="es-SV"/>
        </w:rPr>
        <w:t>MINEC-2019-0055</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4B36F2">
        <w:rPr>
          <w:rFonts w:ascii="Calibri" w:eastAsia="Calibri" w:hAnsi="Calibri" w:cs="Times New Roman"/>
          <w:lang w:val="es-ES" w:eastAsia="es-SV"/>
        </w:rPr>
        <w:t>once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37DBC">
        <w:rPr>
          <w:rFonts w:ascii="Calibri" w:eastAsia="Calibri" w:hAnsi="Calibri" w:cs="Times New Roman"/>
          <w:b/>
          <w:u w:val="single"/>
          <w:lang w:eastAsia="es-SV"/>
        </w:rPr>
        <w:t>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37DBC">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DD711C" w:rsidRPr="00DD711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461F0" w:rsidRPr="007461F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85824" w:rsidRPr="00D85824">
        <w:rPr>
          <w:rFonts w:ascii="Calibri" w:eastAsia="Calibri" w:hAnsi="Calibri"/>
          <w:b/>
          <w:bCs/>
          <w:u w:val="single"/>
          <w:lang w:eastAsia="es-SV"/>
        </w:rPr>
        <w:t>-</w:t>
      </w:r>
      <w:r w:rsidR="004B36F2" w:rsidRPr="004B36F2">
        <w:rPr>
          <w:rFonts w:ascii="Calibri" w:eastAsia="Calibri" w:hAnsi="Calibri"/>
          <w:b/>
          <w:bCs/>
          <w:u w:val="single"/>
          <w:lang w:eastAsia="es-SV"/>
        </w:rPr>
        <w:t>¿Por qué razón, en la VI Enmienda del Sistema Arancelario Centroamericano, la partida 87.03 se ha reestructurado con nueva numeración para clasificar por separado los vehículos híbridos y eléctricos de los vehículos automóviles totalmente eléctricos, respectivamente?</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37DBC">
        <w:t xml:space="preserve"> _________________________________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37DBC">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4B36F2">
        <w:rPr>
          <w:rFonts w:ascii="Calibri" w:eastAsia="Calibri" w:hAnsi="Calibri" w:cs="Times New Roman"/>
          <w:b/>
          <w:lang w:val="es-ES" w:eastAsia="es-SV"/>
        </w:rPr>
        <w:t>de Política Comercial</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envió vía correo electrónico la información solicitada</w:t>
      </w:r>
      <w:r w:rsidR="004B36F2">
        <w:rPr>
          <w:rFonts w:ascii="Calibri" w:eastAsia="Calibri" w:hAnsi="Calibri" w:cs="Times New Roman"/>
          <w:lang w:val="es-ES" w:eastAsia="es-SV"/>
        </w:rPr>
        <w:t xml:space="preserve"> en formato Word, adjunto</w:t>
      </w:r>
      <w:r w:rsidR="0080057A">
        <w:rPr>
          <w:rFonts w:ascii="Calibri" w:eastAsia="Calibri" w:hAnsi="Calibri" w:cs="Times New Roman"/>
          <w:lang w:val="es-ES" w:eastAsia="es-SV"/>
        </w:rPr>
        <w:t>.</w:t>
      </w:r>
    </w:p>
    <w:p w:rsidR="004B36F2" w:rsidRDefault="004B36F2" w:rsidP="004B36F2">
      <w:pPr>
        <w:spacing w:before="269" w:after="269"/>
        <w:ind w:left="709"/>
        <w:contextualSpacing/>
        <w:jc w:val="both"/>
        <w:rPr>
          <w:rFonts w:ascii="Calibri" w:eastAsia="Calibri" w:hAnsi="Calibri" w:cs="Times New Roman"/>
          <w:lang w:val="es-ES" w:eastAsia="es-SV"/>
        </w:rPr>
      </w:pPr>
    </w:p>
    <w:p w:rsidR="004B36F2" w:rsidRPr="004B36F2" w:rsidRDefault="004B36F2" w:rsidP="004B36F2">
      <w:pPr>
        <w:spacing w:before="269" w:after="269"/>
        <w:ind w:left="709"/>
        <w:contextualSpacing/>
        <w:jc w:val="both"/>
        <w:rPr>
          <w:rFonts w:ascii="Calibri" w:eastAsia="Calibri" w:hAnsi="Calibri" w:cs="Times New Roman"/>
          <w:b/>
          <w:bCs/>
          <w:i/>
          <w:iCs/>
          <w:lang w:val="es-ES" w:eastAsia="es-SV"/>
        </w:rPr>
      </w:pPr>
      <w:r w:rsidRPr="004B36F2">
        <w:rPr>
          <w:rFonts w:ascii="Calibri" w:eastAsia="Calibri" w:hAnsi="Calibri" w:cs="Times New Roman"/>
          <w:b/>
          <w:bCs/>
          <w:i/>
          <w:iCs/>
          <w:lang w:val="es-ES" w:eastAsia="es-SV"/>
        </w:rPr>
        <w:t>¿Por qué razón, en la VI Enmienda del Sistema Arancelario Centroamericano, la partida 87.03 se ha reestructurado con nueva numeración para clasificar por separado los vehículos híbridos y eléctricos de los vehículos automóviles totalmente eléctricos, respectivamente?</w:t>
      </w:r>
    </w:p>
    <w:p w:rsidR="004B36F2" w:rsidRPr="004B36F2" w:rsidRDefault="004B36F2" w:rsidP="004B36F2">
      <w:pPr>
        <w:spacing w:before="269" w:after="269"/>
        <w:ind w:left="709"/>
        <w:contextualSpacing/>
        <w:jc w:val="both"/>
        <w:rPr>
          <w:rFonts w:ascii="Calibri" w:eastAsia="Calibri" w:hAnsi="Calibri" w:cs="Times New Roman"/>
          <w:b/>
          <w:bCs/>
          <w:i/>
          <w:iCs/>
          <w:lang w:val="es-ES" w:eastAsia="es-SV"/>
        </w:rPr>
      </w:pPr>
    </w:p>
    <w:p w:rsidR="004B36F2" w:rsidRPr="004B36F2" w:rsidRDefault="004B36F2" w:rsidP="004B36F2">
      <w:pPr>
        <w:numPr>
          <w:ilvl w:val="0"/>
          <w:numId w:val="32"/>
        </w:numPr>
        <w:spacing w:before="269" w:after="269"/>
        <w:contextualSpacing/>
        <w:jc w:val="both"/>
        <w:rPr>
          <w:rFonts w:ascii="Calibri" w:eastAsia="Calibri" w:hAnsi="Calibri" w:cs="Times New Roman"/>
          <w:bCs/>
          <w:i/>
          <w:iCs/>
          <w:lang w:eastAsia="es-SV"/>
        </w:rPr>
      </w:pPr>
      <w:r w:rsidRPr="004B36F2">
        <w:rPr>
          <w:rFonts w:ascii="Calibri" w:eastAsia="Calibri" w:hAnsi="Calibri" w:cs="Times New Roman"/>
          <w:bCs/>
          <w:i/>
          <w:iCs/>
          <w:lang w:val="es-ES" w:eastAsia="es-SV"/>
        </w:rPr>
        <w:t xml:space="preserve">El </w:t>
      </w:r>
      <w:r w:rsidRPr="004B36F2">
        <w:rPr>
          <w:rFonts w:ascii="Calibri" w:eastAsia="Calibri" w:hAnsi="Calibri" w:cs="Times New Roman"/>
          <w:bCs/>
          <w:i/>
          <w:iCs/>
          <w:lang w:eastAsia="es-SV"/>
        </w:rPr>
        <w:t xml:space="preserve">Sistema Armonizado de Designación y Codificación de Mercancías, es la nomenclatura (códigos a seis dígitos y descripciones) de la Organización Mundial de Aduanas (OMA) utilizada en el comercio internacional </w:t>
      </w: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Pr="004B36F2" w:rsidRDefault="004B36F2" w:rsidP="004B36F2">
      <w:pPr>
        <w:numPr>
          <w:ilvl w:val="0"/>
          <w:numId w:val="32"/>
        </w:numPr>
        <w:spacing w:before="269" w:after="269"/>
        <w:contextualSpacing/>
        <w:jc w:val="both"/>
        <w:rPr>
          <w:rFonts w:ascii="Calibri" w:eastAsia="Calibri" w:hAnsi="Calibri" w:cs="Times New Roman"/>
          <w:bCs/>
          <w:i/>
          <w:iCs/>
          <w:lang w:eastAsia="es-SV"/>
        </w:rPr>
      </w:pPr>
      <w:r w:rsidRPr="004B36F2">
        <w:rPr>
          <w:rFonts w:ascii="Calibri" w:eastAsia="Calibri" w:hAnsi="Calibri" w:cs="Times New Roman"/>
          <w:bCs/>
          <w:i/>
          <w:iCs/>
          <w:lang w:eastAsia="es-SV"/>
        </w:rPr>
        <w:t xml:space="preserve">Las Enmiendas al Sistema Armonizado, las realiza la OMA aproximadamente cada 5 años, en atención a los requerimientos del comercio internacional, avances tecnológicos, controles de importación o exportación, especies en extinción, estadísticas, movimiento comercial, etc. </w:t>
      </w: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Pr="004B36F2" w:rsidRDefault="004B36F2" w:rsidP="004B36F2">
      <w:pPr>
        <w:numPr>
          <w:ilvl w:val="0"/>
          <w:numId w:val="32"/>
        </w:numPr>
        <w:spacing w:before="269" w:after="269"/>
        <w:contextualSpacing/>
        <w:jc w:val="both"/>
        <w:rPr>
          <w:rFonts w:ascii="Calibri" w:eastAsia="Calibri" w:hAnsi="Calibri" w:cs="Times New Roman"/>
          <w:bCs/>
          <w:i/>
          <w:iCs/>
          <w:lang w:eastAsia="es-SV"/>
        </w:rPr>
      </w:pPr>
      <w:r w:rsidRPr="004B36F2">
        <w:rPr>
          <w:rFonts w:ascii="Calibri" w:eastAsia="Calibri" w:hAnsi="Calibri" w:cs="Times New Roman"/>
          <w:bCs/>
          <w:i/>
          <w:iCs/>
          <w:lang w:eastAsia="es-SV"/>
        </w:rPr>
        <w:t>El Sistema Arancelario Centroamericano (SAC) es un instrumento regional de la integración económica que contiene los códigos (diez dígitos), descripciones y Derechos Arancelarios a la Importación (DAI) basado en la nomenclatura del Sistema Armonizado.</w:t>
      </w: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Pr="004B36F2" w:rsidRDefault="004B36F2" w:rsidP="004B36F2">
      <w:pPr>
        <w:numPr>
          <w:ilvl w:val="0"/>
          <w:numId w:val="32"/>
        </w:numPr>
        <w:spacing w:before="269" w:after="269"/>
        <w:contextualSpacing/>
        <w:jc w:val="both"/>
        <w:rPr>
          <w:rFonts w:ascii="Calibri" w:eastAsia="Calibri" w:hAnsi="Calibri" w:cs="Times New Roman"/>
          <w:bCs/>
          <w:i/>
          <w:iCs/>
          <w:lang w:eastAsia="es-SV"/>
        </w:rPr>
      </w:pPr>
      <w:r w:rsidRPr="004B36F2">
        <w:rPr>
          <w:rFonts w:ascii="Calibri" w:eastAsia="Calibri" w:hAnsi="Calibri" w:cs="Times New Roman"/>
          <w:bCs/>
          <w:i/>
          <w:iCs/>
          <w:lang w:eastAsia="es-SV"/>
        </w:rPr>
        <w:t xml:space="preserve">El SAC se adecua a las Enmiendas del Sistema Armonizado de la OMA. </w:t>
      </w: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Pr="004B36F2" w:rsidRDefault="004B36F2" w:rsidP="004B36F2">
      <w:pPr>
        <w:numPr>
          <w:ilvl w:val="0"/>
          <w:numId w:val="32"/>
        </w:numPr>
        <w:spacing w:before="269" w:after="269"/>
        <w:contextualSpacing/>
        <w:jc w:val="both"/>
        <w:rPr>
          <w:rFonts w:ascii="Calibri" w:eastAsia="Calibri" w:hAnsi="Calibri" w:cs="Times New Roman"/>
          <w:bCs/>
          <w:i/>
          <w:iCs/>
          <w:lang w:eastAsia="es-SV"/>
        </w:rPr>
      </w:pPr>
      <w:r w:rsidRPr="004B36F2">
        <w:rPr>
          <w:rFonts w:ascii="Calibri" w:eastAsia="Calibri" w:hAnsi="Calibri" w:cs="Times New Roman"/>
          <w:bCs/>
          <w:i/>
          <w:iCs/>
          <w:lang w:eastAsia="es-SV"/>
        </w:rPr>
        <w:t xml:space="preserve">El SAC adecuado a la VI enmienda fue aprobado por el Consejo de Ministros de Integración Económica Centroamericana  (COMIECO), mediante Resolución No. 372-2015, publicado en el Diario Oficial No. 128, tomo No. 412, de fecha 11 de julio de 2016 y cobró vigencia a partir del 1 de enero de 2017. </w:t>
      </w: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Pr="004B36F2" w:rsidRDefault="004B36F2" w:rsidP="004B36F2">
      <w:pPr>
        <w:numPr>
          <w:ilvl w:val="0"/>
          <w:numId w:val="32"/>
        </w:numPr>
        <w:spacing w:before="269" w:after="269"/>
        <w:contextualSpacing/>
        <w:jc w:val="both"/>
        <w:rPr>
          <w:rFonts w:ascii="Calibri" w:eastAsia="Calibri" w:hAnsi="Calibri" w:cs="Times New Roman"/>
          <w:bCs/>
          <w:i/>
          <w:iCs/>
          <w:lang w:eastAsia="es-SV"/>
        </w:rPr>
      </w:pPr>
      <w:r w:rsidRPr="004B36F2">
        <w:rPr>
          <w:rFonts w:ascii="Calibri" w:eastAsia="Calibri" w:hAnsi="Calibri" w:cs="Times New Roman"/>
          <w:bCs/>
          <w:i/>
          <w:iCs/>
          <w:lang w:eastAsia="es-SV"/>
        </w:rPr>
        <w:t>El capítulo 87, fue afectado por la VI Enmienda del Sistema Armonizado, en razón de los avances tecnológicos en la industria automotriz, específicamente en torno a los vehículos propulsados únicamente con motor eléctrico y los híbridos (motor de gasolina y motor eléctrico, motor diésel y motor eléctrico, incluso que se puedan cargar mediante conexión a una fuente externa de alimentación eléctrica.</w:t>
      </w: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Pr="004B36F2" w:rsidRDefault="004B36F2" w:rsidP="004B36F2">
      <w:pPr>
        <w:spacing w:before="269" w:after="269"/>
        <w:ind w:left="709"/>
        <w:contextualSpacing/>
        <w:jc w:val="both"/>
        <w:rPr>
          <w:rFonts w:ascii="Calibri" w:eastAsia="Calibri" w:hAnsi="Calibri" w:cs="Times New Roman"/>
          <w:bCs/>
          <w:i/>
          <w:iCs/>
          <w:lang w:eastAsia="es-SV"/>
        </w:rPr>
      </w:pPr>
      <w:r w:rsidRPr="004B36F2">
        <w:rPr>
          <w:rFonts w:ascii="Calibri" w:eastAsia="Calibri" w:hAnsi="Calibri" w:cs="Times New Roman"/>
          <w:bCs/>
          <w:i/>
          <w:iCs/>
          <w:lang w:eastAsia="es-SV"/>
        </w:rPr>
        <w:t>Dichos cambios son los resaltados en color amarillo:</w:t>
      </w:r>
    </w:p>
    <w:p w:rsidR="004B36F2" w:rsidRPr="004B36F2" w:rsidRDefault="004B36F2" w:rsidP="004B36F2">
      <w:pPr>
        <w:spacing w:before="269" w:after="269"/>
        <w:ind w:left="709"/>
        <w:contextualSpacing/>
        <w:jc w:val="both"/>
        <w:rPr>
          <w:rFonts w:ascii="Calibri" w:eastAsia="Calibri" w:hAnsi="Calibri" w:cs="Times New Roman"/>
          <w:bCs/>
          <w:i/>
          <w:iCs/>
          <w:lang w:eastAsia="es-SV"/>
        </w:rPr>
      </w:pPr>
    </w:p>
    <w:tbl>
      <w:tblPr>
        <w:tblW w:w="9072" w:type="dxa"/>
        <w:tblInd w:w="108" w:type="dxa"/>
        <w:tblBorders>
          <w:insideV w:val="single" w:sz="4" w:space="0" w:color="auto"/>
        </w:tblBorders>
        <w:tblLook w:val="01E0"/>
      </w:tblPr>
      <w:tblGrid>
        <w:gridCol w:w="1430"/>
        <w:gridCol w:w="1650"/>
        <w:gridCol w:w="5992"/>
      </w:tblGrid>
      <w:tr w:rsidR="004B36F2" w:rsidRPr="004B36F2" w:rsidTr="004B36F2">
        <w:tc>
          <w:tcPr>
            <w:tcW w:w="1163" w:type="dxa"/>
            <w:tcBorders>
              <w:top w:val="nil"/>
              <w:left w:val="nil"/>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
                <w:bCs/>
                <w:i/>
                <w:iCs/>
                <w:lang w:val="es-UY" w:eastAsia="es-SV"/>
              </w:rPr>
              <w:t>87.03</w:t>
            </w:r>
          </w:p>
        </w:tc>
        <w:tc>
          <w:tcPr>
            <w:tcW w:w="1163" w:type="dxa"/>
            <w:tcBorders>
              <w:top w:val="nil"/>
              <w:left w:val="single" w:sz="8" w:space="0" w:color="auto"/>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6746"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
                <w:bCs/>
                <w:i/>
                <w:iCs/>
                <w:lang w:val="es-UY" w:eastAsia="es-SV"/>
              </w:rPr>
              <w:t>Automóviles de turismo y demás vehículos automóviles concebidos principalmente para el transporte de personas (excepto los de la partida 87.02), incluidos los del tipo familiar («break» o «</w:t>
            </w:r>
            <w:proofErr w:type="spellStart"/>
            <w:r w:rsidRPr="004B36F2">
              <w:rPr>
                <w:rFonts w:ascii="Calibri" w:eastAsia="Calibri" w:hAnsi="Calibri" w:cs="Times New Roman"/>
                <w:b/>
                <w:bCs/>
                <w:i/>
                <w:iCs/>
                <w:lang w:val="es-UY" w:eastAsia="es-SV"/>
              </w:rPr>
              <w:t>station</w:t>
            </w:r>
            <w:proofErr w:type="spellEnd"/>
            <w:r w:rsidRPr="004B36F2">
              <w:rPr>
                <w:rFonts w:ascii="Calibri" w:eastAsia="Calibri" w:hAnsi="Calibri" w:cs="Times New Roman"/>
                <w:b/>
                <w:bCs/>
                <w:i/>
                <w:iCs/>
                <w:lang w:val="es-UY" w:eastAsia="es-SV"/>
              </w:rPr>
              <w:t xml:space="preserve"> </w:t>
            </w:r>
            <w:proofErr w:type="spellStart"/>
            <w:r w:rsidRPr="004B36F2">
              <w:rPr>
                <w:rFonts w:ascii="Calibri" w:eastAsia="Calibri" w:hAnsi="Calibri" w:cs="Times New Roman"/>
                <w:b/>
                <w:bCs/>
                <w:i/>
                <w:iCs/>
                <w:lang w:val="es-UY" w:eastAsia="es-SV"/>
              </w:rPr>
              <w:t>wagon</w:t>
            </w:r>
            <w:proofErr w:type="spellEnd"/>
            <w:r w:rsidRPr="004B36F2">
              <w:rPr>
                <w:rFonts w:ascii="Calibri" w:eastAsia="Calibri" w:hAnsi="Calibri" w:cs="Times New Roman"/>
                <w:b/>
                <w:bCs/>
                <w:i/>
                <w:iCs/>
                <w:lang w:val="es-UY" w:eastAsia="es-SV"/>
              </w:rPr>
              <w:t>») y los de carreras.</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UY" w:eastAsia="es-SV"/>
              </w:rPr>
              <w:t>8703.10</w:t>
            </w:r>
          </w:p>
        </w:tc>
        <w:tc>
          <w:tcPr>
            <w:tcW w:w="6746"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UY" w:eastAsia="es-SV"/>
              </w:rPr>
              <w:t>-</w:t>
            </w:r>
            <w:r w:rsidRPr="004B36F2">
              <w:rPr>
                <w:rFonts w:ascii="Calibri" w:eastAsia="Calibri" w:hAnsi="Calibri" w:cs="Times New Roman"/>
                <w:bCs/>
                <w:i/>
                <w:iCs/>
                <w:lang w:val="es-UY" w:eastAsia="es-SV"/>
              </w:rPr>
              <w:tab/>
              <w:t>Vehículos especialmente concebidos para desplazarse sobre nieve; vehículos especiales para transporte de personas en campos de golf y vehículos similares</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6746"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ES" w:eastAsia="es-SV"/>
              </w:rPr>
              <w:t>-</w:t>
            </w:r>
            <w:r w:rsidRPr="004B36F2">
              <w:rPr>
                <w:rFonts w:ascii="Calibri" w:eastAsia="Calibri" w:hAnsi="Calibri" w:cs="Times New Roman"/>
                <w:bCs/>
                <w:i/>
                <w:iCs/>
                <w:lang w:val="es-ES" w:eastAsia="es-SV"/>
              </w:rPr>
              <w:tab/>
              <w:t>Los demás vehículos, únicamente con motor de émbolo (pistón) alternativo, de encendido por chispa:</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8703.21</w:t>
            </w:r>
          </w:p>
        </w:tc>
        <w:tc>
          <w:tcPr>
            <w:tcW w:w="6746"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w:t>
            </w:r>
            <w:r w:rsidRPr="004B36F2">
              <w:rPr>
                <w:rFonts w:ascii="Calibri" w:eastAsia="Calibri" w:hAnsi="Calibri" w:cs="Times New Roman"/>
                <w:bCs/>
                <w:i/>
                <w:iCs/>
                <w:lang w:val="pt-BR" w:eastAsia="es-SV"/>
              </w:rPr>
              <w:tab/>
            </w:r>
            <w:r w:rsidRPr="004B36F2">
              <w:rPr>
                <w:rFonts w:ascii="Calibri" w:eastAsia="Calibri" w:hAnsi="Calibri" w:cs="Times New Roman"/>
                <w:bCs/>
                <w:i/>
                <w:iCs/>
                <w:lang w:val="pt-BR" w:eastAsia="es-SV"/>
              </w:rPr>
              <w:tab/>
              <w:t>De cilindrada inferior o igual a 1.000 cm</w:t>
            </w:r>
            <w:r w:rsidRPr="004B36F2">
              <w:rPr>
                <w:rFonts w:ascii="Calibri" w:eastAsia="Calibri" w:hAnsi="Calibri" w:cs="Times New Roman"/>
                <w:bCs/>
                <w:i/>
                <w:iCs/>
                <w:vertAlign w:val="superscript"/>
                <w:lang w:val="pt-BR" w:eastAsia="es-SV"/>
              </w:rPr>
              <w:t>3</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8703.22</w:t>
            </w:r>
          </w:p>
        </w:tc>
        <w:tc>
          <w:tcPr>
            <w:tcW w:w="6746"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w:t>
            </w:r>
            <w:r w:rsidRPr="004B36F2">
              <w:rPr>
                <w:rFonts w:ascii="Calibri" w:eastAsia="Calibri" w:hAnsi="Calibri" w:cs="Times New Roman"/>
                <w:bCs/>
                <w:i/>
                <w:iCs/>
                <w:lang w:val="pt-BR" w:eastAsia="es-SV"/>
              </w:rPr>
              <w:tab/>
            </w:r>
            <w:r w:rsidRPr="004B36F2">
              <w:rPr>
                <w:rFonts w:ascii="Calibri" w:eastAsia="Calibri" w:hAnsi="Calibri" w:cs="Times New Roman"/>
                <w:bCs/>
                <w:i/>
                <w:iCs/>
                <w:lang w:val="pt-BR" w:eastAsia="es-SV"/>
              </w:rPr>
              <w:tab/>
              <w:t>De cilindrada superior a 1.000 cm</w:t>
            </w:r>
            <w:r w:rsidRPr="004B36F2">
              <w:rPr>
                <w:rFonts w:ascii="Calibri" w:eastAsia="Calibri" w:hAnsi="Calibri" w:cs="Times New Roman"/>
                <w:bCs/>
                <w:i/>
                <w:iCs/>
                <w:vertAlign w:val="superscript"/>
                <w:lang w:val="pt-BR" w:eastAsia="es-SV"/>
              </w:rPr>
              <w:t>3</w:t>
            </w:r>
            <w:r w:rsidRPr="004B36F2">
              <w:rPr>
                <w:rFonts w:ascii="Calibri" w:eastAsia="Calibri" w:hAnsi="Calibri" w:cs="Times New Roman"/>
                <w:bCs/>
                <w:i/>
                <w:iCs/>
                <w:lang w:val="pt-BR" w:eastAsia="es-SV"/>
              </w:rPr>
              <w:t xml:space="preserve"> pero inferior o igual a 1.500 cm</w:t>
            </w:r>
            <w:r w:rsidRPr="004B36F2">
              <w:rPr>
                <w:rFonts w:ascii="Calibri" w:eastAsia="Calibri" w:hAnsi="Calibri" w:cs="Times New Roman"/>
                <w:bCs/>
                <w:i/>
                <w:iCs/>
                <w:vertAlign w:val="superscript"/>
                <w:lang w:val="pt-BR" w:eastAsia="es-SV"/>
              </w:rPr>
              <w:t>3</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es-UY" w:eastAsia="es-SV"/>
              </w:rPr>
              <w:t>8703.23</w:t>
            </w:r>
          </w:p>
        </w:tc>
        <w:tc>
          <w:tcPr>
            <w:tcW w:w="6746"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UY" w:eastAsia="es-SV"/>
              </w:rPr>
              <w:t>--</w:t>
            </w:r>
            <w:r w:rsidRPr="004B36F2">
              <w:rPr>
                <w:rFonts w:ascii="Calibri" w:eastAsia="Calibri" w:hAnsi="Calibri" w:cs="Times New Roman"/>
                <w:bCs/>
                <w:i/>
                <w:iCs/>
                <w:lang w:val="es-UY" w:eastAsia="es-SV"/>
              </w:rPr>
              <w:tab/>
            </w:r>
            <w:r w:rsidRPr="004B36F2">
              <w:rPr>
                <w:rFonts w:ascii="Calibri" w:eastAsia="Calibri" w:hAnsi="Calibri" w:cs="Times New Roman"/>
                <w:bCs/>
                <w:i/>
                <w:iCs/>
                <w:lang w:val="es-UY" w:eastAsia="es-SV"/>
              </w:rPr>
              <w:tab/>
              <w:t>De cilindrada superior a 1.500 cm</w:t>
            </w:r>
            <w:r w:rsidRPr="004B36F2">
              <w:rPr>
                <w:rFonts w:ascii="Calibri" w:eastAsia="Calibri" w:hAnsi="Calibri" w:cs="Times New Roman"/>
                <w:bCs/>
                <w:i/>
                <w:iCs/>
                <w:vertAlign w:val="superscript"/>
                <w:lang w:val="es-UY" w:eastAsia="es-SV"/>
              </w:rPr>
              <w:t>3</w:t>
            </w:r>
            <w:r w:rsidRPr="004B36F2">
              <w:rPr>
                <w:rFonts w:ascii="Calibri" w:eastAsia="Calibri" w:hAnsi="Calibri" w:cs="Times New Roman"/>
                <w:bCs/>
                <w:i/>
                <w:iCs/>
                <w:lang w:val="es-UY" w:eastAsia="es-SV"/>
              </w:rPr>
              <w:t xml:space="preserve"> pero inferior o igual a 3.000 cm</w:t>
            </w:r>
            <w:r w:rsidRPr="004B36F2">
              <w:rPr>
                <w:rFonts w:ascii="Calibri" w:eastAsia="Calibri" w:hAnsi="Calibri" w:cs="Times New Roman"/>
                <w:bCs/>
                <w:i/>
                <w:iCs/>
                <w:vertAlign w:val="superscript"/>
                <w:lang w:val="es-UY" w:eastAsia="es-SV"/>
              </w:rPr>
              <w:t>3</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es-UY" w:eastAsia="es-SV"/>
              </w:rPr>
              <w:t>8703.24</w:t>
            </w:r>
          </w:p>
        </w:tc>
        <w:tc>
          <w:tcPr>
            <w:tcW w:w="6746" w:type="dxa"/>
            <w:tcBorders>
              <w:top w:val="nil"/>
              <w:left w:val="single" w:sz="8" w:space="0" w:color="auto"/>
              <w:bottom w:val="nil"/>
              <w:right w:val="nil"/>
            </w:tcBorders>
          </w:tcPr>
          <w:p w:rsidR="004B36F2" w:rsidRPr="004B36F2" w:rsidRDefault="004B36F2" w:rsidP="004B36F2">
            <w:pPr>
              <w:spacing w:before="269" w:after="269"/>
              <w:ind w:left="709"/>
              <w:contextualSpacing/>
              <w:jc w:val="both"/>
              <w:rPr>
                <w:rFonts w:ascii="Calibri" w:eastAsia="Calibri" w:hAnsi="Calibri" w:cs="Times New Roman"/>
                <w:bCs/>
                <w:i/>
                <w:iCs/>
                <w:vertAlign w:val="superscript"/>
                <w:lang w:val="es-UY" w:eastAsia="es-SV"/>
              </w:rPr>
            </w:pPr>
            <w:r w:rsidRPr="004B36F2">
              <w:rPr>
                <w:rFonts w:ascii="Calibri" w:eastAsia="Calibri" w:hAnsi="Calibri" w:cs="Times New Roman"/>
                <w:bCs/>
                <w:i/>
                <w:iCs/>
                <w:lang w:val="es-UY" w:eastAsia="es-SV"/>
              </w:rPr>
              <w:t>--</w:t>
            </w:r>
            <w:r w:rsidRPr="004B36F2">
              <w:rPr>
                <w:rFonts w:ascii="Calibri" w:eastAsia="Calibri" w:hAnsi="Calibri" w:cs="Times New Roman"/>
                <w:bCs/>
                <w:i/>
                <w:iCs/>
                <w:lang w:val="es-UY" w:eastAsia="es-SV"/>
              </w:rPr>
              <w:tab/>
            </w:r>
            <w:r w:rsidRPr="004B36F2">
              <w:rPr>
                <w:rFonts w:ascii="Calibri" w:eastAsia="Calibri" w:hAnsi="Calibri" w:cs="Times New Roman"/>
                <w:bCs/>
                <w:i/>
                <w:iCs/>
                <w:lang w:val="es-UY" w:eastAsia="es-SV"/>
              </w:rPr>
              <w:tab/>
              <w:t>De cilindrada superior a 3.000 cm</w:t>
            </w:r>
            <w:r w:rsidRPr="004B36F2">
              <w:rPr>
                <w:rFonts w:ascii="Calibri" w:eastAsia="Calibri" w:hAnsi="Calibri" w:cs="Times New Roman"/>
                <w:bCs/>
                <w:i/>
                <w:iCs/>
                <w:vertAlign w:val="superscript"/>
                <w:lang w:val="es-UY" w:eastAsia="es-SV"/>
              </w:rPr>
              <w:t>3</w:t>
            </w:r>
          </w:p>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r>
    </w:tbl>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bl>
      <w:tblPr>
        <w:tblW w:w="8789" w:type="dxa"/>
        <w:tblInd w:w="108" w:type="dxa"/>
        <w:tblBorders>
          <w:insideV w:val="single" w:sz="4" w:space="0" w:color="auto"/>
        </w:tblBorders>
        <w:tblLook w:val="01E0"/>
      </w:tblPr>
      <w:tblGrid>
        <w:gridCol w:w="1578"/>
        <w:gridCol w:w="1650"/>
        <w:gridCol w:w="5561"/>
      </w:tblGrid>
      <w:tr w:rsidR="004B36F2" w:rsidRPr="004B36F2" w:rsidTr="004B36F2">
        <w:tc>
          <w:tcPr>
            <w:tcW w:w="1163" w:type="dxa"/>
            <w:tcBorders>
              <w:top w:val="nil"/>
              <w:left w:val="nil"/>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UY" w:eastAsia="es-SV"/>
              </w:rPr>
              <w:t>Partida</w:t>
            </w:r>
          </w:p>
        </w:tc>
        <w:tc>
          <w:tcPr>
            <w:tcW w:w="1163" w:type="dxa"/>
            <w:tcBorders>
              <w:top w:val="nil"/>
              <w:left w:val="single" w:sz="8" w:space="0" w:color="auto"/>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UY" w:eastAsia="es-SV"/>
              </w:rPr>
              <w:t>Código</w:t>
            </w:r>
          </w:p>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UY" w:eastAsia="es-SV"/>
              </w:rPr>
              <w:t>del SA</w:t>
            </w:r>
          </w:p>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6463" w:type="dxa"/>
            <w:tcBorders>
              <w:top w:val="nil"/>
              <w:left w:val="single" w:sz="8" w:space="0" w:color="auto"/>
              <w:bottom w:val="nil"/>
              <w:right w:val="nil"/>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es-ES" w:eastAsia="es-SV"/>
              </w:rPr>
              <w:t>-</w:t>
            </w:r>
            <w:r w:rsidRPr="004B36F2">
              <w:rPr>
                <w:rFonts w:ascii="Calibri" w:eastAsia="Calibri" w:hAnsi="Calibri" w:cs="Times New Roman"/>
                <w:bCs/>
                <w:i/>
                <w:iCs/>
                <w:lang w:val="es-ES" w:eastAsia="es-SV"/>
              </w:rPr>
              <w:tab/>
              <w:t>Los demás vehículos, únicamente con motor de émbolo (pistón), de encendido por compresión (</w:t>
            </w:r>
            <w:proofErr w:type="spellStart"/>
            <w:r w:rsidRPr="004B36F2">
              <w:rPr>
                <w:rFonts w:ascii="Calibri" w:eastAsia="Calibri" w:hAnsi="Calibri" w:cs="Times New Roman"/>
                <w:bCs/>
                <w:i/>
                <w:iCs/>
                <w:lang w:val="es-ES" w:eastAsia="es-SV"/>
              </w:rPr>
              <w:t>diésel</w:t>
            </w:r>
            <w:proofErr w:type="spellEnd"/>
            <w:r w:rsidRPr="004B36F2">
              <w:rPr>
                <w:rFonts w:ascii="Calibri" w:eastAsia="Calibri" w:hAnsi="Calibri" w:cs="Times New Roman"/>
                <w:bCs/>
                <w:i/>
                <w:iCs/>
                <w:lang w:val="es-ES" w:eastAsia="es-SV"/>
              </w:rPr>
              <w:t xml:space="preserve"> o </w:t>
            </w:r>
            <w:proofErr w:type="spellStart"/>
            <w:r w:rsidRPr="004B36F2">
              <w:rPr>
                <w:rFonts w:ascii="Calibri" w:eastAsia="Calibri" w:hAnsi="Calibri" w:cs="Times New Roman"/>
                <w:bCs/>
                <w:i/>
                <w:iCs/>
                <w:lang w:val="es-ES" w:eastAsia="es-SV"/>
              </w:rPr>
              <w:t>semi-diésel</w:t>
            </w:r>
            <w:proofErr w:type="spellEnd"/>
            <w:r w:rsidRPr="004B36F2">
              <w:rPr>
                <w:rFonts w:ascii="Calibri" w:eastAsia="Calibri" w:hAnsi="Calibri" w:cs="Times New Roman"/>
                <w:bCs/>
                <w:i/>
                <w:iCs/>
                <w:lang w:val="es-ES" w:eastAsia="es-SV"/>
              </w:rPr>
              <w:t>):</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8703.31</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w:t>
            </w:r>
            <w:r w:rsidRPr="004B36F2">
              <w:rPr>
                <w:rFonts w:ascii="Calibri" w:eastAsia="Calibri" w:hAnsi="Calibri" w:cs="Times New Roman"/>
                <w:bCs/>
                <w:i/>
                <w:iCs/>
                <w:lang w:val="pt-BR" w:eastAsia="es-SV"/>
              </w:rPr>
              <w:tab/>
            </w:r>
            <w:r w:rsidRPr="004B36F2">
              <w:rPr>
                <w:rFonts w:ascii="Calibri" w:eastAsia="Calibri" w:hAnsi="Calibri" w:cs="Times New Roman"/>
                <w:bCs/>
                <w:i/>
                <w:iCs/>
                <w:lang w:val="pt-BR" w:eastAsia="es-SV"/>
              </w:rPr>
              <w:tab/>
              <w:t>De cilindrada inferior o igual a 1.500 cm</w:t>
            </w:r>
            <w:r w:rsidRPr="004B36F2">
              <w:rPr>
                <w:rFonts w:ascii="Calibri" w:eastAsia="Calibri" w:hAnsi="Calibri" w:cs="Times New Roman"/>
                <w:bCs/>
                <w:i/>
                <w:iCs/>
                <w:vertAlign w:val="superscript"/>
                <w:lang w:val="pt-BR" w:eastAsia="es-SV"/>
              </w:rPr>
              <w:t>3</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8703.32</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w:t>
            </w:r>
            <w:r w:rsidRPr="004B36F2">
              <w:rPr>
                <w:rFonts w:ascii="Calibri" w:eastAsia="Calibri" w:hAnsi="Calibri" w:cs="Times New Roman"/>
                <w:bCs/>
                <w:i/>
                <w:iCs/>
                <w:lang w:val="pt-BR" w:eastAsia="es-SV"/>
              </w:rPr>
              <w:tab/>
            </w:r>
            <w:r w:rsidRPr="004B36F2">
              <w:rPr>
                <w:rFonts w:ascii="Calibri" w:eastAsia="Calibri" w:hAnsi="Calibri" w:cs="Times New Roman"/>
                <w:bCs/>
                <w:i/>
                <w:iCs/>
                <w:lang w:val="pt-BR" w:eastAsia="es-SV"/>
              </w:rPr>
              <w:tab/>
              <w:t>De cilindrada superior a 1.500 cm</w:t>
            </w:r>
            <w:r w:rsidRPr="004B36F2">
              <w:rPr>
                <w:rFonts w:ascii="Calibri" w:eastAsia="Calibri" w:hAnsi="Calibri" w:cs="Times New Roman"/>
                <w:bCs/>
                <w:i/>
                <w:iCs/>
                <w:vertAlign w:val="superscript"/>
                <w:lang w:val="pt-BR" w:eastAsia="es-SV"/>
              </w:rPr>
              <w:t>3</w:t>
            </w:r>
            <w:r w:rsidRPr="004B36F2">
              <w:rPr>
                <w:rFonts w:ascii="Calibri" w:eastAsia="Calibri" w:hAnsi="Calibri" w:cs="Times New Roman"/>
                <w:bCs/>
                <w:i/>
                <w:iCs/>
                <w:lang w:val="pt-BR" w:eastAsia="es-SV"/>
              </w:rPr>
              <w:t xml:space="preserve"> pero inferior o igual a 2.500 cm</w:t>
            </w:r>
            <w:r w:rsidRPr="004B36F2">
              <w:rPr>
                <w:rFonts w:ascii="Calibri" w:eastAsia="Calibri" w:hAnsi="Calibri" w:cs="Times New Roman"/>
                <w:bCs/>
                <w:i/>
                <w:iCs/>
                <w:vertAlign w:val="superscript"/>
                <w:lang w:val="pt-BR" w:eastAsia="es-SV"/>
              </w:rPr>
              <w:t>3</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8703.33</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w:t>
            </w:r>
            <w:r w:rsidRPr="004B36F2">
              <w:rPr>
                <w:rFonts w:ascii="Calibri" w:eastAsia="Calibri" w:hAnsi="Calibri" w:cs="Times New Roman"/>
                <w:bCs/>
                <w:i/>
                <w:iCs/>
                <w:lang w:val="pt-BR" w:eastAsia="es-SV"/>
              </w:rPr>
              <w:tab/>
            </w:r>
            <w:r w:rsidRPr="004B36F2">
              <w:rPr>
                <w:rFonts w:ascii="Calibri" w:eastAsia="Calibri" w:hAnsi="Calibri" w:cs="Times New Roman"/>
                <w:bCs/>
                <w:i/>
                <w:iCs/>
                <w:lang w:val="pt-BR" w:eastAsia="es-SV"/>
              </w:rPr>
              <w:tab/>
              <w:t>De cilindrada superior a 2.500 cm</w:t>
            </w:r>
            <w:r w:rsidRPr="004B36F2">
              <w:rPr>
                <w:rFonts w:ascii="Calibri" w:eastAsia="Calibri" w:hAnsi="Calibri" w:cs="Times New Roman"/>
                <w:bCs/>
                <w:i/>
                <w:iCs/>
                <w:vertAlign w:val="superscript"/>
                <w:lang w:val="pt-BR" w:eastAsia="es-SV"/>
              </w:rPr>
              <w:t>3</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8703.40</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es-ES" w:eastAsia="es-SV"/>
              </w:rPr>
              <w:t>-</w:t>
            </w:r>
            <w:r w:rsidRPr="004B36F2">
              <w:rPr>
                <w:rFonts w:ascii="Calibri" w:eastAsia="Calibri" w:hAnsi="Calibri" w:cs="Times New Roman"/>
                <w:bCs/>
                <w:i/>
                <w:iCs/>
                <w:lang w:val="es-ES" w:eastAsia="es-SV"/>
              </w:rPr>
              <w:tab/>
              <w:t>Los demás vehículos, equipados para la propulsión con motor de émbolo (pistón) alternativo, de encendido por chispa y con motor eléctrico, excepto los que se puedan cargar mediante conexión a una fuente externa de alimentación eléctrica</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8703.50</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ES" w:eastAsia="es-SV"/>
              </w:rPr>
            </w:pPr>
            <w:r w:rsidRPr="004B36F2">
              <w:rPr>
                <w:rFonts w:ascii="Calibri" w:eastAsia="Calibri" w:hAnsi="Calibri" w:cs="Times New Roman"/>
                <w:bCs/>
                <w:i/>
                <w:iCs/>
                <w:lang w:val="es-ES" w:eastAsia="es-SV"/>
              </w:rPr>
              <w:t>-</w:t>
            </w:r>
            <w:r w:rsidRPr="004B36F2">
              <w:rPr>
                <w:rFonts w:ascii="Calibri" w:eastAsia="Calibri" w:hAnsi="Calibri" w:cs="Times New Roman"/>
                <w:bCs/>
                <w:i/>
                <w:iCs/>
                <w:lang w:val="es-ES" w:eastAsia="es-SV"/>
              </w:rPr>
              <w:tab/>
              <w:t>Los demás vehículos, equipados para la propulsión con motor de émbolo (pistón), de encendido por compresión (</w:t>
            </w:r>
            <w:proofErr w:type="spellStart"/>
            <w:r w:rsidRPr="004B36F2">
              <w:rPr>
                <w:rFonts w:ascii="Calibri" w:eastAsia="Calibri" w:hAnsi="Calibri" w:cs="Times New Roman"/>
                <w:bCs/>
                <w:i/>
                <w:iCs/>
                <w:lang w:val="es-ES" w:eastAsia="es-SV"/>
              </w:rPr>
              <w:t>diésel</w:t>
            </w:r>
            <w:proofErr w:type="spellEnd"/>
            <w:r w:rsidRPr="004B36F2">
              <w:rPr>
                <w:rFonts w:ascii="Calibri" w:eastAsia="Calibri" w:hAnsi="Calibri" w:cs="Times New Roman"/>
                <w:bCs/>
                <w:i/>
                <w:iCs/>
                <w:lang w:val="es-ES" w:eastAsia="es-SV"/>
              </w:rPr>
              <w:t xml:space="preserve"> o </w:t>
            </w:r>
            <w:proofErr w:type="spellStart"/>
            <w:r w:rsidRPr="004B36F2">
              <w:rPr>
                <w:rFonts w:ascii="Calibri" w:eastAsia="Calibri" w:hAnsi="Calibri" w:cs="Times New Roman"/>
                <w:bCs/>
                <w:i/>
                <w:iCs/>
                <w:lang w:val="es-ES" w:eastAsia="es-SV"/>
              </w:rPr>
              <w:t>semi-diésel</w:t>
            </w:r>
            <w:proofErr w:type="spellEnd"/>
            <w:r w:rsidRPr="004B36F2">
              <w:rPr>
                <w:rFonts w:ascii="Calibri" w:eastAsia="Calibri" w:hAnsi="Calibri" w:cs="Times New Roman"/>
                <w:bCs/>
                <w:i/>
                <w:iCs/>
                <w:lang w:val="es-ES" w:eastAsia="es-SV"/>
              </w:rPr>
              <w:t>) y con motor eléctrico, excepto los que se puedan cargar mediante conexión a una fuente externa de alimentación eléctrica</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8703.60</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ES" w:eastAsia="es-SV"/>
              </w:rPr>
            </w:pPr>
            <w:r w:rsidRPr="004B36F2">
              <w:rPr>
                <w:rFonts w:ascii="Calibri" w:eastAsia="Calibri" w:hAnsi="Calibri" w:cs="Times New Roman"/>
                <w:bCs/>
                <w:i/>
                <w:iCs/>
                <w:lang w:val="es-ES" w:eastAsia="es-SV"/>
              </w:rPr>
              <w:t>-</w:t>
            </w:r>
            <w:r w:rsidRPr="004B36F2">
              <w:rPr>
                <w:rFonts w:ascii="Calibri" w:eastAsia="Calibri" w:hAnsi="Calibri" w:cs="Times New Roman"/>
                <w:bCs/>
                <w:i/>
                <w:iCs/>
                <w:lang w:val="es-ES" w:eastAsia="es-SV"/>
              </w:rPr>
              <w:tab/>
              <w:t>Los demás vehículos, equipados para la propulsión con motor de émbolo (pistón) alternativo, de encendido por chispa y con motor eléctrico, que se puedan cargar mediante conexión a una fuente externa de alimentación eléctrica</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8703.70</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ES" w:eastAsia="es-SV"/>
              </w:rPr>
            </w:pPr>
            <w:r w:rsidRPr="004B36F2">
              <w:rPr>
                <w:rFonts w:ascii="Calibri" w:eastAsia="Calibri" w:hAnsi="Calibri" w:cs="Times New Roman"/>
                <w:bCs/>
                <w:i/>
                <w:iCs/>
                <w:lang w:val="es-ES" w:eastAsia="es-SV"/>
              </w:rPr>
              <w:t>-</w:t>
            </w:r>
            <w:r w:rsidRPr="004B36F2">
              <w:rPr>
                <w:rFonts w:ascii="Calibri" w:eastAsia="Calibri" w:hAnsi="Calibri" w:cs="Times New Roman"/>
                <w:bCs/>
                <w:i/>
                <w:iCs/>
                <w:lang w:val="es-ES" w:eastAsia="es-SV"/>
              </w:rPr>
              <w:tab/>
              <w:t>Los demás vehículos, equipados para la propulsión con motor de émbolo (pistón), de encendido por compresión (</w:t>
            </w:r>
            <w:proofErr w:type="spellStart"/>
            <w:r w:rsidRPr="004B36F2">
              <w:rPr>
                <w:rFonts w:ascii="Calibri" w:eastAsia="Calibri" w:hAnsi="Calibri" w:cs="Times New Roman"/>
                <w:bCs/>
                <w:i/>
                <w:iCs/>
                <w:lang w:val="es-ES" w:eastAsia="es-SV"/>
              </w:rPr>
              <w:t>diésel</w:t>
            </w:r>
            <w:proofErr w:type="spellEnd"/>
            <w:r w:rsidRPr="004B36F2">
              <w:rPr>
                <w:rFonts w:ascii="Calibri" w:eastAsia="Calibri" w:hAnsi="Calibri" w:cs="Times New Roman"/>
                <w:bCs/>
                <w:i/>
                <w:iCs/>
                <w:lang w:val="es-ES" w:eastAsia="es-SV"/>
              </w:rPr>
              <w:t xml:space="preserve"> o </w:t>
            </w:r>
            <w:proofErr w:type="spellStart"/>
            <w:r w:rsidRPr="004B36F2">
              <w:rPr>
                <w:rFonts w:ascii="Calibri" w:eastAsia="Calibri" w:hAnsi="Calibri" w:cs="Times New Roman"/>
                <w:bCs/>
                <w:i/>
                <w:iCs/>
                <w:lang w:val="es-ES" w:eastAsia="es-SV"/>
              </w:rPr>
              <w:t>semi-diésel</w:t>
            </w:r>
            <w:proofErr w:type="spellEnd"/>
            <w:r w:rsidRPr="004B36F2">
              <w:rPr>
                <w:rFonts w:ascii="Calibri" w:eastAsia="Calibri" w:hAnsi="Calibri" w:cs="Times New Roman"/>
                <w:bCs/>
                <w:i/>
                <w:iCs/>
                <w:lang w:val="es-ES" w:eastAsia="es-SV"/>
              </w:rPr>
              <w:t>) y con motor eléctrico, que se puedan cargar mediante conexión a una fuente externa de alimentación eléctrica</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8703.80</w:t>
            </w:r>
          </w:p>
        </w:tc>
        <w:tc>
          <w:tcPr>
            <w:tcW w:w="6463" w:type="dxa"/>
            <w:tcBorders>
              <w:top w:val="nil"/>
              <w:left w:val="single" w:sz="8" w:space="0" w:color="auto"/>
              <w:bottom w:val="nil"/>
              <w:right w:val="nil"/>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ES" w:eastAsia="es-SV"/>
              </w:rPr>
            </w:pPr>
            <w:r w:rsidRPr="004B36F2">
              <w:rPr>
                <w:rFonts w:ascii="Calibri" w:eastAsia="Calibri" w:hAnsi="Calibri" w:cs="Times New Roman"/>
                <w:bCs/>
                <w:i/>
                <w:iCs/>
                <w:lang w:val="es-ES" w:eastAsia="es-SV"/>
              </w:rPr>
              <w:t>-</w:t>
            </w:r>
            <w:r w:rsidRPr="004B36F2">
              <w:rPr>
                <w:rFonts w:ascii="Calibri" w:eastAsia="Calibri" w:hAnsi="Calibri" w:cs="Times New Roman"/>
                <w:bCs/>
                <w:i/>
                <w:iCs/>
                <w:lang w:val="es-ES" w:eastAsia="es-SV"/>
              </w:rPr>
              <w:tab/>
              <w:t>Los demás vehículos, propulsados únicamente con motor eléctrico</w:t>
            </w:r>
          </w:p>
        </w:tc>
      </w:tr>
      <w:tr w:rsidR="004B36F2" w:rsidRPr="004B36F2" w:rsidTr="004B36F2">
        <w:tc>
          <w:tcPr>
            <w:tcW w:w="1163" w:type="dxa"/>
            <w:tcBorders>
              <w:top w:val="nil"/>
              <w:left w:val="nil"/>
              <w:bottom w:val="nil"/>
              <w:right w:val="single" w:sz="8" w:space="0" w:color="auto"/>
            </w:tcBorders>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p>
        </w:tc>
        <w:tc>
          <w:tcPr>
            <w:tcW w:w="1163" w:type="dxa"/>
            <w:tcBorders>
              <w:top w:val="nil"/>
              <w:left w:val="single" w:sz="8" w:space="0" w:color="auto"/>
              <w:bottom w:val="nil"/>
              <w:right w:val="single" w:sz="8" w:space="0" w:color="auto"/>
            </w:tcBorders>
            <w:hideMark/>
          </w:tcPr>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r w:rsidRPr="004B36F2">
              <w:rPr>
                <w:rFonts w:ascii="Calibri" w:eastAsia="Calibri" w:hAnsi="Calibri" w:cs="Times New Roman"/>
                <w:bCs/>
                <w:i/>
                <w:iCs/>
                <w:lang w:val="pt-BR" w:eastAsia="es-SV"/>
              </w:rPr>
              <w:t>8703.90</w:t>
            </w:r>
          </w:p>
        </w:tc>
        <w:tc>
          <w:tcPr>
            <w:tcW w:w="6463" w:type="dxa"/>
            <w:tcBorders>
              <w:top w:val="nil"/>
              <w:left w:val="single" w:sz="8" w:space="0" w:color="auto"/>
              <w:bottom w:val="nil"/>
              <w:right w:val="nil"/>
            </w:tcBorders>
          </w:tcPr>
          <w:p w:rsidR="004B36F2" w:rsidRPr="004B36F2" w:rsidRDefault="004B36F2" w:rsidP="004B36F2">
            <w:pPr>
              <w:spacing w:before="269" w:after="269"/>
              <w:ind w:left="709"/>
              <w:contextualSpacing/>
              <w:jc w:val="both"/>
              <w:rPr>
                <w:rFonts w:ascii="Calibri" w:eastAsia="Calibri" w:hAnsi="Calibri" w:cs="Times New Roman"/>
                <w:bCs/>
                <w:i/>
                <w:iCs/>
                <w:lang w:val="pt-BR" w:eastAsia="es-SV"/>
              </w:rPr>
            </w:pPr>
            <w:r w:rsidRPr="004B36F2">
              <w:rPr>
                <w:rFonts w:ascii="Calibri" w:eastAsia="Calibri" w:hAnsi="Calibri" w:cs="Times New Roman"/>
                <w:bCs/>
                <w:i/>
                <w:iCs/>
                <w:lang w:val="pt-BR" w:eastAsia="es-SV"/>
              </w:rPr>
              <w:t>-</w:t>
            </w:r>
            <w:r w:rsidRPr="004B36F2">
              <w:rPr>
                <w:rFonts w:ascii="Calibri" w:eastAsia="Calibri" w:hAnsi="Calibri" w:cs="Times New Roman"/>
                <w:bCs/>
                <w:i/>
                <w:iCs/>
                <w:lang w:val="pt-BR" w:eastAsia="es-SV"/>
              </w:rPr>
              <w:tab/>
            </w:r>
            <w:r w:rsidRPr="004B36F2">
              <w:rPr>
                <w:rFonts w:ascii="Calibri" w:eastAsia="Calibri" w:hAnsi="Calibri" w:cs="Times New Roman"/>
                <w:bCs/>
                <w:i/>
                <w:iCs/>
                <w:lang w:val="es-UY" w:eastAsia="es-SV"/>
              </w:rPr>
              <w:t>Los</w:t>
            </w:r>
            <w:r w:rsidRPr="004B36F2">
              <w:rPr>
                <w:rFonts w:ascii="Calibri" w:eastAsia="Calibri" w:hAnsi="Calibri" w:cs="Times New Roman"/>
                <w:bCs/>
                <w:i/>
                <w:iCs/>
                <w:lang w:val="pt-BR" w:eastAsia="es-SV"/>
              </w:rPr>
              <w:t xml:space="preserve"> </w:t>
            </w:r>
            <w:r w:rsidRPr="004B36F2">
              <w:rPr>
                <w:rFonts w:ascii="Calibri" w:eastAsia="Calibri" w:hAnsi="Calibri" w:cs="Times New Roman"/>
                <w:bCs/>
                <w:i/>
                <w:iCs/>
                <w:lang w:val="es-UY" w:eastAsia="es-SV"/>
              </w:rPr>
              <w:t>demás</w:t>
            </w:r>
          </w:p>
          <w:p w:rsidR="004B36F2" w:rsidRPr="004B36F2" w:rsidRDefault="004B36F2" w:rsidP="004B36F2">
            <w:pPr>
              <w:spacing w:before="269" w:after="269"/>
              <w:ind w:left="709"/>
              <w:contextualSpacing/>
              <w:jc w:val="both"/>
              <w:rPr>
                <w:rFonts w:ascii="Calibri" w:eastAsia="Calibri" w:hAnsi="Calibri" w:cs="Times New Roman"/>
                <w:bCs/>
                <w:i/>
                <w:iCs/>
                <w:lang w:val="es-UY" w:eastAsia="es-SV"/>
              </w:rPr>
            </w:pPr>
          </w:p>
        </w:tc>
      </w:tr>
    </w:tbl>
    <w:p w:rsidR="004B36F2" w:rsidRPr="004B36F2" w:rsidRDefault="004B36F2" w:rsidP="004B36F2">
      <w:pPr>
        <w:spacing w:before="269" w:after="269"/>
        <w:ind w:left="709"/>
        <w:contextualSpacing/>
        <w:jc w:val="both"/>
        <w:rPr>
          <w:rFonts w:ascii="Calibri" w:eastAsia="Calibri" w:hAnsi="Calibri" w:cs="Times New Roman"/>
          <w:bCs/>
          <w:i/>
          <w:iCs/>
          <w:lang w:eastAsia="es-SV"/>
        </w:rPr>
      </w:pPr>
    </w:p>
    <w:p w:rsidR="004B36F2" w:rsidRDefault="004B36F2" w:rsidP="004B36F2">
      <w:pPr>
        <w:pStyle w:val="Prrafodelista"/>
        <w:numPr>
          <w:ilvl w:val="0"/>
          <w:numId w:val="33"/>
        </w:numPr>
        <w:spacing w:before="269" w:after="269"/>
        <w:jc w:val="both"/>
        <w:rPr>
          <w:rFonts w:ascii="Calibri" w:eastAsia="Calibri" w:hAnsi="Calibri" w:cs="Times New Roman"/>
          <w:bCs/>
          <w:i/>
          <w:iCs/>
          <w:lang w:eastAsia="es-SV"/>
        </w:rPr>
      </w:pPr>
      <w:r w:rsidRPr="004B36F2">
        <w:rPr>
          <w:rFonts w:ascii="Calibri" w:eastAsia="Calibri" w:hAnsi="Calibri" w:cs="Times New Roman"/>
          <w:bCs/>
          <w:i/>
          <w:iCs/>
          <w:lang w:eastAsia="es-SV"/>
        </w:rPr>
        <w:t>En conclusión, los cambios en la estructura arancelaria de los vehículos de la partida 8703 obedecen a los avance tecnológicos incorporados por la OMA en la Sexta Enmienda del Sistema Armonizado y que son de obligatorio cumplimiento para todos los Estados miembros de dicho Organismo.</w:t>
      </w:r>
    </w:p>
    <w:p w:rsidR="004B36F2" w:rsidRDefault="004B36F2" w:rsidP="004B36F2">
      <w:pPr>
        <w:pStyle w:val="Prrafodelista"/>
        <w:spacing w:before="269" w:after="269"/>
        <w:ind w:left="1080"/>
        <w:jc w:val="both"/>
        <w:rPr>
          <w:rFonts w:ascii="Calibri" w:eastAsia="Calibri" w:hAnsi="Calibri" w:cs="Times New Roman"/>
          <w:bCs/>
          <w:i/>
          <w:iCs/>
          <w:lang w:eastAsia="es-SV"/>
        </w:rPr>
      </w:pPr>
    </w:p>
    <w:p w:rsidR="00037DBC" w:rsidRDefault="00037DBC" w:rsidP="00B13B85">
      <w:pPr>
        <w:spacing w:after="0"/>
        <w:contextualSpacing/>
        <w:jc w:val="both"/>
        <w:rPr>
          <w:rFonts w:ascii="Calibri" w:eastAsia="Calibri" w:hAnsi="Calibri" w:cs="Times New Roman"/>
          <w:bCs/>
          <w:i/>
          <w:iCs/>
          <w:lang w:eastAsia="es-SV"/>
        </w:rPr>
      </w:pPr>
      <w:bookmarkStart w:id="0" w:name="_GoBack"/>
      <w:bookmarkEnd w:id="0"/>
    </w:p>
    <w:p w:rsidR="00037DBC" w:rsidRDefault="00037DBC" w:rsidP="00B13B85">
      <w:pPr>
        <w:spacing w:after="0"/>
        <w:contextualSpacing/>
        <w:jc w:val="both"/>
        <w:rPr>
          <w:rFonts w:ascii="Calibri" w:eastAsia="Calibri" w:hAnsi="Calibri" w:cs="Times New Roman"/>
          <w:bCs/>
          <w:i/>
          <w:iCs/>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w:t>
      </w:r>
      <w:r w:rsidRPr="00B13B85">
        <w:rPr>
          <w:rFonts w:ascii="Calibri" w:eastAsia="Calibri" w:hAnsi="Calibri" w:cs="Times New Roman"/>
          <w:lang w:val="es-ES" w:eastAsia="es-SV"/>
        </w:rPr>
        <w:lastRenderedPageBreak/>
        <w:t>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37DBC">
        <w:rPr>
          <w:rFonts w:ascii="Calibri" w:eastAsia="Calibri" w:hAnsi="Calibri" w:cs="Times New Roman"/>
          <w:lang w:eastAsia="es-SV"/>
        </w:rPr>
        <w:t>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61D" w:rsidRDefault="0057561D">
      <w:pPr>
        <w:spacing w:after="0" w:line="240" w:lineRule="auto"/>
      </w:pPr>
      <w:r>
        <w:separator/>
      </w:r>
    </w:p>
  </w:endnote>
  <w:endnote w:type="continuationSeparator" w:id="0">
    <w:p w:rsidR="0057561D" w:rsidRDefault="00575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766D6">
    <w:pPr>
      <w:pStyle w:val="Piedepgina"/>
      <w:jc w:val="right"/>
      <w:rPr>
        <w:noProof/>
        <w:lang w:val="es-ES"/>
      </w:rPr>
    </w:pPr>
    <w:r w:rsidRPr="00C766D6">
      <w:fldChar w:fldCharType="begin"/>
    </w:r>
    <w:r w:rsidR="00F6461C">
      <w:instrText>PAGE   \* MERGEFORMAT</w:instrText>
    </w:r>
    <w:r w:rsidRPr="00C766D6">
      <w:fldChar w:fldCharType="separate"/>
    </w:r>
    <w:r w:rsidR="00037DBC" w:rsidRPr="00037DBC">
      <w:rPr>
        <w:noProof/>
        <w:lang w:val="es-ES"/>
      </w:rPr>
      <w:t>4</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61D" w:rsidRDefault="0057561D">
      <w:pPr>
        <w:spacing w:after="0" w:line="240" w:lineRule="auto"/>
      </w:pPr>
      <w:r>
        <w:separator/>
      </w:r>
    </w:p>
  </w:footnote>
  <w:footnote w:type="continuationSeparator" w:id="0">
    <w:p w:rsidR="0057561D" w:rsidRDefault="005756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7DBC"/>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7561D"/>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766D6"/>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7A509FB-FA73-4BC9-A276-0FC7E033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2019-02-19T21:23:00Z</cp:lastPrinted>
  <dcterms:created xsi:type="dcterms:W3CDTF">2019-05-14T15:32:00Z</dcterms:created>
  <dcterms:modified xsi:type="dcterms:W3CDTF">2019-05-14T15:32:00Z</dcterms:modified>
</cp:coreProperties>
</file>